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12123" w14:textId="77777777" w:rsidR="00D953F4" w:rsidRPr="00F07DBF" w:rsidRDefault="00D03605" w:rsidP="00F07DBF">
      <w:pPr>
        <w:pStyle w:val="Heading1"/>
      </w:pPr>
      <w:r w:rsidRPr="00F07DBF">
        <w:t xml:space="preserve">Information Services </w:t>
      </w:r>
    </w:p>
    <w:p w14:paraId="17CA4273" w14:textId="0E81BE5E" w:rsidR="00A171AA" w:rsidRPr="00CE584D" w:rsidRDefault="00A171AA" w:rsidP="00A171AA">
      <w:pPr>
        <w:spacing w:after="200" w:line="276" w:lineRule="auto"/>
        <w:rPr>
          <w:rFonts w:eastAsia="Calibri" w:cs="Arial"/>
          <w:sz w:val="28"/>
          <w:szCs w:val="28"/>
        </w:rPr>
      </w:pPr>
      <w:r w:rsidRPr="00CE584D">
        <w:rPr>
          <w:rFonts w:eastAsiaTheme="majorEastAsia" w:cstheme="majorBidi"/>
          <w:b/>
          <w:bCs/>
          <w:sz w:val="28"/>
          <w:szCs w:val="28"/>
        </w:rPr>
        <w:t>Notes to assist in understanding data supplied for</w:t>
      </w:r>
      <w:r w:rsidR="00CE584D">
        <w:rPr>
          <w:rFonts w:eastAsiaTheme="majorEastAsia" w:cstheme="majorBidi"/>
          <w:b/>
          <w:bCs/>
          <w:sz w:val="28"/>
          <w:szCs w:val="28"/>
        </w:rPr>
        <w:t xml:space="preserve"> Over the Counter p</w:t>
      </w:r>
      <w:r w:rsidR="009C1D4F" w:rsidRPr="00CE584D">
        <w:rPr>
          <w:rFonts w:eastAsiaTheme="majorEastAsia" w:cstheme="majorBidi"/>
          <w:b/>
          <w:bCs/>
          <w:sz w:val="28"/>
          <w:szCs w:val="28"/>
        </w:rPr>
        <w:t>roducts</w:t>
      </w:r>
    </w:p>
    <w:p w14:paraId="4563F0F8" w14:textId="7372AF95" w:rsidR="00A171AA" w:rsidRPr="003D5073" w:rsidRDefault="00813180" w:rsidP="00A171AA">
      <w:pPr>
        <w:spacing w:after="200" w:line="276" w:lineRule="auto"/>
        <w:rPr>
          <w:rFonts w:eastAsia="Calibri" w:cs="Arial"/>
          <w:b/>
        </w:rPr>
      </w:pPr>
      <w:r>
        <w:rPr>
          <w:rFonts w:eastAsia="Calibri" w:cs="Arial"/>
          <w:b/>
        </w:rPr>
        <w:t>Summary</w:t>
      </w:r>
    </w:p>
    <w:p w14:paraId="262046F7" w14:textId="760B4806" w:rsidR="00A171AA" w:rsidRPr="003D5073" w:rsidRDefault="00EB66F7" w:rsidP="00A171AA">
      <w:pPr>
        <w:spacing w:after="200" w:line="276" w:lineRule="auto"/>
        <w:rPr>
          <w:rFonts w:eastAsia="Calibri" w:cs="Arial"/>
        </w:rPr>
      </w:pPr>
      <w:r>
        <w:rPr>
          <w:rFonts w:eastAsia="Calibri" w:cs="Arial"/>
        </w:rPr>
        <w:t>T</w:t>
      </w:r>
      <w:r w:rsidRPr="003D5073">
        <w:rPr>
          <w:rFonts w:eastAsia="Calibri" w:cs="Arial"/>
        </w:rPr>
        <w:t>he legal category of the medicinal product pack</w:t>
      </w:r>
      <w:r>
        <w:rPr>
          <w:rFonts w:eastAsia="Calibri" w:cs="Arial"/>
        </w:rPr>
        <w:t>,</w:t>
      </w:r>
      <w:r w:rsidRPr="003D5073">
        <w:rPr>
          <w:rFonts w:eastAsia="Calibri" w:cs="Arial"/>
        </w:rPr>
        <w:t xml:space="preserve"> as specified by </w:t>
      </w:r>
      <w:r>
        <w:rPr>
          <w:rFonts w:eastAsia="Calibri" w:cs="Arial"/>
        </w:rPr>
        <w:t>The Human Medicines Regulations, has been used t</w:t>
      </w:r>
      <w:r w:rsidR="00A171AA" w:rsidRPr="003D5073">
        <w:rPr>
          <w:rFonts w:eastAsia="Calibri" w:cs="Arial"/>
        </w:rPr>
        <w:t>o identify which m</w:t>
      </w:r>
      <w:r>
        <w:rPr>
          <w:rFonts w:eastAsia="Calibri" w:cs="Arial"/>
        </w:rPr>
        <w:t>edicines can be classified as ‘Over the Counter’</w:t>
      </w:r>
      <w:r w:rsidR="00A171AA" w:rsidRPr="003D5073">
        <w:rPr>
          <w:rFonts w:eastAsia="Calibri" w:cs="Arial"/>
        </w:rPr>
        <w:t xml:space="preserve"> medicines</w:t>
      </w:r>
      <w:r>
        <w:rPr>
          <w:rFonts w:eastAsia="Calibri" w:cs="Arial"/>
        </w:rPr>
        <w:t>.</w:t>
      </w:r>
      <w:r w:rsidR="00A171AA" w:rsidRPr="003D5073">
        <w:rPr>
          <w:rFonts w:eastAsia="Calibri" w:cs="Arial"/>
        </w:rPr>
        <w:t xml:space="preserve"> </w:t>
      </w:r>
    </w:p>
    <w:p w14:paraId="3F4F48A6" w14:textId="106F28F2" w:rsidR="00A171AA" w:rsidRPr="003D5073" w:rsidRDefault="00A171AA" w:rsidP="00A171AA">
      <w:pPr>
        <w:spacing w:after="200" w:line="276" w:lineRule="auto"/>
        <w:rPr>
          <w:rFonts w:eastAsia="Calibri" w:cs="Arial"/>
        </w:rPr>
      </w:pPr>
      <w:r w:rsidRPr="003D5073">
        <w:rPr>
          <w:rFonts w:eastAsia="Calibri" w:cs="Arial"/>
        </w:rPr>
        <w:t xml:space="preserve">The legal category for any pack </w:t>
      </w:r>
      <w:r w:rsidR="00EB66F7">
        <w:rPr>
          <w:rFonts w:eastAsia="Calibri" w:cs="Arial"/>
        </w:rPr>
        <w:t>is</w:t>
      </w:r>
      <w:r w:rsidRPr="003D5073">
        <w:rPr>
          <w:rFonts w:eastAsia="Calibri" w:cs="Arial"/>
        </w:rPr>
        <w:t xml:space="preserve"> defined as one</w:t>
      </w:r>
      <w:r w:rsidR="00CE584D">
        <w:rPr>
          <w:rFonts w:eastAsia="Calibri" w:cs="Arial"/>
        </w:rPr>
        <w:t xml:space="preserve"> of the following four options:</w:t>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p>
    <w:p w14:paraId="5FA2D6C1" w14:textId="43CF1D6B" w:rsidR="00A171AA" w:rsidRPr="00CE584D" w:rsidRDefault="00A171AA" w:rsidP="00CE584D">
      <w:pPr>
        <w:pStyle w:val="ListParagraph"/>
        <w:numPr>
          <w:ilvl w:val="0"/>
          <w:numId w:val="1"/>
        </w:numPr>
        <w:spacing w:after="200" w:line="276" w:lineRule="auto"/>
        <w:rPr>
          <w:rFonts w:eastAsia="Calibri" w:cs="Arial"/>
        </w:rPr>
      </w:pPr>
      <w:r w:rsidRPr="00CE584D">
        <w:rPr>
          <w:rFonts w:eastAsia="Calibri" w:cs="Arial"/>
          <w:b/>
        </w:rPr>
        <w:t>GSL:</w:t>
      </w:r>
      <w:r w:rsidR="00CE584D">
        <w:rPr>
          <w:rFonts w:eastAsia="Calibri" w:cs="Arial"/>
        </w:rPr>
        <w:t xml:space="preserve"> </w:t>
      </w:r>
      <w:r w:rsidRPr="00CE584D">
        <w:rPr>
          <w:rFonts w:eastAsia="Calibri" w:cs="Arial"/>
        </w:rPr>
        <w:t>For a licenced medicine, the pack size of the product is inc</w:t>
      </w:r>
      <w:r w:rsidR="00CE584D">
        <w:rPr>
          <w:rFonts w:eastAsia="Calibri" w:cs="Arial"/>
        </w:rPr>
        <w:t>luded in the General Sales List.</w:t>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p>
    <w:p w14:paraId="05158AC6" w14:textId="05D766B3" w:rsidR="00A171AA" w:rsidRPr="00CE584D" w:rsidRDefault="00A171AA" w:rsidP="00CE584D">
      <w:pPr>
        <w:pStyle w:val="ListParagraph"/>
        <w:numPr>
          <w:ilvl w:val="0"/>
          <w:numId w:val="1"/>
        </w:numPr>
        <w:spacing w:after="200" w:line="276" w:lineRule="auto"/>
        <w:rPr>
          <w:rFonts w:eastAsia="Calibri" w:cs="Arial"/>
        </w:rPr>
      </w:pPr>
      <w:r w:rsidRPr="00CE584D">
        <w:rPr>
          <w:rFonts w:eastAsia="Calibri" w:cs="Arial"/>
          <w:b/>
        </w:rPr>
        <w:t>P:</w:t>
      </w:r>
      <w:r w:rsidR="00CE584D">
        <w:rPr>
          <w:rFonts w:eastAsia="Calibri" w:cs="Arial"/>
        </w:rPr>
        <w:t xml:space="preserve"> </w:t>
      </w:r>
      <w:r w:rsidRPr="00CE584D">
        <w:rPr>
          <w:rFonts w:eastAsia="Calibri" w:cs="Arial"/>
        </w:rPr>
        <w:t>The pack size of the product is categorised as a Pharmacy medicine if it is a licenced medicine and is not included in the General Sales List or the P</w:t>
      </w:r>
      <w:r w:rsidR="00CE584D">
        <w:rPr>
          <w:rFonts w:eastAsia="Calibri" w:cs="Arial"/>
        </w:rPr>
        <w:t>rescription Only Medicine order.</w:t>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p>
    <w:p w14:paraId="26798D8C" w14:textId="78E967C9" w:rsidR="00A171AA" w:rsidRPr="00CE584D" w:rsidRDefault="00A171AA" w:rsidP="00CE584D">
      <w:pPr>
        <w:pStyle w:val="ListParagraph"/>
        <w:numPr>
          <w:ilvl w:val="0"/>
          <w:numId w:val="1"/>
        </w:numPr>
        <w:spacing w:after="200" w:line="276" w:lineRule="auto"/>
        <w:rPr>
          <w:rFonts w:eastAsia="Calibri" w:cs="Arial"/>
        </w:rPr>
      </w:pPr>
      <w:r w:rsidRPr="00CE584D">
        <w:rPr>
          <w:rFonts w:eastAsia="Calibri" w:cs="Arial"/>
          <w:b/>
        </w:rPr>
        <w:t>POM:</w:t>
      </w:r>
      <w:r w:rsidR="00CE584D">
        <w:rPr>
          <w:rFonts w:eastAsia="Calibri" w:cs="Arial"/>
        </w:rPr>
        <w:t xml:space="preserve"> </w:t>
      </w:r>
      <w:r w:rsidRPr="00CE584D">
        <w:rPr>
          <w:rFonts w:eastAsia="Calibri" w:cs="Arial"/>
        </w:rPr>
        <w:t>For a licenced medicine, the pack size of the product is included in the P</w:t>
      </w:r>
      <w:r w:rsidR="00CE584D">
        <w:rPr>
          <w:rFonts w:eastAsia="Calibri" w:cs="Arial"/>
        </w:rPr>
        <w:t>rescription Only Medicine order.</w:t>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r w:rsidRPr="00CE584D">
        <w:rPr>
          <w:rFonts w:eastAsia="Calibri" w:cs="Arial"/>
        </w:rPr>
        <w:tab/>
      </w:r>
    </w:p>
    <w:p w14:paraId="2037EF81" w14:textId="1F485EEA" w:rsidR="00A171AA" w:rsidRPr="00CE584D" w:rsidRDefault="00CE584D" w:rsidP="00CE584D">
      <w:pPr>
        <w:pStyle w:val="ListParagraph"/>
        <w:numPr>
          <w:ilvl w:val="0"/>
          <w:numId w:val="1"/>
        </w:numPr>
        <w:spacing w:after="200" w:line="276" w:lineRule="auto"/>
        <w:rPr>
          <w:rFonts w:eastAsia="Calibri" w:cs="Arial"/>
        </w:rPr>
      </w:pPr>
      <w:r>
        <w:rPr>
          <w:rFonts w:eastAsia="Calibri" w:cs="Arial"/>
          <w:b/>
        </w:rPr>
        <w:t xml:space="preserve">Not Applicable: </w:t>
      </w:r>
      <w:r w:rsidR="00A171AA" w:rsidRPr="00CE584D">
        <w:rPr>
          <w:rFonts w:eastAsia="Calibri" w:cs="Arial"/>
        </w:rPr>
        <w:t xml:space="preserve">The value of ‘not applicable’ </w:t>
      </w:r>
      <w:r w:rsidR="00D9223E">
        <w:rPr>
          <w:rFonts w:eastAsia="Calibri" w:cs="Arial"/>
        </w:rPr>
        <w:t>is</w:t>
      </w:r>
      <w:r w:rsidR="00A171AA" w:rsidRPr="00CE584D">
        <w:rPr>
          <w:rFonts w:eastAsia="Calibri" w:cs="Arial"/>
        </w:rPr>
        <w:t xml:space="preserve"> used for all non-medicine packs e.g. appliances, unlicensed medicines and Investigational Medicinal Products (IMPs) where the legal category cannot be determined</w:t>
      </w:r>
      <w:r>
        <w:rPr>
          <w:rFonts w:eastAsia="Calibri" w:cs="Arial"/>
        </w:rPr>
        <w:t>.</w:t>
      </w:r>
      <w:r w:rsidR="00A171AA" w:rsidRPr="00CE584D">
        <w:rPr>
          <w:rFonts w:eastAsia="Calibri" w:cs="Arial"/>
        </w:rPr>
        <w:tab/>
      </w:r>
      <w:r w:rsidR="00A171AA" w:rsidRPr="00CE584D">
        <w:rPr>
          <w:rFonts w:eastAsia="Calibri" w:cs="Arial"/>
        </w:rPr>
        <w:tab/>
      </w:r>
      <w:r w:rsidR="00A171AA" w:rsidRPr="00CE584D">
        <w:rPr>
          <w:rFonts w:eastAsia="Calibri" w:cs="Arial"/>
        </w:rPr>
        <w:tab/>
      </w:r>
      <w:r w:rsidR="00A171AA" w:rsidRPr="00CE584D">
        <w:rPr>
          <w:rFonts w:eastAsia="Calibri" w:cs="Arial"/>
        </w:rPr>
        <w:tab/>
      </w:r>
      <w:r w:rsidR="00A171AA" w:rsidRPr="00CE584D">
        <w:rPr>
          <w:rFonts w:eastAsia="Calibri" w:cs="Arial"/>
        </w:rPr>
        <w:tab/>
      </w:r>
      <w:r w:rsidR="00A171AA" w:rsidRPr="00CE584D">
        <w:rPr>
          <w:rFonts w:eastAsia="Calibri" w:cs="Arial"/>
        </w:rPr>
        <w:tab/>
      </w:r>
    </w:p>
    <w:p w14:paraId="1CEBF1D2" w14:textId="5AAACCEB" w:rsidR="00A171AA" w:rsidRPr="003D5073" w:rsidRDefault="00EB66F7" w:rsidP="00A171AA">
      <w:pPr>
        <w:spacing w:after="200" w:line="276" w:lineRule="auto"/>
        <w:rPr>
          <w:rFonts w:eastAsia="Calibri" w:cs="Arial"/>
        </w:rPr>
      </w:pPr>
      <w:r>
        <w:rPr>
          <w:rFonts w:eastAsia="Calibri" w:cs="Arial"/>
        </w:rPr>
        <w:t>Packs</w:t>
      </w:r>
      <w:r w:rsidR="00A171AA" w:rsidRPr="003D5073">
        <w:rPr>
          <w:rFonts w:eastAsia="Calibri" w:cs="Arial"/>
        </w:rPr>
        <w:t xml:space="preserve"> with a legal category of 'GSL' or 'P' can </w:t>
      </w:r>
      <w:r>
        <w:rPr>
          <w:rFonts w:eastAsia="Calibri" w:cs="Arial"/>
        </w:rPr>
        <w:t>therefore be identified as ‘Over the Counter’</w:t>
      </w:r>
      <w:r w:rsidR="00A171AA" w:rsidRPr="003D5073">
        <w:rPr>
          <w:rFonts w:eastAsia="Calibri" w:cs="Arial"/>
        </w:rPr>
        <w:t xml:space="preserve"> medicine</w:t>
      </w:r>
      <w:r>
        <w:rPr>
          <w:rFonts w:eastAsia="Calibri" w:cs="Arial"/>
        </w:rPr>
        <w:t>s</w:t>
      </w:r>
      <w:r w:rsidR="00A171AA" w:rsidRPr="003D5073">
        <w:rPr>
          <w:rFonts w:eastAsia="Calibri" w:cs="Arial"/>
        </w:rPr>
        <w:t>.</w:t>
      </w:r>
      <w:r w:rsidR="00A171AA" w:rsidRPr="003D5073">
        <w:rPr>
          <w:rFonts w:eastAsia="Calibri" w:cs="Arial"/>
        </w:rPr>
        <w:tab/>
      </w:r>
    </w:p>
    <w:p w14:paraId="67CF3602" w14:textId="5700AA1E" w:rsidR="0037175A" w:rsidRPr="003D5073" w:rsidRDefault="00D9223E" w:rsidP="00A171AA">
      <w:pPr>
        <w:spacing w:after="200" w:line="276" w:lineRule="auto"/>
        <w:rPr>
          <w:rFonts w:eastAsia="Calibri" w:cs="Arial"/>
          <w:b/>
        </w:rPr>
      </w:pPr>
      <w:r>
        <w:rPr>
          <w:rFonts w:eastAsia="Calibri" w:cs="Arial"/>
          <w:b/>
        </w:rPr>
        <w:t>Prescribing method &amp; total b</w:t>
      </w:r>
      <w:r w:rsidR="00A171AA" w:rsidRPr="003D5073">
        <w:rPr>
          <w:rFonts w:eastAsia="Calibri" w:cs="Arial"/>
          <w:b/>
        </w:rPr>
        <w:t>reakdown</w:t>
      </w:r>
    </w:p>
    <w:p w14:paraId="7C4321F4" w14:textId="5066077F" w:rsidR="0037175A" w:rsidRPr="003D5073" w:rsidRDefault="0037175A" w:rsidP="0037175A">
      <w:pPr>
        <w:spacing w:after="200" w:line="276" w:lineRule="auto"/>
        <w:rPr>
          <w:rFonts w:eastAsia="Calibri" w:cs="Arial"/>
        </w:rPr>
      </w:pPr>
      <w:r w:rsidRPr="003D5073">
        <w:rPr>
          <w:rFonts w:eastAsia="Calibri" w:cs="Arial"/>
        </w:rPr>
        <w:t xml:space="preserve">The legal category can only be directly attributed to actual products and therefore additional steps are </w:t>
      </w:r>
      <w:r w:rsidR="004C292F">
        <w:rPr>
          <w:rFonts w:eastAsia="Calibri" w:cs="Arial"/>
        </w:rPr>
        <w:t>needed</w:t>
      </w:r>
      <w:r w:rsidRPr="003D5073">
        <w:rPr>
          <w:rFonts w:eastAsia="Calibri" w:cs="Arial"/>
        </w:rPr>
        <w:t xml:space="preserve"> to try and identify the legal category for any products that have been prescribed generically.  This has been done by checking all the actual products associated with a generic item and where they all have the same legal category the assumption has been made that this category can be assigned to the generic item.</w:t>
      </w:r>
    </w:p>
    <w:p w14:paraId="5FBF64A5" w14:textId="420A8750" w:rsidR="0037175A" w:rsidRPr="003D5073" w:rsidRDefault="0037175A" w:rsidP="0037175A">
      <w:pPr>
        <w:spacing w:after="200" w:line="276" w:lineRule="auto"/>
        <w:rPr>
          <w:rFonts w:eastAsia="Calibri" w:cs="Arial"/>
          <w:b/>
        </w:rPr>
      </w:pPr>
      <w:r w:rsidRPr="003D5073">
        <w:rPr>
          <w:rFonts w:eastAsia="Calibri" w:cs="Arial"/>
        </w:rPr>
        <w:t>For a small number of generic products (circa 1.1%), the various associated actual products cover a variety of legal categories and therefor</w:t>
      </w:r>
      <w:r w:rsidR="004C292F">
        <w:rPr>
          <w:rFonts w:eastAsia="Calibri" w:cs="Arial"/>
        </w:rPr>
        <w:t>e a single classification can’</w:t>
      </w:r>
      <w:r w:rsidRPr="003D5073">
        <w:rPr>
          <w:rFonts w:eastAsia="Calibri" w:cs="Arial"/>
        </w:rPr>
        <w:t>t be assigned as it is not certain which product was used.  In these cir</w:t>
      </w:r>
      <w:r w:rsidR="004C292F">
        <w:rPr>
          <w:rFonts w:eastAsia="Calibri" w:cs="Arial"/>
        </w:rPr>
        <w:t>cumstances a legal category of ‘Unknown’</w:t>
      </w:r>
      <w:r w:rsidRPr="003D5073">
        <w:rPr>
          <w:rFonts w:eastAsia="Calibri" w:cs="Arial"/>
        </w:rPr>
        <w:t xml:space="preserve"> has been assigned to signif</w:t>
      </w:r>
      <w:r w:rsidR="004C292F">
        <w:rPr>
          <w:rFonts w:eastAsia="Calibri" w:cs="Arial"/>
        </w:rPr>
        <w:t>y that the legal category can’</w:t>
      </w:r>
      <w:r w:rsidRPr="003D5073">
        <w:rPr>
          <w:rFonts w:eastAsia="Calibri" w:cs="Arial"/>
        </w:rPr>
        <w:t xml:space="preserve">t be confidently applied.  Please see </w:t>
      </w:r>
      <w:r w:rsidR="004C292F">
        <w:rPr>
          <w:rFonts w:eastAsia="Calibri" w:cs="Arial"/>
        </w:rPr>
        <w:t>the ‘Prescribing Type’</w:t>
      </w:r>
      <w:r w:rsidR="009B67E2" w:rsidRPr="003D5073">
        <w:rPr>
          <w:rFonts w:eastAsia="Calibri" w:cs="Arial"/>
        </w:rPr>
        <w:t xml:space="preserve"> below</w:t>
      </w:r>
      <w:r w:rsidRPr="003D5073">
        <w:rPr>
          <w:rFonts w:eastAsia="Calibri" w:cs="Arial"/>
        </w:rPr>
        <w:t xml:space="preserve"> for further details.</w:t>
      </w:r>
      <w:r w:rsidR="00A171AA" w:rsidRPr="003D5073">
        <w:rPr>
          <w:rFonts w:eastAsia="Calibri" w:cs="Arial"/>
          <w:b/>
        </w:rPr>
        <w:tab/>
      </w:r>
    </w:p>
    <w:p w14:paraId="22A8C37B" w14:textId="3EF1285E" w:rsidR="00A171AA" w:rsidRPr="003D5073" w:rsidRDefault="0037175A" w:rsidP="0037175A">
      <w:pPr>
        <w:spacing w:after="200" w:line="276" w:lineRule="auto"/>
        <w:rPr>
          <w:rFonts w:eastAsia="Calibri" w:cs="Arial"/>
          <w:b/>
        </w:rPr>
      </w:pPr>
      <w:r w:rsidRPr="003D5073">
        <w:rPr>
          <w:rFonts w:eastAsia="Calibri" w:cs="Arial"/>
        </w:rPr>
        <w:lastRenderedPageBreak/>
        <w:t>The following tables show the overall volumes for both the number of items and the net ingredient cost:</w:t>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p>
    <w:p w14:paraId="3F601662" w14:textId="04673C9B" w:rsidR="00A171AA" w:rsidRPr="003D5073" w:rsidRDefault="0037175A" w:rsidP="00A171AA">
      <w:pPr>
        <w:spacing w:after="200" w:line="276" w:lineRule="auto"/>
        <w:rPr>
          <w:rFonts w:eastAsia="Calibri" w:cs="Arial"/>
        </w:rPr>
      </w:pPr>
      <w:r w:rsidRPr="003D5073">
        <w:rPr>
          <w:rFonts w:cs="Arial"/>
          <w:noProof/>
          <w:lang w:eastAsia="en-GB"/>
        </w:rPr>
        <w:drawing>
          <wp:inline distT="0" distB="0" distL="0" distR="0" wp14:anchorId="2B89BA1B" wp14:editId="3892110B">
            <wp:extent cx="6116320" cy="8665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6320" cy="866559"/>
                    </a:xfrm>
                    <a:prstGeom prst="rect">
                      <a:avLst/>
                    </a:prstGeom>
                    <a:noFill/>
                    <a:ln>
                      <a:noFill/>
                    </a:ln>
                  </pic:spPr>
                </pic:pic>
              </a:graphicData>
            </a:graphic>
          </wp:inline>
        </w:drawing>
      </w:r>
    </w:p>
    <w:p w14:paraId="64477921" w14:textId="1740B2A5" w:rsidR="00A171AA" w:rsidRPr="003D5073" w:rsidRDefault="00813180" w:rsidP="00A171AA">
      <w:pPr>
        <w:spacing w:after="200" w:line="276" w:lineRule="auto"/>
        <w:rPr>
          <w:rFonts w:eastAsia="Calibri" w:cs="Arial"/>
          <w:b/>
        </w:rPr>
      </w:pPr>
      <w:r>
        <w:rPr>
          <w:rFonts w:eastAsia="Calibri" w:cs="Arial"/>
          <w:b/>
        </w:rPr>
        <w:t>Report Sections</w:t>
      </w:r>
    </w:p>
    <w:p w14:paraId="24FEC46D" w14:textId="77777777" w:rsidR="00A171AA" w:rsidRPr="00813180" w:rsidRDefault="00A171AA" w:rsidP="00813180">
      <w:pPr>
        <w:pStyle w:val="ListParagraph"/>
        <w:numPr>
          <w:ilvl w:val="0"/>
          <w:numId w:val="2"/>
        </w:numPr>
        <w:spacing w:after="200" w:line="276" w:lineRule="auto"/>
        <w:rPr>
          <w:rFonts w:eastAsia="Calibri" w:cs="Arial"/>
        </w:rPr>
      </w:pPr>
      <w:r w:rsidRPr="00813180">
        <w:rPr>
          <w:rFonts w:eastAsia="Calibri" w:cs="Arial"/>
          <w:b/>
        </w:rPr>
        <w:t>GSL (Brand)</w:t>
      </w:r>
      <w:r w:rsidRPr="00813180">
        <w:rPr>
          <w:rFonts w:eastAsia="Calibri" w:cs="Arial"/>
        </w:rPr>
        <w:t xml:space="preserve"> </w:t>
      </w:r>
      <w:proofErr w:type="gramStart"/>
      <w:r w:rsidRPr="00813180">
        <w:rPr>
          <w:rFonts w:eastAsia="Calibri" w:cs="Arial"/>
        </w:rPr>
        <w:t>Includes</w:t>
      </w:r>
      <w:proofErr w:type="gramEnd"/>
      <w:r w:rsidRPr="00813180">
        <w:rPr>
          <w:rFonts w:eastAsia="Calibri" w:cs="Arial"/>
        </w:rPr>
        <w:t xml:space="preserve"> a list of all products with a legal category of 'GSL', where the item has been prescribed as a brand and therefore the legal category can be identified.</w:t>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p>
    <w:p w14:paraId="04121C86" w14:textId="77777777" w:rsidR="00813180" w:rsidRDefault="00A171AA" w:rsidP="00813180">
      <w:pPr>
        <w:pStyle w:val="ListParagraph"/>
        <w:numPr>
          <w:ilvl w:val="0"/>
          <w:numId w:val="2"/>
        </w:numPr>
        <w:spacing w:after="200" w:line="276" w:lineRule="auto"/>
        <w:rPr>
          <w:rFonts w:eastAsia="Calibri" w:cs="Arial"/>
        </w:rPr>
      </w:pPr>
      <w:r w:rsidRPr="00813180">
        <w:rPr>
          <w:rFonts w:eastAsia="Calibri" w:cs="Arial"/>
          <w:b/>
        </w:rPr>
        <w:t>GSL (Generic)</w:t>
      </w:r>
      <w:r w:rsidRPr="00813180">
        <w:rPr>
          <w:rFonts w:eastAsia="Calibri" w:cs="Arial"/>
        </w:rPr>
        <w:t xml:space="preserve"> Includes a list of all products with a legal category of 'GSL' where the item has been prescribed generically and therefore the legal category has been assumed based on</w:t>
      </w:r>
      <w:r w:rsidR="00813180">
        <w:rPr>
          <w:rFonts w:eastAsia="Calibri" w:cs="Arial"/>
        </w:rPr>
        <w:t xml:space="preserve"> the associated products.</w:t>
      </w:r>
    </w:p>
    <w:p w14:paraId="7C135571" w14:textId="77777777" w:rsidR="00813180" w:rsidRDefault="00A171AA" w:rsidP="00813180">
      <w:pPr>
        <w:pStyle w:val="ListParagraph"/>
        <w:numPr>
          <w:ilvl w:val="0"/>
          <w:numId w:val="2"/>
        </w:numPr>
        <w:spacing w:after="200" w:line="276" w:lineRule="auto"/>
        <w:rPr>
          <w:rFonts w:eastAsia="Calibri" w:cs="Arial"/>
        </w:rPr>
      </w:pPr>
      <w:r w:rsidRPr="00813180">
        <w:rPr>
          <w:rFonts w:eastAsia="Calibri" w:cs="Arial"/>
          <w:b/>
        </w:rPr>
        <w:t>P (Brand)</w:t>
      </w:r>
      <w:r w:rsidRPr="00813180">
        <w:rPr>
          <w:rFonts w:eastAsia="Calibri" w:cs="Arial"/>
        </w:rPr>
        <w:t xml:space="preserve"> </w:t>
      </w:r>
      <w:proofErr w:type="gramStart"/>
      <w:r w:rsidRPr="00813180">
        <w:rPr>
          <w:rFonts w:eastAsia="Calibri" w:cs="Arial"/>
        </w:rPr>
        <w:t>Includes</w:t>
      </w:r>
      <w:proofErr w:type="gramEnd"/>
      <w:r w:rsidRPr="00813180">
        <w:rPr>
          <w:rFonts w:eastAsia="Calibri" w:cs="Arial"/>
        </w:rPr>
        <w:t xml:space="preserve"> a list of all products with a legal category of 'P', where the item has been prescribed as a brand and therefore the legal</w:t>
      </w:r>
      <w:r w:rsidR="00813180">
        <w:rPr>
          <w:rFonts w:eastAsia="Calibri" w:cs="Arial"/>
        </w:rPr>
        <w:t xml:space="preserve"> category can be identified.</w:t>
      </w:r>
    </w:p>
    <w:p w14:paraId="68C55775" w14:textId="77777777" w:rsidR="00813180" w:rsidRDefault="00A171AA" w:rsidP="00A171AA">
      <w:pPr>
        <w:pStyle w:val="ListParagraph"/>
        <w:numPr>
          <w:ilvl w:val="0"/>
          <w:numId w:val="2"/>
        </w:numPr>
        <w:spacing w:after="200" w:line="276" w:lineRule="auto"/>
        <w:rPr>
          <w:rFonts w:eastAsia="Calibri" w:cs="Arial"/>
        </w:rPr>
      </w:pPr>
      <w:r w:rsidRPr="00813180">
        <w:rPr>
          <w:rFonts w:eastAsia="Calibri" w:cs="Arial"/>
          <w:b/>
        </w:rPr>
        <w:t>P (Generic)</w:t>
      </w:r>
      <w:r w:rsidRPr="00813180">
        <w:rPr>
          <w:rFonts w:eastAsia="Calibri" w:cs="Arial"/>
        </w:rPr>
        <w:t xml:space="preserve"> Includes a list of all products with a legal category of 'P' where the item has been prescribed generically and therefore the legal category has been assumed based on</w:t>
      </w:r>
      <w:r w:rsidR="00813180">
        <w:rPr>
          <w:rFonts w:eastAsia="Calibri" w:cs="Arial"/>
        </w:rPr>
        <w:t xml:space="preserve"> the associated products.</w:t>
      </w:r>
    </w:p>
    <w:p w14:paraId="09DA4645" w14:textId="77777777" w:rsidR="00813180" w:rsidRDefault="00A171AA" w:rsidP="00A171AA">
      <w:pPr>
        <w:pStyle w:val="ListParagraph"/>
        <w:numPr>
          <w:ilvl w:val="0"/>
          <w:numId w:val="2"/>
        </w:numPr>
        <w:spacing w:after="200" w:line="276" w:lineRule="auto"/>
        <w:rPr>
          <w:rFonts w:eastAsia="Calibri" w:cs="Arial"/>
        </w:rPr>
      </w:pPr>
      <w:r w:rsidRPr="00813180">
        <w:rPr>
          <w:rFonts w:eastAsia="Calibri" w:cs="Arial"/>
          <w:b/>
        </w:rPr>
        <w:t>Unknown (Generic)</w:t>
      </w:r>
      <w:r w:rsidRPr="00813180">
        <w:rPr>
          <w:rFonts w:eastAsia="Calibri" w:cs="Arial"/>
        </w:rPr>
        <w:t xml:space="preserve"> Includes a list of all products that have been prescribed generically where the legal category </w:t>
      </w:r>
      <w:proofErr w:type="spellStart"/>
      <w:r w:rsidRPr="00813180">
        <w:rPr>
          <w:rFonts w:eastAsia="Calibri" w:cs="Arial"/>
        </w:rPr>
        <w:t>can not</w:t>
      </w:r>
      <w:proofErr w:type="spellEnd"/>
      <w:r w:rsidRPr="00813180">
        <w:rPr>
          <w:rFonts w:eastAsia="Calibri" w:cs="Arial"/>
        </w:rPr>
        <w:t xml:space="preserve"> be assumed, due to more than one legal category being represented within</w:t>
      </w:r>
      <w:r w:rsidR="00813180">
        <w:rPr>
          <w:rFonts w:eastAsia="Calibri" w:cs="Arial"/>
        </w:rPr>
        <w:t xml:space="preserve"> the associated products.</w:t>
      </w:r>
    </w:p>
    <w:p w14:paraId="486D1702" w14:textId="3C49196B" w:rsidR="00813180" w:rsidRDefault="00A171AA" w:rsidP="00A171AA">
      <w:pPr>
        <w:pStyle w:val="ListParagraph"/>
        <w:numPr>
          <w:ilvl w:val="0"/>
          <w:numId w:val="2"/>
        </w:numPr>
        <w:spacing w:after="200" w:line="276" w:lineRule="auto"/>
        <w:rPr>
          <w:rFonts w:eastAsia="Calibri" w:cs="Arial"/>
        </w:rPr>
      </w:pPr>
      <w:r w:rsidRPr="00813180">
        <w:rPr>
          <w:rFonts w:eastAsia="Calibri" w:cs="Arial"/>
          <w:b/>
        </w:rPr>
        <w:t>Prescribing Type</w:t>
      </w:r>
      <w:r w:rsidRPr="00813180">
        <w:rPr>
          <w:rFonts w:eastAsia="Calibri" w:cs="Arial"/>
        </w:rPr>
        <w:t xml:space="preserve"> Includes some background around how legal categories have bee</w:t>
      </w:r>
      <w:r w:rsidR="00813180">
        <w:rPr>
          <w:rFonts w:eastAsia="Calibri" w:cs="Arial"/>
        </w:rPr>
        <w:t>n identified for generic items (s</w:t>
      </w:r>
      <w:r w:rsidR="00A52F68" w:rsidRPr="00813180">
        <w:rPr>
          <w:rFonts w:eastAsia="Calibri" w:cs="Arial"/>
        </w:rPr>
        <w:t xml:space="preserve">ee </w:t>
      </w:r>
      <w:hyperlink w:anchor="Appendix_A" w:history="1">
        <w:r w:rsidR="00A52F68" w:rsidRPr="0016759D">
          <w:rPr>
            <w:rStyle w:val="Hyperlink"/>
            <w:rFonts w:eastAsia="Calibri" w:cs="Arial"/>
          </w:rPr>
          <w:t>Append</w:t>
        </w:r>
        <w:r w:rsidR="00A52F68" w:rsidRPr="0016759D">
          <w:rPr>
            <w:rStyle w:val="Hyperlink"/>
            <w:rFonts w:eastAsia="Calibri" w:cs="Arial"/>
          </w:rPr>
          <w:t>i</w:t>
        </w:r>
        <w:r w:rsidR="00A52F68" w:rsidRPr="0016759D">
          <w:rPr>
            <w:rStyle w:val="Hyperlink"/>
            <w:rFonts w:eastAsia="Calibri" w:cs="Arial"/>
          </w:rPr>
          <w:t>x A</w:t>
        </w:r>
      </w:hyperlink>
      <w:r w:rsidR="00A52F68" w:rsidRPr="00813180">
        <w:rPr>
          <w:rFonts w:eastAsia="Calibri" w:cs="Arial"/>
        </w:rPr>
        <w:t>)</w:t>
      </w:r>
      <w:r w:rsidR="00813180">
        <w:rPr>
          <w:rFonts w:eastAsia="Calibri" w:cs="Arial"/>
        </w:rPr>
        <w:t>.</w:t>
      </w:r>
    </w:p>
    <w:p w14:paraId="77682482" w14:textId="2088BD28" w:rsidR="00A171AA" w:rsidRPr="00813180" w:rsidRDefault="00A171AA" w:rsidP="00A171AA">
      <w:pPr>
        <w:pStyle w:val="ListParagraph"/>
        <w:numPr>
          <w:ilvl w:val="0"/>
          <w:numId w:val="2"/>
        </w:numPr>
        <w:spacing w:after="200" w:line="276" w:lineRule="auto"/>
        <w:rPr>
          <w:rFonts w:eastAsia="Calibri" w:cs="Arial"/>
        </w:rPr>
      </w:pPr>
      <w:r w:rsidRPr="00813180">
        <w:rPr>
          <w:rFonts w:eastAsia="Calibri" w:cs="Arial"/>
          <w:b/>
        </w:rPr>
        <w:t>Mixed Legal Category</w:t>
      </w:r>
      <w:r w:rsidRPr="00813180">
        <w:rPr>
          <w:rFonts w:eastAsia="Calibri" w:cs="Arial"/>
        </w:rPr>
        <w:t xml:space="preserve"> Includes an example of an item that is commonly prescribed generically, where the legal category </w:t>
      </w:r>
      <w:proofErr w:type="spellStart"/>
      <w:r w:rsidRPr="00813180">
        <w:rPr>
          <w:rFonts w:eastAsia="Calibri" w:cs="Arial"/>
        </w:rPr>
        <w:t>can not</w:t>
      </w:r>
      <w:proofErr w:type="spellEnd"/>
      <w:r w:rsidRPr="00813180">
        <w:rPr>
          <w:rFonts w:eastAsia="Calibri" w:cs="Arial"/>
        </w:rPr>
        <w:t xml:space="preserve"> be assumed d</w:t>
      </w:r>
      <w:r w:rsidR="00813180">
        <w:rPr>
          <w:rFonts w:eastAsia="Calibri" w:cs="Arial"/>
        </w:rPr>
        <w:t>ue to multiple possible items (s</w:t>
      </w:r>
      <w:r w:rsidR="00A52F68" w:rsidRPr="00813180">
        <w:rPr>
          <w:rFonts w:eastAsia="Calibri" w:cs="Arial"/>
        </w:rPr>
        <w:t xml:space="preserve">ee </w:t>
      </w:r>
      <w:hyperlink w:anchor="Appendix_B" w:history="1">
        <w:r w:rsidR="00A52F68" w:rsidRPr="0016759D">
          <w:rPr>
            <w:rStyle w:val="Hyperlink"/>
            <w:rFonts w:eastAsia="Calibri" w:cs="Arial"/>
          </w:rPr>
          <w:t>Appendix</w:t>
        </w:r>
        <w:r w:rsidR="00A52F68" w:rsidRPr="0016759D">
          <w:rPr>
            <w:rStyle w:val="Hyperlink"/>
            <w:rFonts w:eastAsia="Calibri" w:cs="Arial"/>
          </w:rPr>
          <w:t xml:space="preserve"> </w:t>
        </w:r>
        <w:r w:rsidR="00A52F68" w:rsidRPr="0016759D">
          <w:rPr>
            <w:rStyle w:val="Hyperlink"/>
            <w:rFonts w:eastAsia="Calibri" w:cs="Arial"/>
          </w:rPr>
          <w:t>B</w:t>
        </w:r>
      </w:hyperlink>
      <w:r w:rsidR="00A52F68" w:rsidRPr="00813180">
        <w:rPr>
          <w:rFonts w:eastAsia="Calibri" w:cs="Arial"/>
        </w:rPr>
        <w:t>)</w:t>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p>
    <w:p w14:paraId="714D96D8" w14:textId="0349ED15" w:rsidR="00A171AA" w:rsidRPr="003D5073" w:rsidRDefault="00813180" w:rsidP="00A171AA">
      <w:pPr>
        <w:spacing w:after="200" w:line="276" w:lineRule="auto"/>
        <w:rPr>
          <w:rFonts w:eastAsia="Calibri" w:cs="Arial"/>
        </w:rPr>
      </w:pPr>
      <w:r>
        <w:rPr>
          <w:rFonts w:eastAsia="Calibri" w:cs="Arial"/>
          <w:b/>
        </w:rPr>
        <w:t>Data Source(s)</w:t>
      </w:r>
      <w:r w:rsidR="00A171AA" w:rsidRPr="003D5073">
        <w:rPr>
          <w:rFonts w:eastAsia="Calibri" w:cs="Arial"/>
          <w:b/>
        </w:rPr>
        <w:tab/>
      </w:r>
      <w:r w:rsidR="00A171AA" w:rsidRPr="003D5073">
        <w:rPr>
          <w:rFonts w:eastAsia="Calibri" w:cs="Arial"/>
        </w:rPr>
        <w:tab/>
      </w:r>
      <w:r w:rsidR="00A171AA" w:rsidRPr="003D5073">
        <w:rPr>
          <w:rFonts w:eastAsia="Calibri" w:cs="Arial"/>
        </w:rPr>
        <w:tab/>
      </w:r>
      <w:r w:rsidR="00A171AA" w:rsidRPr="003D5073">
        <w:rPr>
          <w:rFonts w:eastAsia="Calibri" w:cs="Arial"/>
        </w:rPr>
        <w:tab/>
      </w:r>
      <w:r w:rsidR="00A171AA" w:rsidRPr="003D5073">
        <w:rPr>
          <w:rFonts w:eastAsia="Calibri" w:cs="Arial"/>
        </w:rPr>
        <w:tab/>
      </w:r>
      <w:r w:rsidR="00A171AA" w:rsidRPr="003D5073">
        <w:rPr>
          <w:rFonts w:eastAsia="Calibri" w:cs="Arial"/>
        </w:rPr>
        <w:tab/>
      </w:r>
      <w:r w:rsidR="00A171AA" w:rsidRPr="003D5073">
        <w:rPr>
          <w:rFonts w:eastAsia="Calibri" w:cs="Arial"/>
        </w:rPr>
        <w:tab/>
      </w:r>
      <w:r w:rsidR="00A171AA" w:rsidRPr="003D5073">
        <w:rPr>
          <w:rFonts w:eastAsia="Calibri" w:cs="Arial"/>
        </w:rPr>
        <w:tab/>
      </w:r>
    </w:p>
    <w:p w14:paraId="6C7C63DE" w14:textId="1FBFB23A" w:rsidR="00813180" w:rsidRPr="00813180" w:rsidRDefault="00A171AA" w:rsidP="00813180">
      <w:pPr>
        <w:pStyle w:val="ListParagraph"/>
        <w:numPr>
          <w:ilvl w:val="0"/>
          <w:numId w:val="3"/>
        </w:numPr>
        <w:spacing w:after="200" w:line="276" w:lineRule="auto"/>
        <w:rPr>
          <w:rFonts w:eastAsia="Calibri" w:cs="Arial"/>
        </w:rPr>
      </w:pPr>
      <w:r w:rsidRPr="00813180">
        <w:rPr>
          <w:rFonts w:eastAsia="Calibri" w:cs="Arial"/>
        </w:rPr>
        <w:t xml:space="preserve">Data </w:t>
      </w:r>
      <w:r w:rsidR="00813180" w:rsidRPr="00813180">
        <w:rPr>
          <w:rFonts w:eastAsia="Calibri" w:cs="Arial"/>
        </w:rPr>
        <w:t xml:space="preserve">is </w:t>
      </w:r>
      <w:r w:rsidRPr="00813180">
        <w:rPr>
          <w:rFonts w:eastAsia="Calibri" w:cs="Arial"/>
        </w:rPr>
        <w:t>sourced from the NHSBSA Information Services DALL environment which is a sand-pit development environ</w:t>
      </w:r>
      <w:r w:rsidR="00B30ED6">
        <w:rPr>
          <w:rFonts w:eastAsia="Calibri" w:cs="Arial"/>
        </w:rPr>
        <w:t xml:space="preserve">ment used for data analytics. </w:t>
      </w:r>
      <w:r w:rsidRPr="00813180">
        <w:rPr>
          <w:rFonts w:eastAsia="Calibri" w:cs="Arial"/>
        </w:rPr>
        <w:t xml:space="preserve">Data within the DALL is sourced via ETL extracts from production databases at moments in time and is not maintained with any changes to </w:t>
      </w:r>
      <w:r w:rsidR="00813180" w:rsidRPr="00813180">
        <w:rPr>
          <w:rFonts w:eastAsia="Calibri" w:cs="Arial"/>
        </w:rPr>
        <w:t>original source material.</w:t>
      </w:r>
      <w:r w:rsidR="00813180" w:rsidRPr="00813180">
        <w:rPr>
          <w:rFonts w:eastAsia="Calibri" w:cs="Arial"/>
        </w:rPr>
        <w:tab/>
      </w:r>
      <w:r w:rsidR="00813180" w:rsidRPr="00813180">
        <w:rPr>
          <w:rFonts w:eastAsia="Calibri" w:cs="Arial"/>
        </w:rPr>
        <w:tab/>
      </w:r>
      <w:r w:rsidR="00813180" w:rsidRPr="00813180">
        <w:rPr>
          <w:rFonts w:eastAsia="Calibri" w:cs="Arial"/>
        </w:rPr>
        <w:tab/>
      </w:r>
    </w:p>
    <w:p w14:paraId="277BB07A" w14:textId="613E7BEF" w:rsidR="00A171AA" w:rsidRPr="00813180" w:rsidRDefault="00A171AA" w:rsidP="00813180">
      <w:pPr>
        <w:pStyle w:val="ListParagraph"/>
        <w:numPr>
          <w:ilvl w:val="0"/>
          <w:numId w:val="3"/>
        </w:numPr>
        <w:spacing w:after="200" w:line="276" w:lineRule="auto"/>
        <w:rPr>
          <w:rFonts w:eastAsia="Calibri" w:cs="Arial"/>
        </w:rPr>
      </w:pPr>
      <w:r w:rsidRPr="00813180">
        <w:rPr>
          <w:rFonts w:eastAsia="Calibri" w:cs="Arial"/>
        </w:rPr>
        <w:t>Prescription dat</w:t>
      </w:r>
      <w:r w:rsidR="00B30ED6">
        <w:rPr>
          <w:rFonts w:eastAsia="Calibri" w:cs="Arial"/>
        </w:rPr>
        <w:t>a is based on data from the NHS</w:t>
      </w:r>
      <w:r w:rsidRPr="00813180">
        <w:rPr>
          <w:rFonts w:eastAsia="Calibri" w:cs="Arial"/>
        </w:rPr>
        <w:t>BSA’s internal system (CIP) which contains NHS prescription data</w:t>
      </w:r>
      <w:r w:rsidR="00813180" w:rsidRPr="00813180">
        <w:rPr>
          <w:rFonts w:eastAsia="Calibri" w:cs="Arial"/>
        </w:rPr>
        <w:t>.</w:t>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p>
    <w:p w14:paraId="4F2DFD54" w14:textId="6009CE99" w:rsidR="00A171AA" w:rsidRPr="00813180" w:rsidRDefault="00A171AA" w:rsidP="00813180">
      <w:pPr>
        <w:pStyle w:val="ListParagraph"/>
        <w:numPr>
          <w:ilvl w:val="0"/>
          <w:numId w:val="3"/>
        </w:numPr>
        <w:spacing w:after="200" w:line="276" w:lineRule="auto"/>
        <w:rPr>
          <w:rFonts w:eastAsia="Calibri" w:cs="Arial"/>
        </w:rPr>
      </w:pPr>
      <w:r w:rsidRPr="00813180">
        <w:rPr>
          <w:rFonts w:eastAsia="Calibri" w:cs="Arial"/>
        </w:rPr>
        <w:t>Legal category data is based on data from the NHSBSA CDR (Common Drug Reference) databas</w:t>
      </w:r>
      <w:r w:rsidR="00B30ED6">
        <w:rPr>
          <w:rFonts w:eastAsia="Calibri" w:cs="Arial"/>
        </w:rPr>
        <w:t xml:space="preserve">e. </w:t>
      </w:r>
      <w:r w:rsidRPr="00813180">
        <w:rPr>
          <w:rFonts w:eastAsia="Calibri" w:cs="Arial"/>
        </w:rPr>
        <w:t xml:space="preserve">Data </w:t>
      </w:r>
      <w:r w:rsidR="00B30ED6">
        <w:rPr>
          <w:rFonts w:eastAsia="Calibri" w:cs="Arial"/>
        </w:rPr>
        <w:t xml:space="preserve">is </w:t>
      </w:r>
      <w:r w:rsidRPr="00813180">
        <w:rPr>
          <w:rFonts w:eastAsia="Calibri" w:cs="Arial"/>
        </w:rPr>
        <w:t>only included for prescription items where the patient’s NHS number could be identifie</w:t>
      </w:r>
      <w:r w:rsidR="00B30ED6">
        <w:rPr>
          <w:rFonts w:eastAsia="Calibri" w:cs="Arial"/>
        </w:rPr>
        <w:t>d from the prescription image. P</w:t>
      </w:r>
      <w:r w:rsidRPr="00813180">
        <w:rPr>
          <w:rFonts w:eastAsia="Calibri" w:cs="Arial"/>
        </w:rPr>
        <w:t xml:space="preserve">atient number information can only be captured from </w:t>
      </w:r>
      <w:r w:rsidR="00B30ED6">
        <w:rPr>
          <w:rFonts w:eastAsia="Calibri" w:cs="Arial"/>
        </w:rPr>
        <w:t>approx.</w:t>
      </w:r>
      <w:r w:rsidRPr="00813180">
        <w:rPr>
          <w:rFonts w:eastAsia="Calibri" w:cs="Arial"/>
        </w:rPr>
        <w:t xml:space="preserve"> 91% of prescriptions, although the capture rate may vary depending on criteria used within an analysis.</w:t>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r w:rsidRPr="00813180">
        <w:rPr>
          <w:rFonts w:eastAsia="Calibri" w:cs="Arial"/>
        </w:rPr>
        <w:tab/>
      </w:r>
    </w:p>
    <w:p w14:paraId="2D1ED93D" w14:textId="77777777" w:rsidR="009B7821" w:rsidRDefault="009B7821" w:rsidP="00A171AA">
      <w:pPr>
        <w:spacing w:after="200" w:line="276" w:lineRule="auto"/>
        <w:rPr>
          <w:rFonts w:eastAsia="Calibri" w:cs="Arial"/>
          <w:b/>
        </w:rPr>
      </w:pPr>
      <w:r>
        <w:rPr>
          <w:rFonts w:eastAsia="Calibri" w:cs="Arial"/>
          <w:b/>
        </w:rPr>
        <w:br w:type="page"/>
      </w:r>
    </w:p>
    <w:p w14:paraId="325C6485" w14:textId="33B11FD4" w:rsidR="00A171AA" w:rsidRPr="003D5073" w:rsidRDefault="00813180" w:rsidP="00A171AA">
      <w:pPr>
        <w:spacing w:after="200" w:line="276" w:lineRule="auto"/>
        <w:rPr>
          <w:rFonts w:eastAsia="Calibri" w:cs="Arial"/>
          <w:b/>
        </w:rPr>
      </w:pPr>
      <w:r>
        <w:rPr>
          <w:rFonts w:eastAsia="Calibri" w:cs="Arial"/>
          <w:b/>
        </w:rPr>
        <w:lastRenderedPageBreak/>
        <w:t>Time Period</w:t>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p>
    <w:p w14:paraId="1D891677" w14:textId="3EE6F074" w:rsidR="00A171AA" w:rsidRPr="003D5073" w:rsidRDefault="00A171AA" w:rsidP="00A171AA">
      <w:pPr>
        <w:spacing w:after="200" w:line="276" w:lineRule="auto"/>
        <w:rPr>
          <w:rFonts w:eastAsia="Calibri" w:cs="Arial"/>
        </w:rPr>
      </w:pPr>
      <w:r w:rsidRPr="003D5073">
        <w:rPr>
          <w:rFonts w:eastAsia="Calibri" w:cs="Arial"/>
        </w:rPr>
        <w:t xml:space="preserve">Prescribing data </w:t>
      </w:r>
      <w:r w:rsidR="00813180">
        <w:rPr>
          <w:rFonts w:eastAsia="Calibri" w:cs="Arial"/>
        </w:rPr>
        <w:t xml:space="preserve">is </w:t>
      </w:r>
      <w:r w:rsidRPr="003D5073">
        <w:rPr>
          <w:rFonts w:eastAsia="Calibri" w:cs="Arial"/>
        </w:rPr>
        <w:t xml:space="preserve">included for the period of </w:t>
      </w:r>
      <w:r w:rsidR="00CD4E6E">
        <w:rPr>
          <w:rFonts w:eastAsia="Calibri" w:cs="Arial"/>
        </w:rPr>
        <w:t>January 2016 to December 2016. The l</w:t>
      </w:r>
      <w:r w:rsidRPr="003D5073">
        <w:rPr>
          <w:rFonts w:eastAsia="Calibri" w:cs="Arial"/>
        </w:rPr>
        <w:t>egal classification of medicines is based on the legal category for the product on the last day of the month for which</w:t>
      </w:r>
      <w:r w:rsidR="00CD4E6E">
        <w:rPr>
          <w:rFonts w:eastAsia="Calibri" w:cs="Arial"/>
        </w:rPr>
        <w:t xml:space="preserve"> the prescription was submitted.</w:t>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r w:rsidRPr="003D5073">
        <w:rPr>
          <w:rFonts w:eastAsia="Calibri" w:cs="Arial"/>
        </w:rPr>
        <w:tab/>
      </w:r>
    </w:p>
    <w:p w14:paraId="2F2F8609" w14:textId="1DE7CB97" w:rsidR="00A171AA" w:rsidRPr="003D5073" w:rsidRDefault="00813180" w:rsidP="00A171AA">
      <w:pPr>
        <w:spacing w:after="200" w:line="276" w:lineRule="auto"/>
        <w:rPr>
          <w:rFonts w:eastAsia="Calibri" w:cs="Arial"/>
          <w:b/>
        </w:rPr>
      </w:pPr>
      <w:r>
        <w:rPr>
          <w:rFonts w:eastAsia="Calibri" w:cs="Arial"/>
          <w:b/>
        </w:rPr>
        <w:t>Prescribing Data</w:t>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r w:rsidR="00A171AA" w:rsidRPr="003D5073">
        <w:rPr>
          <w:rFonts w:eastAsia="Calibri" w:cs="Arial"/>
          <w:b/>
        </w:rPr>
        <w:tab/>
      </w:r>
    </w:p>
    <w:p w14:paraId="57BB883E" w14:textId="4E386A09" w:rsidR="005B4748" w:rsidRDefault="00C36359" w:rsidP="00A171AA">
      <w:pPr>
        <w:tabs>
          <w:tab w:val="left" w:pos="7842"/>
        </w:tabs>
        <w:spacing w:line="320" w:lineRule="exact"/>
        <w:rPr>
          <w:rFonts w:eastAsia="Calibri" w:cs="Arial"/>
        </w:rPr>
      </w:pPr>
      <w:r>
        <w:rPr>
          <w:rFonts w:eastAsia="Calibri" w:cs="Arial"/>
        </w:rPr>
        <w:t>Prescribing data is b</w:t>
      </w:r>
      <w:r w:rsidR="00A171AA" w:rsidRPr="003D5073">
        <w:rPr>
          <w:rFonts w:eastAsia="Calibri" w:cs="Arial"/>
        </w:rPr>
        <w:t xml:space="preserve">ased on dispensed prescription items </w:t>
      </w:r>
      <w:r w:rsidR="00CD4E6E">
        <w:rPr>
          <w:rFonts w:eastAsia="Calibri" w:cs="Arial"/>
        </w:rPr>
        <w:t>that were reimbursed by the NHS</w:t>
      </w:r>
      <w:r w:rsidR="00A171AA" w:rsidRPr="003D5073">
        <w:rPr>
          <w:rFonts w:eastAsia="Calibri" w:cs="Arial"/>
        </w:rPr>
        <w:t xml:space="preserve">BSA, not including items not dispensed, disallowed and return backs. </w:t>
      </w:r>
      <w:r>
        <w:rPr>
          <w:rFonts w:eastAsia="Calibri" w:cs="Arial"/>
        </w:rPr>
        <w:t>It i</w:t>
      </w:r>
      <w:r w:rsidR="00A171AA" w:rsidRPr="003D5073">
        <w:rPr>
          <w:rFonts w:eastAsia="Calibri" w:cs="Arial"/>
        </w:rPr>
        <w:t xml:space="preserve">ncludes </w:t>
      </w:r>
      <w:r w:rsidRPr="003D5073">
        <w:rPr>
          <w:rFonts w:eastAsia="Calibri" w:cs="Arial"/>
        </w:rPr>
        <w:t>all available items prescribed and dispensed in England</w:t>
      </w:r>
      <w:r>
        <w:rPr>
          <w:rFonts w:eastAsia="Calibri" w:cs="Arial"/>
        </w:rPr>
        <w:t xml:space="preserve">, including </w:t>
      </w:r>
      <w:r w:rsidR="00A171AA" w:rsidRPr="003D5073">
        <w:rPr>
          <w:rFonts w:eastAsia="Calibri" w:cs="Arial"/>
        </w:rPr>
        <w:t>prescribing of any items which have been flagged within the CDR data</w:t>
      </w:r>
      <w:r>
        <w:rPr>
          <w:rFonts w:eastAsia="Calibri" w:cs="Arial"/>
        </w:rPr>
        <w:t>base as discontinued.</w:t>
      </w:r>
      <w:r w:rsidR="00BA0E72">
        <w:rPr>
          <w:rFonts w:eastAsia="Calibri" w:cs="Arial"/>
        </w:rPr>
        <w:t xml:space="preserve"> </w:t>
      </w:r>
      <w:r w:rsidR="00BA0E72">
        <w:rPr>
          <w:rFonts w:eastAsia="Calibri" w:cs="Arial"/>
        </w:rPr>
        <w:t>It excludes</w:t>
      </w:r>
      <w:r w:rsidR="00BA0E72" w:rsidRPr="003D5073">
        <w:rPr>
          <w:rFonts w:eastAsia="Calibri" w:cs="Arial"/>
        </w:rPr>
        <w:t xml:space="preserve"> items prescribed but not presented for dispensing or not submitted to NHS Prescription Services by the dispenser.</w:t>
      </w:r>
      <w:r w:rsidR="005B4748">
        <w:rPr>
          <w:rFonts w:eastAsia="Calibri" w:cs="Arial"/>
        </w:rPr>
        <w:br w:type="page"/>
      </w:r>
    </w:p>
    <w:p w14:paraId="356930F6" w14:textId="77777777" w:rsidR="00C15B7E" w:rsidRDefault="000C4DCC" w:rsidP="00A171AA">
      <w:pPr>
        <w:tabs>
          <w:tab w:val="left" w:pos="7842"/>
        </w:tabs>
        <w:spacing w:line="320" w:lineRule="exact"/>
        <w:rPr>
          <w:rFonts w:eastAsia="Calibri" w:cs="Arial"/>
          <w:b/>
        </w:rPr>
      </w:pPr>
      <w:bookmarkStart w:id="0" w:name="Appendix_A"/>
      <w:bookmarkEnd w:id="0"/>
      <w:r>
        <w:rPr>
          <w:rFonts w:eastAsia="Calibri" w:cs="Arial"/>
          <w:b/>
        </w:rPr>
        <w:lastRenderedPageBreak/>
        <w:t>Appendix A</w:t>
      </w:r>
    </w:p>
    <w:p w14:paraId="491328D4" w14:textId="77777777" w:rsidR="00C15B7E" w:rsidRPr="0008034D" w:rsidRDefault="00C15B7E" w:rsidP="00A171AA">
      <w:pPr>
        <w:tabs>
          <w:tab w:val="left" w:pos="7842"/>
        </w:tabs>
        <w:spacing w:line="320" w:lineRule="exact"/>
        <w:rPr>
          <w:rFonts w:eastAsia="Calibri" w:cs="Arial"/>
        </w:rPr>
      </w:pPr>
    </w:p>
    <w:p w14:paraId="7E5FDA9C" w14:textId="70924A90" w:rsidR="00C15B7E" w:rsidRPr="0008034D" w:rsidRDefault="00C15B7E" w:rsidP="00C15B7E">
      <w:pPr>
        <w:tabs>
          <w:tab w:val="left" w:pos="7842"/>
        </w:tabs>
        <w:spacing w:line="320" w:lineRule="exact"/>
        <w:rPr>
          <w:rFonts w:eastAsia="Calibri" w:cs="Arial"/>
        </w:rPr>
      </w:pPr>
      <w:r w:rsidRPr="0008034D">
        <w:rPr>
          <w:rFonts w:eastAsia="Calibri" w:cs="Arial"/>
        </w:rPr>
        <w:t xml:space="preserve">Within NHSBSA data systems medicines prescribed are recorded by using either an AMPP (Actual Medicinal Product Pack) or VMPP (Virtual Medicinal Product Pack) code.  When an actual product (branded items) has been prescribed the system will hold the AMPP code of the item and when an item has been prescribed as a generic the system will hold the VMPP code. </w:t>
      </w:r>
    </w:p>
    <w:p w14:paraId="3E5289E2" w14:textId="77777777" w:rsidR="00C15B7E" w:rsidRPr="0008034D" w:rsidRDefault="00C15B7E" w:rsidP="00C15B7E">
      <w:pPr>
        <w:tabs>
          <w:tab w:val="left" w:pos="7842"/>
        </w:tabs>
        <w:spacing w:line="320" w:lineRule="exact"/>
        <w:rPr>
          <w:rFonts w:eastAsia="Calibri" w:cs="Arial"/>
        </w:rPr>
      </w:pPr>
    </w:p>
    <w:p w14:paraId="7F807CA3" w14:textId="77777777" w:rsidR="00C15B7E" w:rsidRPr="0008034D" w:rsidRDefault="00C15B7E" w:rsidP="00C15B7E">
      <w:pPr>
        <w:tabs>
          <w:tab w:val="left" w:pos="7842"/>
        </w:tabs>
        <w:spacing w:line="320" w:lineRule="exact"/>
        <w:rPr>
          <w:rFonts w:eastAsia="Calibri" w:cs="Arial"/>
        </w:rPr>
      </w:pPr>
      <w:r w:rsidRPr="0008034D">
        <w:rPr>
          <w:rFonts w:eastAsia="Calibri" w:cs="Arial"/>
        </w:rPr>
        <w:t xml:space="preserve">The legal category for any item is defined at the AMPP level.  Therefore it is not possible to directly identify the legal category of any drugs at the VMPP level as there is no direct one-to-one match between the AMPP and VMPP codes.  </w:t>
      </w:r>
    </w:p>
    <w:p w14:paraId="7F3A7BBD" w14:textId="77777777" w:rsidR="00C15B7E" w:rsidRPr="0008034D" w:rsidRDefault="00C15B7E" w:rsidP="00C15B7E">
      <w:pPr>
        <w:tabs>
          <w:tab w:val="left" w:pos="7842"/>
        </w:tabs>
        <w:spacing w:line="320" w:lineRule="exact"/>
        <w:rPr>
          <w:rFonts w:eastAsia="Calibri" w:cs="Arial"/>
        </w:rPr>
      </w:pPr>
    </w:p>
    <w:p w14:paraId="01A9EBB0" w14:textId="77777777" w:rsidR="00C15B7E" w:rsidRPr="0008034D" w:rsidRDefault="00C15B7E" w:rsidP="00C15B7E">
      <w:pPr>
        <w:tabs>
          <w:tab w:val="left" w:pos="7842"/>
        </w:tabs>
        <w:spacing w:line="320" w:lineRule="exact"/>
        <w:rPr>
          <w:rFonts w:eastAsia="Calibri" w:cs="Arial"/>
        </w:rPr>
      </w:pPr>
      <w:r w:rsidRPr="0008034D">
        <w:rPr>
          <w:rFonts w:eastAsia="Calibri" w:cs="Arial"/>
        </w:rPr>
        <w:t>As a larger proportion of items are prescribed generically using VMPP codes, where possible the legal category has been derived for each VMPP code.  The method used to assign legal categories to VMPPs is to identify all the AMPPs that relate to an individual VMPP and then find the legal category for each of these AMPPs.  When all of the AMPPs have the same legal category, it has been assumed that this legal category can be attributed to the VMPP.</w:t>
      </w:r>
    </w:p>
    <w:p w14:paraId="6EC3734F" w14:textId="77777777" w:rsidR="00C15B7E" w:rsidRPr="0008034D" w:rsidRDefault="00C15B7E" w:rsidP="00C15B7E">
      <w:pPr>
        <w:tabs>
          <w:tab w:val="left" w:pos="7842"/>
        </w:tabs>
        <w:spacing w:line="320" w:lineRule="exact"/>
        <w:rPr>
          <w:rFonts w:eastAsia="Calibri" w:cs="Arial"/>
        </w:rPr>
      </w:pPr>
    </w:p>
    <w:p w14:paraId="5B2B9CA1" w14:textId="5242AA8B" w:rsidR="00C15B7E" w:rsidRPr="0008034D" w:rsidRDefault="00C15B7E" w:rsidP="00C15B7E">
      <w:pPr>
        <w:tabs>
          <w:tab w:val="left" w:pos="7842"/>
        </w:tabs>
        <w:spacing w:line="320" w:lineRule="exact"/>
        <w:rPr>
          <w:rFonts w:eastAsia="Calibri" w:cs="Arial"/>
        </w:rPr>
      </w:pPr>
      <w:r w:rsidRPr="0008034D">
        <w:rPr>
          <w:rFonts w:eastAsia="Calibri" w:cs="Arial"/>
        </w:rPr>
        <w:t xml:space="preserve">In situations where the AMPPs for a single VMPP have different legal categories a status of 'Unknown' </w:t>
      </w:r>
      <w:proofErr w:type="gramStart"/>
      <w:r w:rsidRPr="0008034D">
        <w:rPr>
          <w:rFonts w:eastAsia="Calibri" w:cs="Arial"/>
        </w:rPr>
        <w:t>has</w:t>
      </w:r>
      <w:proofErr w:type="gramEnd"/>
      <w:r w:rsidRPr="0008034D">
        <w:rPr>
          <w:rFonts w:eastAsia="Calibri" w:cs="Arial"/>
        </w:rPr>
        <w:t xml:space="preserve"> been assigned as there is no way to confidently define which AMPP has been used when drugs have been prescribed at the VMPP level.  This situation accounts for only 1.1% of all VMPPs.  Please</w:t>
      </w:r>
      <w:r w:rsidR="00A902FD">
        <w:rPr>
          <w:rFonts w:eastAsia="Calibri" w:cs="Arial"/>
        </w:rPr>
        <w:t xml:space="preserve"> see the additional worksheet ‘Mixed Legal Category’ </w:t>
      </w:r>
      <w:r w:rsidRPr="0008034D">
        <w:rPr>
          <w:rFonts w:eastAsia="Calibri" w:cs="Arial"/>
        </w:rPr>
        <w:t>for an example.</w:t>
      </w:r>
    </w:p>
    <w:p w14:paraId="3324A654" w14:textId="77777777" w:rsidR="00C15B7E" w:rsidRPr="0008034D" w:rsidRDefault="00C15B7E" w:rsidP="00C15B7E">
      <w:pPr>
        <w:tabs>
          <w:tab w:val="left" w:pos="7842"/>
        </w:tabs>
        <w:spacing w:line="320" w:lineRule="exact"/>
        <w:rPr>
          <w:rFonts w:eastAsia="Calibri" w:cs="Arial"/>
        </w:rPr>
      </w:pPr>
    </w:p>
    <w:p w14:paraId="094D3E42" w14:textId="7BB4A429" w:rsidR="000C1C96" w:rsidRPr="0008034D" w:rsidRDefault="00C15B7E" w:rsidP="00C15B7E">
      <w:pPr>
        <w:tabs>
          <w:tab w:val="left" w:pos="7842"/>
        </w:tabs>
        <w:spacing w:line="320" w:lineRule="exact"/>
        <w:rPr>
          <w:rFonts w:eastAsia="Calibri" w:cs="Arial"/>
        </w:rPr>
      </w:pPr>
      <w:r w:rsidRPr="0008034D">
        <w:rPr>
          <w:rFonts w:eastAsia="Calibri" w:cs="Arial"/>
        </w:rPr>
        <w:t>Please note, as this analysis includes items for products which have been marked as discontinued this could also have impacted on the legal classifications.  Therefore, if a discontinued product at AMPP level has a different legal category to the other products within the VMPP group, this will cause the legal category of the VMPP item to be set to 'Unknown', regardless of whether there was any prescribing assigned to t</w:t>
      </w:r>
      <w:r w:rsidR="00A902FD">
        <w:rPr>
          <w:rFonts w:eastAsia="Calibri" w:cs="Arial"/>
        </w:rPr>
        <w:t>he discontinued product or not.</w:t>
      </w:r>
      <w:bookmarkStart w:id="1" w:name="_GoBack"/>
      <w:bookmarkEnd w:id="1"/>
      <w:r w:rsidRPr="0008034D">
        <w:rPr>
          <w:rFonts w:eastAsia="Calibri" w:cs="Arial"/>
        </w:rPr>
        <w:tab/>
      </w:r>
      <w:r w:rsidRPr="0008034D">
        <w:rPr>
          <w:rFonts w:eastAsia="Calibri" w:cs="Arial"/>
        </w:rPr>
        <w:tab/>
      </w:r>
      <w:r w:rsidRPr="0008034D">
        <w:rPr>
          <w:rFonts w:eastAsia="Calibri" w:cs="Arial"/>
        </w:rPr>
        <w:tab/>
      </w:r>
      <w:r w:rsidRPr="0008034D">
        <w:rPr>
          <w:rFonts w:eastAsia="Calibri" w:cs="Arial"/>
        </w:rPr>
        <w:tab/>
      </w:r>
    </w:p>
    <w:p w14:paraId="61BE8D1B" w14:textId="0FDC6647" w:rsidR="000C1C96" w:rsidRPr="0008034D" w:rsidRDefault="000C1C96" w:rsidP="00C15B7E">
      <w:pPr>
        <w:tabs>
          <w:tab w:val="left" w:pos="7842"/>
        </w:tabs>
        <w:spacing w:line="320" w:lineRule="exact"/>
        <w:rPr>
          <w:rFonts w:eastAsia="Calibri" w:cs="Arial"/>
        </w:rPr>
      </w:pPr>
      <w:r w:rsidRPr="0008034D">
        <w:rPr>
          <w:rFonts w:cs="Arial"/>
          <w:noProof/>
          <w:lang w:eastAsia="en-GB"/>
        </w:rPr>
        <w:drawing>
          <wp:anchor distT="0" distB="0" distL="114300" distR="114300" simplePos="0" relativeHeight="251659264" behindDoc="1" locked="0" layoutInCell="1" allowOverlap="1" wp14:anchorId="074AE592" wp14:editId="7AB1539A">
            <wp:simplePos x="0" y="0"/>
            <wp:positionH relativeFrom="column">
              <wp:posOffset>-31115</wp:posOffset>
            </wp:positionH>
            <wp:positionV relativeFrom="paragraph">
              <wp:posOffset>150950</wp:posOffset>
            </wp:positionV>
            <wp:extent cx="6116320" cy="225742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16320" cy="2257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3832BA" w14:textId="77777777" w:rsidR="000C1C96" w:rsidRPr="0008034D" w:rsidRDefault="000C1C96" w:rsidP="00C15B7E">
      <w:pPr>
        <w:tabs>
          <w:tab w:val="left" w:pos="7842"/>
        </w:tabs>
        <w:spacing w:line="320" w:lineRule="exact"/>
        <w:rPr>
          <w:rFonts w:eastAsia="Calibri" w:cs="Arial"/>
        </w:rPr>
      </w:pPr>
    </w:p>
    <w:p w14:paraId="14FEF552" w14:textId="77777777" w:rsidR="000C1C96" w:rsidRPr="0008034D" w:rsidRDefault="000C1C96" w:rsidP="00C15B7E">
      <w:pPr>
        <w:tabs>
          <w:tab w:val="left" w:pos="7842"/>
        </w:tabs>
        <w:spacing w:line="320" w:lineRule="exact"/>
        <w:rPr>
          <w:rFonts w:eastAsia="Calibri" w:cs="Arial"/>
        </w:rPr>
      </w:pPr>
    </w:p>
    <w:p w14:paraId="141605E9" w14:textId="77777777" w:rsidR="000C1C96" w:rsidRPr="0008034D" w:rsidRDefault="000C1C96" w:rsidP="00C15B7E">
      <w:pPr>
        <w:tabs>
          <w:tab w:val="left" w:pos="7842"/>
        </w:tabs>
        <w:spacing w:line="320" w:lineRule="exact"/>
        <w:rPr>
          <w:rFonts w:eastAsia="Calibri" w:cs="Arial"/>
        </w:rPr>
      </w:pPr>
    </w:p>
    <w:p w14:paraId="2BED7B2F" w14:textId="77777777" w:rsidR="000C1C96" w:rsidRPr="0008034D" w:rsidRDefault="000C1C96" w:rsidP="00C15B7E">
      <w:pPr>
        <w:tabs>
          <w:tab w:val="left" w:pos="7842"/>
        </w:tabs>
        <w:spacing w:line="320" w:lineRule="exact"/>
        <w:rPr>
          <w:rFonts w:eastAsia="Calibri" w:cs="Arial"/>
        </w:rPr>
      </w:pPr>
    </w:p>
    <w:p w14:paraId="509B951D" w14:textId="77777777" w:rsidR="000C1C96" w:rsidRPr="0008034D" w:rsidRDefault="000C1C96" w:rsidP="00C15B7E">
      <w:pPr>
        <w:tabs>
          <w:tab w:val="left" w:pos="7842"/>
        </w:tabs>
        <w:spacing w:line="320" w:lineRule="exact"/>
        <w:rPr>
          <w:rFonts w:eastAsia="Calibri" w:cs="Arial"/>
        </w:rPr>
      </w:pPr>
    </w:p>
    <w:p w14:paraId="7BB4479B" w14:textId="77777777" w:rsidR="000C1C96" w:rsidRPr="0008034D" w:rsidRDefault="000C1C96" w:rsidP="00C15B7E">
      <w:pPr>
        <w:tabs>
          <w:tab w:val="left" w:pos="7842"/>
        </w:tabs>
        <w:spacing w:line="320" w:lineRule="exact"/>
        <w:rPr>
          <w:rFonts w:eastAsia="Calibri" w:cs="Arial"/>
        </w:rPr>
      </w:pPr>
    </w:p>
    <w:p w14:paraId="4E2C0FDA" w14:textId="77777777" w:rsidR="000C1C96" w:rsidRPr="0008034D" w:rsidRDefault="000C1C96" w:rsidP="00C15B7E">
      <w:pPr>
        <w:tabs>
          <w:tab w:val="left" w:pos="7842"/>
        </w:tabs>
        <w:spacing w:line="320" w:lineRule="exact"/>
        <w:rPr>
          <w:rFonts w:eastAsia="Calibri" w:cs="Arial"/>
        </w:rPr>
      </w:pPr>
    </w:p>
    <w:p w14:paraId="49F86ADF" w14:textId="735A1402" w:rsidR="00C15B7E" w:rsidRPr="0008034D" w:rsidRDefault="00C15B7E" w:rsidP="00C15B7E">
      <w:pPr>
        <w:tabs>
          <w:tab w:val="left" w:pos="7842"/>
        </w:tabs>
        <w:spacing w:line="320" w:lineRule="exact"/>
        <w:rPr>
          <w:rFonts w:eastAsia="Calibri" w:cs="Arial"/>
        </w:rPr>
      </w:pPr>
      <w:r w:rsidRPr="0008034D">
        <w:rPr>
          <w:rFonts w:eastAsia="Calibri" w:cs="Arial"/>
        </w:rPr>
        <w:tab/>
      </w:r>
      <w:r w:rsidRPr="0008034D">
        <w:rPr>
          <w:rFonts w:eastAsia="Calibri" w:cs="Arial"/>
        </w:rPr>
        <w:tab/>
      </w:r>
      <w:r w:rsidRPr="0008034D">
        <w:rPr>
          <w:rFonts w:eastAsia="Calibri" w:cs="Arial"/>
        </w:rPr>
        <w:tab/>
      </w:r>
    </w:p>
    <w:p w14:paraId="43CA24BB" w14:textId="77777777" w:rsidR="0008034D" w:rsidRPr="0008034D" w:rsidRDefault="0008034D" w:rsidP="00C15B7E">
      <w:pPr>
        <w:tabs>
          <w:tab w:val="left" w:pos="7842"/>
        </w:tabs>
        <w:spacing w:line="320" w:lineRule="exact"/>
        <w:rPr>
          <w:rFonts w:eastAsia="Calibri" w:cs="Arial"/>
          <w:b/>
        </w:rPr>
      </w:pPr>
    </w:p>
    <w:p w14:paraId="3CEFF62C" w14:textId="77777777" w:rsidR="0008034D" w:rsidRPr="0008034D" w:rsidRDefault="0008034D" w:rsidP="00C15B7E">
      <w:pPr>
        <w:tabs>
          <w:tab w:val="left" w:pos="7842"/>
        </w:tabs>
        <w:spacing w:line="320" w:lineRule="exact"/>
        <w:rPr>
          <w:rFonts w:eastAsia="Calibri" w:cs="Arial"/>
          <w:b/>
        </w:rPr>
      </w:pPr>
    </w:p>
    <w:p w14:paraId="602DD622" w14:textId="77777777" w:rsidR="0008034D" w:rsidRPr="0008034D" w:rsidRDefault="0008034D" w:rsidP="00C15B7E">
      <w:pPr>
        <w:tabs>
          <w:tab w:val="left" w:pos="7842"/>
        </w:tabs>
        <w:spacing w:line="320" w:lineRule="exact"/>
        <w:rPr>
          <w:rFonts w:eastAsia="Calibri" w:cs="Arial"/>
          <w:b/>
        </w:rPr>
      </w:pPr>
    </w:p>
    <w:p w14:paraId="597CB163" w14:textId="77777777" w:rsidR="0008034D" w:rsidRPr="0008034D" w:rsidRDefault="0008034D" w:rsidP="00C15B7E">
      <w:pPr>
        <w:tabs>
          <w:tab w:val="left" w:pos="7842"/>
        </w:tabs>
        <w:spacing w:line="320" w:lineRule="exact"/>
        <w:rPr>
          <w:rFonts w:eastAsia="Calibri" w:cs="Arial"/>
          <w:b/>
        </w:rPr>
      </w:pPr>
    </w:p>
    <w:p w14:paraId="6060B2A9" w14:textId="77777777" w:rsidR="005B4748" w:rsidRDefault="005B4748" w:rsidP="00C15B7E">
      <w:pPr>
        <w:tabs>
          <w:tab w:val="left" w:pos="7842"/>
        </w:tabs>
        <w:spacing w:line="320" w:lineRule="exact"/>
        <w:rPr>
          <w:rFonts w:eastAsia="Calibri" w:cs="Arial"/>
          <w:b/>
        </w:rPr>
      </w:pPr>
      <w:r>
        <w:rPr>
          <w:rFonts w:eastAsia="Calibri" w:cs="Arial"/>
          <w:b/>
        </w:rPr>
        <w:br w:type="page"/>
      </w:r>
    </w:p>
    <w:p w14:paraId="5AA75F83" w14:textId="79663087" w:rsidR="00C15B7E" w:rsidRDefault="00C15B7E" w:rsidP="00C15B7E">
      <w:pPr>
        <w:tabs>
          <w:tab w:val="left" w:pos="7842"/>
        </w:tabs>
        <w:spacing w:line="320" w:lineRule="exact"/>
        <w:rPr>
          <w:rFonts w:eastAsia="Calibri" w:cs="Arial"/>
          <w:b/>
        </w:rPr>
      </w:pPr>
      <w:bookmarkStart w:id="2" w:name="Appendix_B"/>
      <w:bookmarkEnd w:id="2"/>
      <w:r w:rsidRPr="0008034D">
        <w:rPr>
          <w:rFonts w:eastAsia="Calibri" w:cs="Arial"/>
          <w:b/>
        </w:rPr>
        <w:lastRenderedPageBreak/>
        <w:t>Appendix B</w:t>
      </w:r>
    </w:p>
    <w:p w14:paraId="6711BB5E" w14:textId="77777777" w:rsidR="0008034D" w:rsidRPr="0008034D" w:rsidRDefault="0008034D" w:rsidP="00C15B7E">
      <w:pPr>
        <w:tabs>
          <w:tab w:val="left" w:pos="7842"/>
        </w:tabs>
        <w:spacing w:line="320" w:lineRule="exact"/>
        <w:rPr>
          <w:rFonts w:eastAsia="Calibri" w:cs="Arial"/>
          <w:b/>
        </w:rPr>
      </w:pPr>
    </w:p>
    <w:p w14:paraId="1E68D949" w14:textId="62956518" w:rsidR="00C15B7E" w:rsidRPr="0008034D" w:rsidRDefault="00C15B7E" w:rsidP="00C15B7E">
      <w:pPr>
        <w:tabs>
          <w:tab w:val="left" w:pos="7842"/>
        </w:tabs>
        <w:spacing w:line="320" w:lineRule="exact"/>
        <w:rPr>
          <w:rFonts w:eastAsia="Calibri" w:cs="Arial"/>
        </w:rPr>
      </w:pPr>
      <w:r w:rsidRPr="0008034D">
        <w:rPr>
          <w:rFonts w:eastAsia="Calibri" w:cs="Arial"/>
        </w:rPr>
        <w:t>The table below looks at a collection of AMPP (brand) products associated to a single VMPP (generic) product, where the legal status is different for a number of the AMPPs.</w:t>
      </w:r>
    </w:p>
    <w:p w14:paraId="37649744" w14:textId="77777777" w:rsidR="00C15B7E" w:rsidRPr="0008034D" w:rsidRDefault="00C15B7E" w:rsidP="00C15B7E">
      <w:pPr>
        <w:tabs>
          <w:tab w:val="left" w:pos="7842"/>
        </w:tabs>
        <w:spacing w:line="320" w:lineRule="exact"/>
        <w:rPr>
          <w:rFonts w:eastAsia="Calibri" w:cs="Arial"/>
        </w:rPr>
      </w:pPr>
    </w:p>
    <w:p w14:paraId="290BEC10" w14:textId="3327C519" w:rsidR="00C15B7E" w:rsidRPr="0008034D" w:rsidRDefault="00C15B7E" w:rsidP="00C15B7E">
      <w:pPr>
        <w:tabs>
          <w:tab w:val="left" w:pos="7842"/>
        </w:tabs>
        <w:spacing w:line="320" w:lineRule="exact"/>
        <w:rPr>
          <w:rFonts w:eastAsia="Calibri" w:cs="Arial"/>
        </w:rPr>
      </w:pPr>
      <w:r w:rsidRPr="0008034D">
        <w:rPr>
          <w:rFonts w:eastAsia="Calibri" w:cs="Arial"/>
        </w:rPr>
        <w:t>The drug being examined is the most c</w:t>
      </w:r>
      <w:r w:rsidR="00A902FD">
        <w:rPr>
          <w:rFonts w:eastAsia="Calibri" w:cs="Arial"/>
        </w:rPr>
        <w:t>ommonly prescribed such item, ‘</w:t>
      </w:r>
      <w:r w:rsidRPr="0008034D">
        <w:rPr>
          <w:rFonts w:eastAsia="Calibri" w:cs="Arial"/>
        </w:rPr>
        <w:t>Aspirin 75mg dispersible tab</w:t>
      </w:r>
      <w:r w:rsidR="00A902FD">
        <w:rPr>
          <w:rFonts w:eastAsia="Calibri" w:cs="Arial"/>
        </w:rPr>
        <w:t>lets’</w:t>
      </w:r>
      <w:r w:rsidRPr="0008034D">
        <w:rPr>
          <w:rFonts w:eastAsia="Calibri" w:cs="Arial"/>
        </w:rPr>
        <w:t xml:space="preserve"> which was prescribed 1.5m times during January 2016 alone.</w:t>
      </w:r>
    </w:p>
    <w:p w14:paraId="496BEBEB" w14:textId="77777777" w:rsidR="00C15B7E" w:rsidRPr="0008034D" w:rsidRDefault="00C15B7E" w:rsidP="00C15B7E">
      <w:pPr>
        <w:tabs>
          <w:tab w:val="left" w:pos="7842"/>
        </w:tabs>
        <w:spacing w:line="320" w:lineRule="exact"/>
        <w:rPr>
          <w:rFonts w:eastAsia="Calibri" w:cs="Arial"/>
        </w:rPr>
      </w:pPr>
    </w:p>
    <w:p w14:paraId="4C46627F" w14:textId="77777777" w:rsidR="00C15B7E" w:rsidRPr="0008034D" w:rsidRDefault="00C15B7E" w:rsidP="00C15B7E">
      <w:pPr>
        <w:tabs>
          <w:tab w:val="left" w:pos="7842"/>
        </w:tabs>
        <w:spacing w:line="320" w:lineRule="exact"/>
        <w:rPr>
          <w:rFonts w:eastAsia="Calibri" w:cs="Arial"/>
        </w:rPr>
      </w:pPr>
      <w:r w:rsidRPr="0008034D">
        <w:rPr>
          <w:rFonts w:eastAsia="Calibri" w:cs="Arial"/>
        </w:rPr>
        <w:t>Looking at the AMPP legal categories, three of the four possible options are covered with items existing for categories of 'POM', 'GSL' and 'P'.</w:t>
      </w:r>
    </w:p>
    <w:p w14:paraId="433D90F5" w14:textId="77777777" w:rsidR="00C15B7E" w:rsidRPr="0008034D" w:rsidRDefault="00C15B7E" w:rsidP="00C15B7E">
      <w:pPr>
        <w:tabs>
          <w:tab w:val="left" w:pos="7842"/>
        </w:tabs>
        <w:spacing w:line="320" w:lineRule="exact"/>
        <w:rPr>
          <w:rFonts w:eastAsia="Calibri" w:cs="Arial"/>
        </w:rPr>
      </w:pPr>
    </w:p>
    <w:p w14:paraId="5280AADD" w14:textId="680AA490" w:rsidR="00A171AA" w:rsidRPr="008A4F37" w:rsidRDefault="000C1C96" w:rsidP="00C15B7E">
      <w:pPr>
        <w:tabs>
          <w:tab w:val="left" w:pos="7842"/>
        </w:tabs>
        <w:spacing w:line="320" w:lineRule="exact"/>
        <w:rPr>
          <w:rFonts w:cs="Arial"/>
        </w:rPr>
      </w:pPr>
      <w:r w:rsidRPr="0008034D">
        <w:rPr>
          <w:rFonts w:cs="Arial"/>
          <w:noProof/>
          <w:lang w:eastAsia="en-GB"/>
        </w:rPr>
        <w:drawing>
          <wp:anchor distT="0" distB="0" distL="114300" distR="114300" simplePos="0" relativeHeight="251658240" behindDoc="1" locked="0" layoutInCell="1" allowOverlap="1" wp14:anchorId="47B0AA30" wp14:editId="173F26E0">
            <wp:simplePos x="0" y="0"/>
            <wp:positionH relativeFrom="column">
              <wp:posOffset>-167356</wp:posOffset>
            </wp:positionH>
            <wp:positionV relativeFrom="paragraph">
              <wp:posOffset>493044</wp:posOffset>
            </wp:positionV>
            <wp:extent cx="6509982" cy="1951630"/>
            <wp:effectExtent l="0" t="0" r="571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519098" cy="1954363"/>
                    </a:xfrm>
                    <a:prstGeom prst="rect">
                      <a:avLst/>
                    </a:prstGeom>
                    <a:noFill/>
                    <a:ln>
                      <a:noFill/>
                    </a:ln>
                  </pic:spPr>
                </pic:pic>
              </a:graphicData>
            </a:graphic>
            <wp14:sizeRelH relativeFrom="page">
              <wp14:pctWidth>0</wp14:pctWidth>
            </wp14:sizeRelH>
            <wp14:sizeRelV relativeFrom="page">
              <wp14:pctHeight>0</wp14:pctHeight>
            </wp14:sizeRelV>
          </wp:anchor>
        </w:drawing>
      </w:r>
      <w:r w:rsidR="00C15B7E" w:rsidRPr="0008034D">
        <w:rPr>
          <w:rFonts w:eastAsia="Calibri" w:cs="Arial"/>
        </w:rPr>
        <w:t>Manual checks have been performed on the CDR database to confirm that the legal categories are</w:t>
      </w:r>
      <w:r w:rsidR="00A902FD">
        <w:rPr>
          <w:rFonts w:eastAsia="Calibri" w:cs="Arial"/>
        </w:rPr>
        <w:t xml:space="preserve"> accurate based on CDR entries.</w:t>
      </w:r>
      <w:r w:rsidR="00C15B7E" w:rsidRPr="0008034D">
        <w:rPr>
          <w:rFonts w:eastAsia="Calibri" w:cs="Arial"/>
        </w:rPr>
        <w:tab/>
      </w:r>
      <w:r w:rsidR="00C15B7E" w:rsidRPr="0008034D">
        <w:rPr>
          <w:rFonts w:eastAsia="Calibri" w:cs="Arial"/>
        </w:rPr>
        <w:tab/>
      </w:r>
      <w:r w:rsidR="00C15B7E" w:rsidRPr="0008034D">
        <w:rPr>
          <w:rFonts w:eastAsia="Calibri" w:cs="Arial"/>
        </w:rPr>
        <w:tab/>
      </w:r>
      <w:r w:rsidR="00C15B7E" w:rsidRPr="0008034D">
        <w:rPr>
          <w:rFonts w:eastAsia="Calibri" w:cs="Arial"/>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C15B7E" w:rsidRPr="00C15B7E">
        <w:rPr>
          <w:rFonts w:ascii="Calibri" w:eastAsia="Calibri" w:hAnsi="Calibri"/>
          <w:sz w:val="22"/>
          <w:szCs w:val="22"/>
        </w:rPr>
        <w:tab/>
      </w:r>
      <w:r w:rsidR="00A171AA" w:rsidRPr="00A171AA">
        <w:rPr>
          <w:rFonts w:ascii="Calibri" w:eastAsia="Calibri" w:hAnsi="Calibri"/>
          <w:sz w:val="22"/>
          <w:szCs w:val="22"/>
        </w:rPr>
        <w:tab/>
      </w:r>
    </w:p>
    <w:sectPr w:rsidR="00A171AA" w:rsidRPr="008A4F37" w:rsidSect="006B5E2D">
      <w:headerReference w:type="default" r:id="rId15"/>
      <w:headerReference w:type="first" r:id="rId16"/>
      <w:pgSz w:w="11900" w:h="16840"/>
      <w:pgMar w:top="1134" w:right="1134" w:bottom="1077" w:left="1134" w:header="57"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DF7305" w14:textId="77777777" w:rsidR="0045176D" w:rsidRDefault="0045176D" w:rsidP="00D023EC">
      <w:r>
        <w:separator/>
      </w:r>
    </w:p>
  </w:endnote>
  <w:endnote w:type="continuationSeparator" w:id="0">
    <w:p w14:paraId="010AA8DA" w14:textId="77777777" w:rsidR="0045176D" w:rsidRDefault="0045176D"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C930D4" w14:textId="77777777" w:rsidR="0045176D" w:rsidRDefault="0045176D" w:rsidP="00D023EC">
      <w:r>
        <w:separator/>
      </w:r>
    </w:p>
  </w:footnote>
  <w:footnote w:type="continuationSeparator" w:id="0">
    <w:p w14:paraId="4C11ED21" w14:textId="77777777" w:rsidR="0045176D" w:rsidRDefault="0045176D" w:rsidP="00D02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1212E" w14:textId="77777777" w:rsidR="000C1C96" w:rsidRDefault="000C1C96" w:rsidP="0070180D">
    <w:pPr>
      <w:pStyle w:val="Header"/>
      <w:ind w:left="-964" w:right="-94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1212F" w14:textId="77777777" w:rsidR="000C1C96" w:rsidRDefault="000C1C96">
    <w:pPr>
      <w:pStyle w:val="Header"/>
    </w:pPr>
    <w:r>
      <w:rPr>
        <w:noProof/>
        <w:lang w:eastAsia="en-GB"/>
      </w:rPr>
      <w:drawing>
        <wp:anchor distT="0" distB="0" distL="114300" distR="114300" simplePos="0" relativeHeight="251659264" behindDoc="1" locked="0" layoutInCell="1" allowOverlap="1" wp14:anchorId="2CB12130" wp14:editId="2CB12131">
          <wp:simplePos x="0" y="0"/>
          <wp:positionH relativeFrom="column">
            <wp:posOffset>-717550</wp:posOffset>
          </wp:positionH>
          <wp:positionV relativeFrom="paragraph">
            <wp:posOffset>-38100</wp:posOffset>
          </wp:positionV>
          <wp:extent cx="7560310" cy="1738630"/>
          <wp:effectExtent l="0" t="0" r="2540" b="0"/>
          <wp:wrapTight wrapText="bothSides">
            <wp:wrapPolygon edited="0">
              <wp:start x="0" y="0"/>
              <wp:lineTo x="0" y="21300"/>
              <wp:lineTo x="21553" y="21300"/>
              <wp:lineTo x="21553" y="0"/>
              <wp:lineTo x="0" y="0"/>
            </wp:wrapPolygon>
          </wp:wrapTight>
          <wp:docPr id="6" name="Picture 6" descr="P:\07 Communications\Publications - Nicky\Identity and Branding\01.New artwork - 08.2016\01.Swish artwork - July 2016\Swish artwork - Jpgs\Information Services Swish A4 Portrait -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07 Communications\Publications - Nicky\Identity and Branding\01.New artwork - 08.2016\01.Swish artwork - July 2016\Swish artwork - Jpgs\Information Services Swish A4 Portrait - T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9245C"/>
    <w:multiLevelType w:val="hybridMultilevel"/>
    <w:tmpl w:val="FE56B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15B37"/>
    <w:multiLevelType w:val="hybridMultilevel"/>
    <w:tmpl w:val="8FEA6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504A54"/>
    <w:multiLevelType w:val="hybridMultilevel"/>
    <w:tmpl w:val="120A5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12"/>
    <w:rsid w:val="0008034D"/>
    <w:rsid w:val="00080904"/>
    <w:rsid w:val="000C1C96"/>
    <w:rsid w:val="000C4DCC"/>
    <w:rsid w:val="000F644E"/>
    <w:rsid w:val="00136D79"/>
    <w:rsid w:val="0016759D"/>
    <w:rsid w:val="001F2FBF"/>
    <w:rsid w:val="002B5692"/>
    <w:rsid w:val="00350100"/>
    <w:rsid w:val="0037175A"/>
    <w:rsid w:val="00386F12"/>
    <w:rsid w:val="00391EE2"/>
    <w:rsid w:val="003953D6"/>
    <w:rsid w:val="003D5073"/>
    <w:rsid w:val="003F4851"/>
    <w:rsid w:val="004074DA"/>
    <w:rsid w:val="0045176D"/>
    <w:rsid w:val="00455711"/>
    <w:rsid w:val="004C292F"/>
    <w:rsid w:val="004D1566"/>
    <w:rsid w:val="004F7882"/>
    <w:rsid w:val="00527F40"/>
    <w:rsid w:val="00537B56"/>
    <w:rsid w:val="00550328"/>
    <w:rsid w:val="00580C9D"/>
    <w:rsid w:val="005939AB"/>
    <w:rsid w:val="005B4748"/>
    <w:rsid w:val="0063459D"/>
    <w:rsid w:val="006B5E2D"/>
    <w:rsid w:val="0070180D"/>
    <w:rsid w:val="007A2E5D"/>
    <w:rsid w:val="00813180"/>
    <w:rsid w:val="008A4F37"/>
    <w:rsid w:val="008A6CBF"/>
    <w:rsid w:val="008D30C5"/>
    <w:rsid w:val="00901BBA"/>
    <w:rsid w:val="00933DE2"/>
    <w:rsid w:val="009B67E2"/>
    <w:rsid w:val="009B7821"/>
    <w:rsid w:val="009C1D4F"/>
    <w:rsid w:val="009F1AC1"/>
    <w:rsid w:val="00A171AA"/>
    <w:rsid w:val="00A52F68"/>
    <w:rsid w:val="00A902FD"/>
    <w:rsid w:val="00B12A8E"/>
    <w:rsid w:val="00B30ED6"/>
    <w:rsid w:val="00B65913"/>
    <w:rsid w:val="00B67C44"/>
    <w:rsid w:val="00BA0E72"/>
    <w:rsid w:val="00C15B7E"/>
    <w:rsid w:val="00C36359"/>
    <w:rsid w:val="00C46460"/>
    <w:rsid w:val="00C65736"/>
    <w:rsid w:val="00CD4E6E"/>
    <w:rsid w:val="00CE584D"/>
    <w:rsid w:val="00D023EC"/>
    <w:rsid w:val="00D03605"/>
    <w:rsid w:val="00D317AB"/>
    <w:rsid w:val="00D9223E"/>
    <w:rsid w:val="00D953F4"/>
    <w:rsid w:val="00DA2BBD"/>
    <w:rsid w:val="00DF0559"/>
    <w:rsid w:val="00E602DA"/>
    <w:rsid w:val="00E967CC"/>
    <w:rsid w:val="00EB66F7"/>
    <w:rsid w:val="00F07DBF"/>
    <w:rsid w:val="00F65DFB"/>
    <w:rsid w:val="00F91878"/>
    <w:rsid w:val="00FA6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CB12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CE584D"/>
    <w:pPr>
      <w:ind w:left="720"/>
      <w:contextualSpacing/>
    </w:pPr>
  </w:style>
  <w:style w:type="character" w:styleId="FollowedHyperlink">
    <w:name w:val="FollowedHyperlink"/>
    <w:basedOn w:val="DefaultParagraphFont"/>
    <w:uiPriority w:val="99"/>
    <w:semiHidden/>
    <w:unhideWhenUsed/>
    <w:rsid w:val="0016759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83E"/>
    <w:rPr>
      <w:rFonts w:ascii="Arial" w:hAnsi="Arial"/>
      <w:sz w:val="24"/>
      <w:szCs w:val="24"/>
      <w:lang w:eastAsia="en-US"/>
    </w:rPr>
  </w:style>
  <w:style w:type="paragraph" w:styleId="Heading1">
    <w:name w:val="heading 1"/>
    <w:basedOn w:val="Normal"/>
    <w:next w:val="Normal"/>
    <w:link w:val="Heading1Char"/>
    <w:uiPriority w:val="9"/>
    <w:qFormat/>
    <w:rsid w:val="00F07DBF"/>
    <w:pPr>
      <w:keepNext/>
      <w:keepLines/>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F07DB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B65913"/>
    <w:pPr>
      <w:keepNext/>
      <w:keepLines/>
      <w:outlineLvl w:val="2"/>
    </w:pPr>
    <w:rPr>
      <w:rFonts w:eastAsiaTheme="majorEastAsia" w:cstheme="majorBidi"/>
      <w:b/>
      <w:bCs/>
      <w:color w:val="41B6E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07DBF"/>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07DBF"/>
    <w:rPr>
      <w:rFonts w:ascii="Arial" w:eastAsiaTheme="majorEastAsia" w:hAnsi="Arial" w:cstheme="majorBidi"/>
      <w:b/>
      <w:bCs/>
      <w:sz w:val="28"/>
      <w:szCs w:val="26"/>
      <w:lang w:eastAsia="en-US"/>
    </w:rPr>
  </w:style>
  <w:style w:type="character" w:customStyle="1" w:styleId="Heading3Char">
    <w:name w:val="Heading 3 Char"/>
    <w:basedOn w:val="DefaultParagraphFont"/>
    <w:link w:val="Heading3"/>
    <w:uiPriority w:val="9"/>
    <w:rsid w:val="00B65913"/>
    <w:rPr>
      <w:rFonts w:ascii="Arial" w:eastAsiaTheme="majorEastAsia" w:hAnsi="Arial" w:cstheme="majorBidi"/>
      <w:b/>
      <w:bCs/>
      <w:color w:val="41B6E6"/>
      <w:sz w:val="24"/>
      <w:szCs w:val="24"/>
      <w:lang w:eastAsia="en-US"/>
    </w:rPr>
  </w:style>
  <w:style w:type="paragraph" w:styleId="ListParagraph">
    <w:name w:val="List Paragraph"/>
    <w:basedOn w:val="Normal"/>
    <w:uiPriority w:val="34"/>
    <w:qFormat/>
    <w:rsid w:val="00CE584D"/>
    <w:pPr>
      <w:ind w:left="720"/>
      <w:contextualSpacing/>
    </w:pPr>
  </w:style>
  <w:style w:type="character" w:styleId="FollowedHyperlink">
    <w:name w:val="FollowedHyperlink"/>
    <w:basedOn w:val="DefaultParagraphFont"/>
    <w:uiPriority w:val="99"/>
    <w:semiHidden/>
    <w:unhideWhenUsed/>
    <w:rsid w:val="00167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6238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Managing Corporate Relations</TermName>
          <TermId xmlns="http://schemas.microsoft.com/office/infopath/2007/PartnerControls">bb73da66-fcad-4794-a3e9-9e30e766425c</TermId>
        </TermInfo>
      </Terms>
    </CategoryManagedMetadataTaxHTField0>
    <_RequireReview xmlns="a796cea8-fdf0-4c8c-8ef9-88ab01145e5c">true</_RequireReview>
    <IntranetCategoryManagedMetadataTaxHTField0 xmlns="a796cea8-fdf0-4c8c-8ef9-88ab01145e5c">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3eb392b9-16a9-45d8-947f-db9d186f210d</TermId>
        </TermInfo>
      </Terms>
    </IntranetCategoryManagedMetadataTaxHTField0>
    <TaxCatchAll xmlns="bb23f8f2-6f06-4ec7-b253-39f9dd04490a">
      <Value>18</Value>
      <Value>46</Value>
      <Value>57</Value>
    </TaxCatchAll>
    <PublishingExpirationDate xmlns="http://schemas.microsoft.com/sharepoint/v3">2017-09-30T23:00:00+00:00</PublishingExpirationDate>
    <_RetentionPeriod xmlns="a796cea8-fdf0-4c8c-8ef9-88ab01145e5c">7 Years</_RetentionPeriod>
    <PublishingStartDate xmlns="http://schemas.microsoft.com/sharepoint/v3">2016-10-13T23:00:00+00:00</PublishingStartDate>
    <_StartDateTime xmlns="a796cea8-fdf0-4c8c-8ef9-88ab01145e5c">2016-10-13T23:00:00+00:00</_StartDateTime>
    <_EndDateTime xmlns="a796cea8-fdf0-4c8c-8ef9-88ab01145e5c">2017-09-30T23:00:00+00:00</_EndDateTime>
    <DepartmentManagedMetadataTaxHTField0 xmlns="a796cea8-fdf0-4c8c-8ef9-88ab01145e5c">
      <Terms xmlns="http://schemas.microsoft.com/office/infopath/2007/PartnerControls">
        <TermInfo xmlns="http://schemas.microsoft.com/office/infopath/2007/PartnerControls">
          <TermName xmlns="http://schemas.microsoft.com/office/infopath/2007/PartnerControls">Customer Insight and Communications</TermName>
          <TermId xmlns="http://schemas.microsoft.com/office/infopath/2007/PartnerControls">3adf1842-26d1-43aa-91a8-1f6dd431fc74</TermId>
        </TermInfo>
      </Terms>
    </DepartmentManagedMetadataTaxHTField0>
    <Category xmlns="a796cea8-fdf0-4c8c-8ef9-88ab01145e5c">Branded Templates</Category>
    <_PrimaryOwner xmlns="a796cea8-fdf0-4c8c-8ef9-88ab01145e5c">
      <UserInfo>
        <DisplayName>Nicola Ratcliffe</DisplayName>
        <AccountId>224</AccountId>
        <AccountType/>
      </UserInfo>
    </_PrimaryOwner>
    <_SecondaryOwner xmlns="a796cea8-fdf0-4c8c-8ef9-88ab01145e5c">
      <UserInfo>
        <DisplayName>Ian Tracey</DisplayName>
        <AccountId>3855</AccountId>
        <AccountType/>
      </UserInfo>
    </_Secondary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ew Document" ma:contentTypeID="0x0101004E0D384B815D4E1189424FA467ED9D3F004220711C7A434149BE053160DAE98C7400CD4D6023F8945943BE0DD8A2A3AD4B9B" ma:contentTypeVersion="2" ma:contentTypeDescription="Create a  new Document" ma:contentTypeScope="" ma:versionID="1e84d5d7b116b5455755ba0e8b82187c">
  <xsd:schema xmlns:xsd="http://www.w3.org/2001/XMLSchema" xmlns:xs="http://www.w3.org/2001/XMLSchema" xmlns:p="http://schemas.microsoft.com/office/2006/metadata/properties" xmlns:ns1="http://schemas.microsoft.com/sharepoint/v3" xmlns:ns3="a796cea8-fdf0-4c8c-8ef9-88ab01145e5c" xmlns:ns4="bb23f8f2-6f06-4ec7-b253-39f9dd04490a" targetNamespace="http://schemas.microsoft.com/office/2006/metadata/properties" ma:root="true" ma:fieldsID="8a4fea7f41b2c3f6714869474ef12123" ns1:_="" ns3:_="" ns4:_="">
    <xsd:import namespace="http://schemas.microsoft.com/sharepoint/v3"/>
    <xsd:import namespace="a796cea8-fdf0-4c8c-8ef9-88ab01145e5c"/>
    <xsd:import namespace="bb23f8f2-6f06-4ec7-b253-39f9dd04490a"/>
    <xsd:element name="properties">
      <xsd:complexType>
        <xsd:sequence>
          <xsd:element name="documentManagement">
            <xsd:complexType>
              <xsd:all>
                <xsd:element ref="ns1:PublishingExpirationDate" minOccurs="0"/>
                <xsd:element ref="ns1:PublishingStartDate" minOccurs="0"/>
                <xsd:element ref="ns3:DepartmentManagedMetadataTaxHTField0" minOccurs="0"/>
                <xsd:element ref="ns3:IntranetCategoryManagedMetadataTaxHTField0" minOccurs="0"/>
                <xsd:element ref="ns3:CategoryManagedMetadataTaxHTField0" minOccurs="0"/>
                <xsd:element ref="ns4:TaxCatchAll" minOccurs="0"/>
                <xsd:element ref="ns4:TaxCatchAllLabel" minOccurs="0"/>
                <xsd:element ref="ns3:_PrimaryOwner"/>
                <xsd:element ref="ns3:_SecondaryOwner" minOccurs="0"/>
                <xsd:element ref="ns3:_StartDateTime" minOccurs="0"/>
                <xsd:element ref="ns3:_EndDateTime"/>
                <xsd:element ref="ns3:_RequireReview" minOccurs="0"/>
                <xsd:element ref="ns3:_RetentionPerio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8" nillable="true" ma:displayName="Scheduling End Date" ma:description="" ma:internalName="PublishingExpirationDate">
      <xsd:simpleType>
        <xsd:restriction base="dms:Unknown"/>
      </xsd:simpleType>
    </xsd:element>
    <xsd:element name="PublishingStartDate" ma:index="9" nillable="true" ma:displayName="Scheduling Start Date"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96cea8-fdf0-4c8c-8ef9-88ab01145e5c" elementFormDefault="qualified">
    <xsd:import namespace="http://schemas.microsoft.com/office/2006/documentManagement/types"/>
    <xsd:import namespace="http://schemas.microsoft.com/office/infopath/2007/PartnerControls"/>
    <xsd:element name="DepartmentManagedMetadataTaxHTField0" ma:index="12" ma:taxonomy="true" ma:internalName="DepartmentManagedMetadataTaxHTField0" ma:taxonomyFieldName="DepartmentManagedMetadata" ma:displayName="Department" ma:fieldId="{3c38aea0-2ec3-494f-8a94-d1400bd4ae32}" ma:sspId="5328d86d-5900-41e8-aeb3-fea0a099a623" ma:termSetId="b7912425-d886-440a-a8a2-96d6a24c3c5f" ma:anchorId="00000000-0000-0000-0000-000000000000" ma:open="false" ma:isKeyword="false">
      <xsd:complexType>
        <xsd:sequence>
          <xsd:element ref="pc:Terms" minOccurs="0" maxOccurs="1"/>
        </xsd:sequence>
      </xsd:complexType>
    </xsd:element>
    <xsd:element name="IntranetCategoryManagedMetadataTaxHTField0" ma:index="13" ma:taxonomy="true" ma:internalName="IntranetCategoryManagedMetadataTaxHTField0" ma:taxonomyFieldName="IntranetCategoryManagedMetadata" ma:displayName="Intranet Category" ma:fieldId="{302dcff4-f743-4621-90cb-4e480ef37ab7}" ma:sspId="5328d86d-5900-41e8-aeb3-fea0a099a623" ma:termSetId="0f5df3f5-1285-46ef-8613-3f575624b03a" ma:anchorId="00000000-0000-0000-0000-000000000000" ma:open="false" ma:isKeyword="false">
      <xsd:complexType>
        <xsd:sequence>
          <xsd:element ref="pc:Terms" minOccurs="0" maxOccurs="1"/>
        </xsd:sequence>
      </xsd:complexType>
    </xsd:element>
    <xsd:element name="CategoryManagedMetadataTaxHTField0" ma:index="15" ma:taxonomy="true" ma:internalName="CategoryManagedMetadataTaxHTField0" ma:taxonomyFieldName="CategoryManagedMetadata" ma:displayName="Activity" ma:default="" ma:fieldId="{d4ea7914-559b-4597-847e-9edfcc23f53c}" ma:taxonomyMulti="true" ma:sspId="5328d86d-5900-41e8-aeb3-fea0a099a623" ma:termSetId="eb35bfac-0109-4685-9924-835fd0d7f716" ma:anchorId="00000000-0000-0000-0000-000000000000" ma:open="false" ma:isKeyword="false">
      <xsd:complexType>
        <xsd:sequence>
          <xsd:element ref="pc:Terms" minOccurs="0" maxOccurs="1"/>
        </xsd:sequence>
      </xsd:complexType>
    </xsd:element>
    <xsd:element name="_PrimaryOwner" ma:index="19" ma:displayName="Content Owner" ma:list="UserInfo" ma:internalName="_PrimaryOwne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SecondaryOwner" ma:index="20" nillable="true" ma:displayName="Secondary Content Owner" ma:list="UserInfo" ma:internalName="_Secondary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StartDateTime" ma:index="21" nillable="true" ma:displayName="Start Date" ma:format="DateTime" ma:internalName="_StartDateTime">
      <xsd:simpleType>
        <xsd:restriction base="dms:DateTime"/>
      </xsd:simpleType>
    </xsd:element>
    <xsd:element name="_EndDateTime" ma:index="22" ma:displayName="End Date" ma:format="DateTime" ma:internalName="_EndDateTime">
      <xsd:simpleType>
        <xsd:restriction base="dms:DateTime"/>
      </xsd:simpleType>
    </xsd:element>
    <xsd:element name="_RequireReview" ma:index="23" nillable="true" ma:displayName="Review Required" ma:internalName="_RequireReview">
      <xsd:simpleType>
        <xsd:restriction base="dms:Boolean"/>
      </xsd:simpleType>
    </xsd:element>
    <xsd:element name="_RetentionPeriod" ma:index="24" nillable="true" ma:displayName="Retention Period" ma:default="7 Years" ma:format="Dropdown" ma:internalName="_RetentionPeriod">
      <xsd:simpleType>
        <xsd:restriction base="dms:Choice">
          <xsd:enumeration value="3 Months"/>
          <xsd:enumeration value="6 Months"/>
          <xsd:enumeration value="9 Months"/>
          <xsd:enumeration value="1 Year"/>
          <xsd:enumeration value="2 Years"/>
          <xsd:enumeration value="3 Years"/>
          <xsd:enumeration value="4 Years"/>
          <xsd:enumeration value="5 Years"/>
          <xsd:enumeration value="6 Years"/>
          <xsd:enumeration value="7 Years"/>
          <xsd:enumeration value="8 Years"/>
          <xsd:enumeration value="10 Years"/>
          <xsd:enumeration value="11 Years"/>
          <xsd:enumeration value="12 Years"/>
          <xsd:enumeration value="15 Years"/>
          <xsd:enumeration value="18 Years"/>
          <xsd:enumeration value="20 Years"/>
          <xsd:enumeration value="21 Years"/>
          <xsd:enumeration value="23 Years"/>
          <xsd:enumeration value="30 Years"/>
          <xsd:enumeration value="40 Years"/>
          <xsd:enumeration value="50 Years"/>
          <xsd:enumeration value="70 Years"/>
          <xsd:enumeration value="100 Years"/>
        </xsd:restriction>
      </xsd:simpleType>
    </xsd:element>
    <xsd:element name="Category" ma:index="25" nillable="true" ma:displayName="Category" ma:internalName="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b23f8f2-6f06-4ec7-b253-39f9dd04490a" elementFormDefault="qualified">
    <xsd:import namespace="http://schemas.microsoft.com/office/2006/documentManagement/types"/>
    <xsd:import namespace="http://schemas.microsoft.com/office/infopath/2007/PartnerControls"/>
    <xsd:element name="TaxCatchAll" ma:index="17" nillable="true" ma:displayName="Taxonomy Catch All Column" ma:description="" ma:hidden="true" ma:list="{05fb49c3-cf5f-4a98-b2a6-6131de8ab634}" ma:internalName="TaxCatchAll" ma:showField="CatchAllData" ma:web="bb23f8f2-6f06-4ec7-b253-39f9dd04490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description="" ma:hidden="true" ma:list="{05fb49c3-cf5f-4a98-b2a6-6131de8ab634}" ma:internalName="TaxCatchAllLabel" ma:readOnly="true" ma:showField="CatchAllDataLabel" ma:web="bb23f8f2-6f06-4ec7-b253-39f9dd0449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14AA9-D650-461B-ABCC-DA98B393BD2E}">
  <ds:schemaRefs>
    <ds:schemaRef ds:uri="http://schemas.microsoft.com/office/2006/metadata/properties"/>
    <ds:schemaRef ds:uri="http://schemas.microsoft.com/office/infopath/2007/PartnerControls"/>
    <ds:schemaRef ds:uri="a796cea8-fdf0-4c8c-8ef9-88ab01145e5c"/>
    <ds:schemaRef ds:uri="bb23f8f2-6f06-4ec7-b253-39f9dd04490a"/>
    <ds:schemaRef ds:uri="http://schemas.microsoft.com/sharepoint/v3"/>
  </ds:schemaRefs>
</ds:datastoreItem>
</file>

<file path=customXml/itemProps2.xml><?xml version="1.0" encoding="utf-8"?>
<ds:datastoreItem xmlns:ds="http://schemas.openxmlformats.org/officeDocument/2006/customXml" ds:itemID="{3F5D7FA9-319C-41C7-8758-FB23A2E1D7DE}">
  <ds:schemaRefs>
    <ds:schemaRef ds:uri="http://schemas.microsoft.com/sharepoint/v3/contenttype/forms"/>
  </ds:schemaRefs>
</ds:datastoreItem>
</file>

<file path=customXml/itemProps3.xml><?xml version="1.0" encoding="utf-8"?>
<ds:datastoreItem xmlns:ds="http://schemas.openxmlformats.org/officeDocument/2006/customXml" ds:itemID="{A7C4DFFC-6F9E-4DB1-9171-C05F5FDF82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796cea8-fdf0-4c8c-8ef9-88ab01145e5c"/>
    <ds:schemaRef ds:uri="bb23f8f2-6f06-4ec7-b253-39f9dd044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C8123B-5ED2-4618-8772-80720F601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Information Services Factsheet (V2)</vt:lpstr>
    </vt:vector>
  </TitlesOfParts>
  <Company>CDS</Company>
  <LinksUpToDate>false</LinksUpToDate>
  <CharactersWithSpaces>7617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Services Factsheet (V2)</dc:title>
  <dc:creator>Margaret Jones</dc:creator>
  <cp:lastModifiedBy>Michelle Dixon</cp:lastModifiedBy>
  <cp:revision>25</cp:revision>
  <cp:lastPrinted>2013-06-25T15:38:00Z</cp:lastPrinted>
  <dcterms:created xsi:type="dcterms:W3CDTF">2017-07-25T11:34:00Z</dcterms:created>
  <dcterms:modified xsi:type="dcterms:W3CDTF">2017-07-26T10:32:00Z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0x0101004E0D384B815D4E1189424FA467ED9D3F004220711C7A434149BE053160DAE98C7400CD4D6023F8945943BE0DD8A2A3AD4B9B</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ies>
</file>