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B8" w:rsidRPr="00933FB8" w:rsidRDefault="00933FB8" w:rsidP="00933FB8">
      <w:pPr>
        <w:rPr>
          <w:rFonts w:ascii="Arial" w:eastAsia="Times New Roman" w:hAnsi="Arial" w:cs="Times New Roman"/>
          <w:bCs/>
          <w:sz w:val="24"/>
          <w:szCs w:val="26"/>
          <w:lang w:eastAsia="en-GB"/>
        </w:rPr>
      </w:pPr>
      <w:bookmarkStart w:id="0" w:name="_Toc513103436"/>
      <w:r w:rsidRPr="00933FB8">
        <w:rPr>
          <w:rFonts w:ascii="Arial" w:eastAsia="Times New Roman" w:hAnsi="Arial" w:cs="Times New Roman"/>
          <w:bCs/>
          <w:sz w:val="24"/>
          <w:szCs w:val="26"/>
          <w:lang w:eastAsia="en-GB"/>
        </w:rPr>
        <w:t>Annex 9.1 Contractor’s Preliminary Notice of Force Majeure Event</w:t>
      </w:r>
      <w:bookmarkStart w:id="1" w:name="_Toc440977675"/>
      <w:bookmarkEnd w:id="0"/>
    </w:p>
    <w:p w:rsidR="00933FB8" w:rsidRPr="00933FB8" w:rsidRDefault="00933FB8" w:rsidP="00933FB8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kern w:val="32"/>
          <w:sz w:val="40"/>
          <w:szCs w:val="32"/>
          <w:lang w:eastAsia="en-GB"/>
        </w:rPr>
      </w:pPr>
    </w:p>
    <w:p w:rsidR="00933FB8" w:rsidRPr="00933FB8" w:rsidRDefault="00933FB8" w:rsidP="00933FB8">
      <w:pPr>
        <w:spacing w:after="0" w:line="240" w:lineRule="auto"/>
        <w:rPr>
          <w:rFonts w:ascii="Arial" w:eastAsia="Times New Roman" w:hAnsi="Arial" w:cs="Times New Roman"/>
          <w:b/>
          <w:bCs/>
          <w:color w:val="005EB8"/>
          <w:sz w:val="44"/>
          <w:szCs w:val="32"/>
          <w:lang w:eastAsia="en-GB"/>
        </w:rPr>
      </w:pPr>
      <w:r w:rsidRPr="00933FB8">
        <w:rPr>
          <w:rFonts w:ascii="Arial" w:eastAsia="MS Mincho" w:hAnsi="Arial" w:cs="Times New Roman"/>
          <w:b/>
          <w:color w:val="005EB8"/>
          <w:sz w:val="28"/>
          <w:szCs w:val="24"/>
          <w:lang w:eastAsia="en-GB"/>
        </w:rPr>
        <w:t>1. Introduction</w:t>
      </w:r>
      <w:bookmarkEnd w:id="1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bCs/>
          <w:sz w:val="24"/>
          <w:szCs w:val="24"/>
          <w:lang w:eastAsia="en-GB"/>
        </w:rPr>
      </w:pPr>
      <w:bookmarkStart w:id="2" w:name="_Toc440977676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1.1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This template should be submitted to the Commissioner if an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unplanned event occurs </w:t>
      </w:r>
      <w:r w:rsidRPr="00933FB8">
        <w:rPr>
          <w:rFonts w:ascii="Arial" w:eastAsia="Times New Roman" w:hAnsi="Arial" w:cs="Times New Roman"/>
          <w:sz w:val="24"/>
          <w:szCs w:val="24"/>
          <w:lang w:eastAsia="en-GB"/>
        </w:rPr>
        <w:t xml:space="preserve">due to circumstances or events beyond the </w:t>
      </w:r>
      <w:r w:rsidRPr="00933FB8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Times New Roman" w:hAnsi="Arial" w:cs="Times New Roman"/>
          <w:sz w:val="24"/>
          <w:szCs w:val="24"/>
          <w:lang w:eastAsia="en-GB"/>
        </w:rPr>
        <w:tab/>
        <w:t xml:space="preserve">reasonable control </w:t>
      </w:r>
      <w:r w:rsidRPr="00933FB8">
        <w:rPr>
          <w:rFonts w:ascii="Arial" w:eastAsia="Times New Roman" w:hAnsi="Arial" w:cs="Times New Roman"/>
          <w:sz w:val="24"/>
          <w:szCs w:val="24"/>
          <w:lang w:eastAsia="en-GB"/>
        </w:rPr>
        <w:tab/>
        <w:t>of the contractor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 xml:space="preserve"> that could have a detrimental </w:t>
      </w:r>
      <w:r w:rsidRPr="00933FB8">
        <w:rPr>
          <w:rFonts w:ascii="Arial" w:eastAsia="MS Mincho" w:hAnsi="Arial" w:cs="Times New Roman"/>
          <w:bCs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bCs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bCs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>impact on service provision.</w:t>
      </w:r>
      <w:bookmarkEnd w:id="2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bCs/>
          <w:sz w:val="24"/>
          <w:szCs w:val="24"/>
          <w:lang w:eastAsia="en-GB"/>
        </w:rPr>
      </w:pPr>
      <w:bookmarkStart w:id="3" w:name="_Toc440977677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1.2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Notification should normally be provided to the Commissioner within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three working days of its occurrence.</w:t>
      </w:r>
      <w:bookmarkEnd w:id="3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bookmarkStart w:id="4" w:name="_Toc440977678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1.3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The template should be typed to ensure legibility and emailed (or hand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delivered) to the Commissioner to avoid the possibility of its being lost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in the post.</w:t>
      </w:r>
      <w:bookmarkEnd w:id="4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bookmarkStart w:id="5" w:name="_Toc440977679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1.4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The Commissioner will record that the event has happened and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 xml:space="preserve">provide the contractor with an acknowledgment letter, a template for 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which is provided in Annex 10.2.</w:t>
      </w:r>
      <w:bookmarkEnd w:id="5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bookmarkStart w:id="6" w:name="_Toc440977680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en-GB"/>
        </w:rPr>
      </w:pP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1.5</w:t>
      </w:r>
      <w:r w:rsidRPr="00933FB8">
        <w:rPr>
          <w:rFonts w:ascii="Arial" w:eastAsia="MS Mincho" w:hAnsi="Arial" w:cs="Times New Roman"/>
          <w:sz w:val="24"/>
          <w:szCs w:val="24"/>
          <w:lang w:eastAsia="en-GB"/>
        </w:rPr>
        <w:tab/>
        <w:t>No evidence is required at the preliminary advice stage.</w:t>
      </w:r>
      <w:bookmarkEnd w:id="6"/>
    </w:p>
    <w:p w:rsidR="00933FB8" w:rsidRPr="00933FB8" w:rsidRDefault="00933FB8" w:rsidP="00933FB8">
      <w:pPr>
        <w:spacing w:after="0" w:line="240" w:lineRule="auto"/>
        <w:rPr>
          <w:rFonts w:ascii="Arial" w:eastAsia="MS Mincho" w:hAnsi="Arial" w:cs="Times New Roman"/>
          <w:sz w:val="20"/>
          <w:szCs w:val="24"/>
          <w:lang w:eastAsia="en-GB"/>
        </w:rPr>
      </w:pPr>
      <w:r w:rsidRPr="00933FB8">
        <w:rPr>
          <w:rFonts w:ascii="Arial" w:eastAsia="MS Mincho" w:hAnsi="Arial" w:cs="Times New Roman"/>
          <w:sz w:val="20"/>
          <w:szCs w:val="24"/>
          <w:lang w:eastAsia="en-GB"/>
        </w:rPr>
        <w:br w:type="page"/>
      </w:r>
    </w:p>
    <w:tbl>
      <w:tblPr>
        <w:tblStyle w:val="TableGrid123"/>
        <w:tblW w:w="918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6095"/>
      </w:tblGrid>
      <w:tr w:rsidR="00933FB8" w:rsidRPr="00933FB8" w:rsidTr="00E54A17">
        <w:tc>
          <w:tcPr>
            <w:tcW w:w="9180" w:type="dxa"/>
            <w:gridSpan w:val="2"/>
            <w:shd w:val="clear" w:color="auto" w:fill="1C6CB4"/>
            <w:hideMark/>
          </w:tcPr>
          <w:p w:rsidR="00933FB8" w:rsidRPr="00933FB8" w:rsidRDefault="00933FB8" w:rsidP="00933FB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3FB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Force majeure - Notification of an unplanned event</w:t>
            </w:r>
          </w:p>
        </w:tc>
      </w:tr>
      <w:tr w:rsidR="00933FB8" w:rsidRPr="00933FB8" w:rsidTr="00E54A17">
        <w:tc>
          <w:tcPr>
            <w:tcW w:w="3085" w:type="dxa"/>
            <w:shd w:val="clear" w:color="auto" w:fill="1C6CB4"/>
            <w:hideMark/>
          </w:tcPr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3FB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Date notified:</w:t>
            </w:r>
          </w:p>
        </w:tc>
        <w:tc>
          <w:tcPr>
            <w:tcW w:w="6095" w:type="dxa"/>
            <w:shd w:val="clear" w:color="auto" w:fill="FFFFFF"/>
          </w:tcPr>
          <w:p w:rsidR="00933FB8" w:rsidRPr="00933FB8" w:rsidRDefault="00E54A17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 November 2019</w:t>
            </w:r>
          </w:p>
        </w:tc>
      </w:tr>
      <w:tr w:rsidR="00933FB8" w:rsidRPr="00933FB8" w:rsidTr="00E54A17">
        <w:tc>
          <w:tcPr>
            <w:tcW w:w="3085" w:type="dxa"/>
            <w:shd w:val="clear" w:color="auto" w:fill="1C6CB4"/>
          </w:tcPr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3FB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Practice address:</w:t>
            </w:r>
          </w:p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A54B46" w:rsidRDefault="00A54B46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20/20 Vision</w:t>
            </w:r>
          </w:p>
          <w:p w:rsidR="00933FB8" w:rsidRDefault="00E54A17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1-4 Spectacle Street</w:t>
            </w:r>
          </w:p>
          <w:p w:rsidR="00E54A17" w:rsidRDefault="00E54A17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Heaton </w:t>
            </w:r>
          </w:p>
          <w:p w:rsidR="00E54A17" w:rsidRDefault="00E54A17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Newcastle upon Tyne</w:t>
            </w:r>
          </w:p>
          <w:p w:rsidR="00E54A17" w:rsidRPr="00933FB8" w:rsidRDefault="00E54A17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GL45 5ES</w:t>
            </w:r>
          </w:p>
        </w:tc>
      </w:tr>
      <w:tr w:rsidR="00933FB8" w:rsidRPr="00933FB8" w:rsidTr="00E54A17">
        <w:tc>
          <w:tcPr>
            <w:tcW w:w="3085" w:type="dxa"/>
            <w:shd w:val="clear" w:color="auto" w:fill="1C6CB4"/>
            <w:hideMark/>
          </w:tcPr>
          <w:p w:rsidR="00933FB8" w:rsidRPr="00933FB8" w:rsidRDefault="00933FB8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3FB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Contract number:</w:t>
            </w:r>
          </w:p>
        </w:tc>
        <w:tc>
          <w:tcPr>
            <w:tcW w:w="6095" w:type="dxa"/>
            <w:shd w:val="clear" w:color="auto" w:fill="FFFFFF"/>
          </w:tcPr>
          <w:p w:rsidR="00933FB8" w:rsidRPr="00933FB8" w:rsidRDefault="00A54B46" w:rsidP="00933FB8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1234(A)</w:t>
            </w:r>
          </w:p>
        </w:tc>
        <w:bookmarkStart w:id="7" w:name="_GoBack"/>
        <w:bookmarkEnd w:id="7"/>
      </w:tr>
    </w:tbl>
    <w:p w:rsidR="00933FB8" w:rsidRPr="00933FB8" w:rsidRDefault="00933FB8" w:rsidP="00933FB8">
      <w:pPr>
        <w:widowControl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n-GB"/>
        </w:rPr>
      </w:pPr>
    </w:p>
    <w:p w:rsidR="00933FB8" w:rsidRPr="00933FB8" w:rsidRDefault="00933FB8" w:rsidP="00933FB8">
      <w:pPr>
        <w:widowControl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n-GB"/>
        </w:rPr>
      </w:pPr>
      <w:r w:rsidRPr="00933FB8">
        <w:rPr>
          <w:rFonts w:ascii="Arial" w:eastAsia="MS Mincho" w:hAnsi="Arial" w:cs="Arial"/>
          <w:sz w:val="24"/>
          <w:szCs w:val="24"/>
          <w:lang w:eastAsia="en-GB"/>
        </w:rPr>
        <w:t xml:space="preserve">I/we refer to the force majeure provisions in our contract and write to notify you that as a result of the unplanned event detailed below it may not be possible to deliver the services required by the contract. </w:t>
      </w:r>
    </w:p>
    <w:p w:rsidR="00933FB8" w:rsidRPr="00933FB8" w:rsidRDefault="00933FB8" w:rsidP="00933FB8">
      <w:pPr>
        <w:widowControl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n-GB"/>
        </w:rPr>
      </w:pPr>
    </w:p>
    <w:tbl>
      <w:tblPr>
        <w:tblStyle w:val="TableGrid214"/>
        <w:tblW w:w="9180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shd w:val="clear" w:color="auto" w:fill="FFFFFF"/>
        <w:tblLook w:val="04A0" w:firstRow="1" w:lastRow="0" w:firstColumn="1" w:lastColumn="0" w:noHBand="0" w:noVBand="1"/>
      </w:tblPr>
      <w:tblGrid>
        <w:gridCol w:w="2996"/>
        <w:gridCol w:w="6184"/>
      </w:tblGrid>
      <w:tr w:rsidR="00933FB8" w:rsidRPr="00933FB8" w:rsidTr="00E54A17">
        <w:tc>
          <w:tcPr>
            <w:tcW w:w="2996" w:type="dxa"/>
            <w:shd w:val="clear" w:color="auto" w:fill="1C6CB4"/>
            <w:hideMark/>
          </w:tcPr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</w:pPr>
            <w:r w:rsidRPr="00933FB8"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  <w:t>Date(s) of event</w:t>
            </w:r>
          </w:p>
        </w:tc>
        <w:tc>
          <w:tcPr>
            <w:tcW w:w="6184" w:type="dxa"/>
            <w:shd w:val="clear" w:color="auto" w:fill="FFFFFF"/>
          </w:tcPr>
          <w:p w:rsidR="00933FB8" w:rsidRPr="00933FB8" w:rsidRDefault="00E54A17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27 November 2019</w:t>
            </w:r>
          </w:p>
        </w:tc>
      </w:tr>
      <w:tr w:rsidR="00933FB8" w:rsidRPr="00933FB8" w:rsidTr="00E54A17">
        <w:tc>
          <w:tcPr>
            <w:tcW w:w="2996" w:type="dxa"/>
            <w:shd w:val="clear" w:color="auto" w:fill="1C6CB4"/>
          </w:tcPr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</w:pPr>
            <w:r w:rsidRPr="00933FB8"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  <w:t>Description of event</w:t>
            </w: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FFFFFF"/>
          </w:tcPr>
          <w:p w:rsidR="00933FB8" w:rsidRPr="00933FB8" w:rsidRDefault="00E54A17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Severe weather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</w:rPr>
              <w:t>warning,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</w:rPr>
              <w:t xml:space="preserve"> resulted in heavy flooding to the local area. Practice has unfortunately been submerged in 2 foot of water, causing wide scale damage to both the premise and equipment.</w:t>
            </w: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33FB8" w:rsidRPr="00933FB8" w:rsidTr="00E54A17">
        <w:trPr>
          <w:trHeight w:val="56"/>
        </w:trPr>
        <w:tc>
          <w:tcPr>
            <w:tcW w:w="2996" w:type="dxa"/>
            <w:shd w:val="clear" w:color="auto" w:fill="1C6CB4"/>
            <w:hideMark/>
          </w:tcPr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</w:pPr>
            <w:r w:rsidRPr="00933FB8">
              <w:rPr>
                <w:rFonts w:ascii="Arial" w:eastAsia="MS Mincho" w:hAnsi="Arial" w:cs="Arial"/>
                <w:b/>
                <w:color w:val="FFFFFF"/>
                <w:sz w:val="24"/>
                <w:szCs w:val="24"/>
              </w:rPr>
              <w:t>Action being taken to mitigate loss of service</w:t>
            </w:r>
          </w:p>
        </w:tc>
        <w:tc>
          <w:tcPr>
            <w:tcW w:w="6184" w:type="dxa"/>
            <w:shd w:val="clear" w:color="auto" w:fill="FFFFFF"/>
          </w:tcPr>
          <w:p w:rsidR="00933FB8" w:rsidRPr="00933FB8" w:rsidRDefault="00E54A17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We have another practice within a 3 mile radius, therefore we will try our best to provide GOS services to as many as our patients as possible at our alternative address</w:t>
            </w: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33FB8" w:rsidRPr="00933FB8" w:rsidRDefault="00933FB8" w:rsidP="00933FB8">
            <w:pPr>
              <w:spacing w:before="120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33FB8" w:rsidRPr="00933FB8" w:rsidRDefault="00933FB8" w:rsidP="00933FB8">
      <w:pPr>
        <w:spacing w:after="0" w:line="240" w:lineRule="auto"/>
        <w:rPr>
          <w:rFonts w:ascii="Arial" w:eastAsia="Times New Roman" w:hAnsi="Arial" w:cs="Times New Roman"/>
          <w:bCs/>
          <w:sz w:val="24"/>
          <w:szCs w:val="26"/>
        </w:rPr>
      </w:pPr>
    </w:p>
    <w:p w:rsidR="009A4CD6" w:rsidRDefault="009A4CD6"/>
    <w:sectPr w:rsidR="009A4CD6" w:rsidSect="00E54A17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17" w:rsidRDefault="00E54A17">
      <w:pPr>
        <w:spacing w:after="0" w:line="240" w:lineRule="auto"/>
      </w:pPr>
      <w:r>
        <w:separator/>
      </w:r>
    </w:p>
  </w:endnote>
  <w:endnote w:type="continuationSeparator" w:id="0">
    <w:p w:rsidR="00E54A17" w:rsidRDefault="00E5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17" w:rsidRDefault="00E54A17" w:rsidP="00E54A17">
    <w:pPr>
      <w:pStyle w:val="Footer"/>
    </w:pPr>
  </w:p>
  <w:p w:rsidR="00E54A17" w:rsidRDefault="00E54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17" w:rsidRDefault="00E54A17">
      <w:pPr>
        <w:spacing w:after="0" w:line="240" w:lineRule="auto"/>
      </w:pPr>
      <w:r>
        <w:separator/>
      </w:r>
    </w:p>
  </w:footnote>
  <w:footnote w:type="continuationSeparator" w:id="0">
    <w:p w:rsidR="00E54A17" w:rsidRDefault="00E5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17" w:rsidRDefault="00E54A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951FD95" wp14:editId="697A0AD4">
          <wp:simplePos x="0" y="0"/>
          <wp:positionH relativeFrom="page">
            <wp:posOffset>6054969</wp:posOffset>
          </wp:positionH>
          <wp:positionV relativeFrom="page">
            <wp:posOffset>250288</wp:posOffset>
          </wp:positionV>
          <wp:extent cx="809625" cy="328930"/>
          <wp:effectExtent l="0" t="0" r="317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B8"/>
    <w:rsid w:val="00933FB8"/>
    <w:rsid w:val="009A4CD6"/>
    <w:rsid w:val="00A54B46"/>
    <w:rsid w:val="00E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4">
    <w:name w:val="Table Grid214"/>
    <w:basedOn w:val="TableNormal"/>
    <w:next w:val="TableGrid"/>
    <w:uiPriority w:val="59"/>
    <w:rsid w:val="00933F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933FB8"/>
    <w:pPr>
      <w:spacing w:after="0" w:line="240" w:lineRule="auto"/>
    </w:pPr>
    <w:rPr>
      <w:rFonts w:ascii="Calibri" w:eastAsia="MS Mincho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FB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933FB8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933FB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933FB8"/>
    <w:rPr>
      <w:rFonts w:ascii="Arial" w:eastAsia="Times New Roman" w:hAnsi="Arial" w:cs="Times New Roman"/>
      <w:bCs/>
      <w:sz w:val="24"/>
      <w:szCs w:val="26"/>
    </w:rPr>
  </w:style>
  <w:style w:type="table" w:styleId="TableGrid">
    <w:name w:val="Table Grid"/>
    <w:basedOn w:val="TableNormal"/>
    <w:uiPriority w:val="59"/>
    <w:rsid w:val="00933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4">
    <w:name w:val="Table Grid214"/>
    <w:basedOn w:val="TableNormal"/>
    <w:next w:val="TableGrid"/>
    <w:uiPriority w:val="59"/>
    <w:rsid w:val="00933F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933FB8"/>
    <w:pPr>
      <w:spacing w:after="0" w:line="240" w:lineRule="auto"/>
    </w:pPr>
    <w:rPr>
      <w:rFonts w:ascii="Calibri" w:eastAsia="MS Mincho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FB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933FB8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933FB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933FB8"/>
    <w:rPr>
      <w:rFonts w:ascii="Arial" w:eastAsia="Times New Roman" w:hAnsi="Arial" w:cs="Times New Roman"/>
      <w:bCs/>
      <w:sz w:val="24"/>
      <w:szCs w:val="26"/>
    </w:rPr>
  </w:style>
  <w:style w:type="table" w:styleId="TableGrid">
    <w:name w:val="Table Grid"/>
    <w:basedOn w:val="TableNormal"/>
    <w:uiPriority w:val="59"/>
    <w:rsid w:val="00933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Marshall</dc:creator>
  <cp:lastModifiedBy>Adam Pendlebury</cp:lastModifiedBy>
  <cp:revision>2</cp:revision>
  <dcterms:created xsi:type="dcterms:W3CDTF">2019-11-28T13:19:00Z</dcterms:created>
  <dcterms:modified xsi:type="dcterms:W3CDTF">2019-11-28T13:19:00Z</dcterms:modified>
</cp:coreProperties>
</file>