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14C74" w14:textId="77777777" w:rsidR="00F41975" w:rsidRDefault="002C18D0" w:rsidP="006634F2">
      <w:pPr>
        <w:jc w:val="center"/>
        <w:rPr>
          <w:rFonts w:ascii="Arial" w:hAnsi="Arial" w:cs="Arial"/>
          <w:b/>
          <w:bCs/>
        </w:rPr>
      </w:pPr>
      <w:r w:rsidRPr="008E12AB">
        <w:rPr>
          <w:rFonts w:ascii="Arial" w:hAnsi="Arial" w:cs="Arial"/>
          <w:b/>
          <w:bCs/>
        </w:rPr>
        <w:t>NHSBSA Provider A</w:t>
      </w:r>
      <w:r w:rsidR="004E6AAA" w:rsidRPr="008E12AB">
        <w:rPr>
          <w:rFonts w:ascii="Arial" w:hAnsi="Arial" w:cs="Arial"/>
          <w:b/>
          <w:bCs/>
        </w:rPr>
        <w:t>ssurance</w:t>
      </w:r>
      <w:r w:rsidR="003732B8">
        <w:rPr>
          <w:rFonts w:ascii="Arial" w:hAnsi="Arial" w:cs="Arial"/>
          <w:b/>
          <w:bCs/>
        </w:rPr>
        <w:t xml:space="preserve"> Dental</w:t>
      </w:r>
    </w:p>
    <w:p w14:paraId="10554072" w14:textId="0B8FD7FB" w:rsidR="008C33F7" w:rsidRPr="008C33F7" w:rsidRDefault="00022170" w:rsidP="006634F2">
      <w:pPr>
        <w:jc w:val="center"/>
        <w:rPr>
          <w:rFonts w:ascii="Arial" w:hAnsi="Arial" w:cs="Arial"/>
          <w:b/>
          <w:bCs/>
        </w:rPr>
      </w:pPr>
      <w:r w:rsidRPr="008E12AB">
        <w:rPr>
          <w:rFonts w:ascii="Arial" w:hAnsi="Arial" w:cs="Arial"/>
          <w:b/>
          <w:bCs/>
        </w:rPr>
        <w:t xml:space="preserve">2019/20 </w:t>
      </w:r>
      <w:r w:rsidR="0002298F" w:rsidRPr="008E12AB">
        <w:rPr>
          <w:rFonts w:ascii="Arial" w:hAnsi="Arial" w:cs="Arial"/>
          <w:b/>
          <w:bCs/>
        </w:rPr>
        <w:t xml:space="preserve">Carry </w:t>
      </w:r>
      <w:r w:rsidR="00DD49CE" w:rsidRPr="008E12AB">
        <w:rPr>
          <w:rFonts w:ascii="Arial" w:hAnsi="Arial" w:cs="Arial"/>
          <w:b/>
          <w:bCs/>
        </w:rPr>
        <w:t>f</w:t>
      </w:r>
      <w:r w:rsidR="0002298F" w:rsidRPr="008E12AB">
        <w:rPr>
          <w:rFonts w:ascii="Arial" w:hAnsi="Arial" w:cs="Arial"/>
          <w:b/>
          <w:bCs/>
        </w:rPr>
        <w:t xml:space="preserve">orward </w:t>
      </w:r>
      <w:r w:rsidR="00DD49CE" w:rsidRPr="008E12AB">
        <w:rPr>
          <w:rFonts w:ascii="Arial" w:hAnsi="Arial" w:cs="Arial"/>
          <w:b/>
          <w:bCs/>
        </w:rPr>
        <w:t>a</w:t>
      </w:r>
      <w:r w:rsidR="0002298F" w:rsidRPr="008E12AB">
        <w:rPr>
          <w:rFonts w:ascii="Arial" w:hAnsi="Arial" w:cs="Arial"/>
          <w:b/>
          <w:bCs/>
        </w:rPr>
        <w:t xml:space="preserve">ctivity </w:t>
      </w:r>
      <w:r w:rsidR="002C18D0" w:rsidRPr="008E12AB">
        <w:rPr>
          <w:rFonts w:ascii="Arial" w:hAnsi="Arial" w:cs="Arial"/>
          <w:b/>
          <w:bCs/>
        </w:rPr>
        <w:t>process</w:t>
      </w:r>
      <w:r w:rsidR="00F11122">
        <w:rPr>
          <w:rFonts w:ascii="Arial" w:hAnsi="Arial" w:cs="Arial"/>
          <w:b/>
          <w:bCs/>
        </w:rPr>
        <w:t xml:space="preserve"> for </w:t>
      </w:r>
      <w:r w:rsidR="00F41975">
        <w:rPr>
          <w:rFonts w:ascii="Arial" w:hAnsi="Arial" w:cs="Arial"/>
          <w:b/>
          <w:bCs/>
        </w:rPr>
        <w:t xml:space="preserve">2020/21 and future year end </w:t>
      </w:r>
      <w:r w:rsidR="00B8595C">
        <w:rPr>
          <w:rFonts w:ascii="Arial" w:hAnsi="Arial" w:cs="Arial"/>
          <w:b/>
          <w:bCs/>
        </w:rPr>
        <w:t>reconciliation</w:t>
      </w:r>
    </w:p>
    <w:p w14:paraId="25D7E2F6" w14:textId="77777777" w:rsidR="00F41975" w:rsidRDefault="00F41975" w:rsidP="00F41975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7E8F76FE" w14:textId="285D7ED8" w:rsidR="0002298F" w:rsidRDefault="00356CB0" w:rsidP="00F41975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Background</w:t>
      </w:r>
    </w:p>
    <w:p w14:paraId="4AED4920" w14:textId="77777777" w:rsidR="00F41975" w:rsidRPr="00022170" w:rsidRDefault="00F41975" w:rsidP="00F41975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7CD5FD9A" w14:textId="375C3DEB" w:rsidR="001D2E71" w:rsidRDefault="001D2E71" w:rsidP="00F41975">
      <w:pPr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In line with existing arrangements, </w:t>
      </w:r>
      <w:r w:rsidRPr="008F7AF4">
        <w:rPr>
          <w:rFonts w:ascii="Arial" w:eastAsia="Times New Roman" w:hAnsi="Arial" w:cs="Arial"/>
          <w:bCs/>
        </w:rPr>
        <w:t xml:space="preserve">on behalf of NHS England &amp; NHS Improvement </w:t>
      </w:r>
      <w:r>
        <w:rPr>
          <w:rFonts w:ascii="Arial" w:eastAsia="Times New Roman" w:hAnsi="Arial" w:cs="Arial"/>
          <w:bCs/>
        </w:rPr>
        <w:t xml:space="preserve">Regional </w:t>
      </w:r>
      <w:r w:rsidRPr="008F7AF4">
        <w:rPr>
          <w:rFonts w:ascii="Arial" w:eastAsia="Times New Roman" w:hAnsi="Arial" w:cs="Arial"/>
          <w:bCs/>
        </w:rPr>
        <w:t>teams</w:t>
      </w:r>
      <w:r w:rsidR="00B03D9D">
        <w:rPr>
          <w:rFonts w:ascii="Arial" w:eastAsia="Times New Roman" w:hAnsi="Arial" w:cs="Arial"/>
          <w:bCs/>
        </w:rPr>
        <w:t xml:space="preserve"> (RT</w:t>
      </w:r>
      <w:r w:rsidR="008F4CEB">
        <w:rPr>
          <w:rFonts w:ascii="Arial" w:eastAsia="Times New Roman" w:hAnsi="Arial" w:cs="Arial"/>
          <w:bCs/>
        </w:rPr>
        <w:t>s)</w:t>
      </w:r>
      <w:r w:rsidRPr="008F7AF4">
        <w:rPr>
          <w:rFonts w:ascii="Arial" w:eastAsia="Times New Roman" w:hAnsi="Arial" w:cs="Arial"/>
          <w:bCs/>
        </w:rPr>
        <w:t xml:space="preserve">, </w:t>
      </w:r>
      <w:r>
        <w:rPr>
          <w:rFonts w:ascii="Arial" w:eastAsia="Times New Roman" w:hAnsi="Arial" w:cs="Arial"/>
          <w:bCs/>
        </w:rPr>
        <w:t xml:space="preserve">NHSBSA Provider Assurance Dental </w:t>
      </w:r>
      <w:r w:rsidR="00B03D9D">
        <w:rPr>
          <w:rFonts w:ascii="Arial" w:eastAsia="Times New Roman" w:hAnsi="Arial" w:cs="Arial"/>
          <w:bCs/>
        </w:rPr>
        <w:t xml:space="preserve">(PAD) </w:t>
      </w:r>
      <w:r w:rsidRPr="008F7AF4">
        <w:rPr>
          <w:rFonts w:ascii="Arial" w:eastAsia="Times New Roman" w:hAnsi="Arial" w:cs="Arial"/>
          <w:bCs/>
        </w:rPr>
        <w:t>will</w:t>
      </w:r>
      <w:r>
        <w:rPr>
          <w:rFonts w:ascii="Arial" w:eastAsia="Times New Roman" w:hAnsi="Arial" w:cs="Arial"/>
          <w:bCs/>
        </w:rPr>
        <w:t xml:space="preserve"> be</w:t>
      </w:r>
      <w:r w:rsidRPr="008F7AF4">
        <w:rPr>
          <w:rFonts w:ascii="Arial" w:eastAsia="Times New Roman" w:hAnsi="Arial" w:cs="Arial"/>
          <w:bCs/>
        </w:rPr>
        <w:t xml:space="preserve"> deliver</w:t>
      </w:r>
      <w:r>
        <w:rPr>
          <w:rFonts w:ascii="Arial" w:eastAsia="Times New Roman" w:hAnsi="Arial" w:cs="Arial"/>
          <w:bCs/>
        </w:rPr>
        <w:t>ing</w:t>
      </w:r>
      <w:r w:rsidRPr="008F7AF4">
        <w:rPr>
          <w:rFonts w:ascii="Arial" w:eastAsia="Times New Roman" w:hAnsi="Arial" w:cs="Arial"/>
          <w:bCs/>
        </w:rPr>
        <w:t xml:space="preserve"> the </w:t>
      </w:r>
      <w:r>
        <w:rPr>
          <w:rFonts w:ascii="Arial" w:eastAsia="Times New Roman" w:hAnsi="Arial" w:cs="Arial"/>
          <w:bCs/>
        </w:rPr>
        <w:t xml:space="preserve">Year End </w:t>
      </w:r>
      <w:r w:rsidR="00F41975">
        <w:rPr>
          <w:rFonts w:ascii="Arial" w:eastAsia="Times New Roman" w:hAnsi="Arial" w:cs="Arial"/>
          <w:bCs/>
        </w:rPr>
        <w:t xml:space="preserve">(YE) </w:t>
      </w:r>
      <w:r>
        <w:rPr>
          <w:rFonts w:ascii="Arial" w:eastAsia="Times New Roman" w:hAnsi="Arial" w:cs="Arial"/>
          <w:bCs/>
        </w:rPr>
        <w:t>2020/21</w:t>
      </w:r>
      <w:r w:rsidRPr="008F7AF4">
        <w:rPr>
          <w:rFonts w:ascii="Arial" w:eastAsia="Times New Roman" w:hAnsi="Arial" w:cs="Arial"/>
          <w:bCs/>
        </w:rPr>
        <w:t xml:space="preserve"> reconciliation</w:t>
      </w:r>
      <w:r w:rsidR="006634F2">
        <w:rPr>
          <w:rFonts w:ascii="Arial" w:eastAsia="Times New Roman" w:hAnsi="Arial" w:cs="Arial"/>
          <w:bCs/>
        </w:rPr>
        <w:t>.</w:t>
      </w:r>
    </w:p>
    <w:p w14:paraId="7D2EFFD7" w14:textId="0F19E02E" w:rsidR="001D2E71" w:rsidRDefault="001D2E71" w:rsidP="00F41975">
      <w:pPr>
        <w:spacing w:after="0" w:line="240" w:lineRule="auto"/>
        <w:rPr>
          <w:rFonts w:ascii="Arial" w:eastAsia="Times New Roman" w:hAnsi="Arial" w:cs="Arial"/>
          <w:bCs/>
        </w:rPr>
      </w:pPr>
    </w:p>
    <w:p w14:paraId="65625D15" w14:textId="1190F3EC" w:rsidR="00CD2F42" w:rsidRPr="00046204" w:rsidRDefault="001D2E71" w:rsidP="00F41975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Cs/>
        </w:rPr>
        <w:t xml:space="preserve">In the supporting guidance document to </w:t>
      </w:r>
      <w:hyperlink r:id="rId11" w:history="1">
        <w:r w:rsidRPr="001D2E71">
          <w:rPr>
            <w:rStyle w:val="Hyperlink"/>
            <w:rFonts w:ascii="Arial" w:eastAsia="Times New Roman" w:hAnsi="Arial" w:cs="Arial"/>
            <w:bCs/>
          </w:rPr>
          <w:t>Preparedness letter 7</w:t>
        </w:r>
      </w:hyperlink>
      <w:r w:rsidR="00022170">
        <w:rPr>
          <w:rFonts w:ascii="Arial" w:eastAsia="Times New Roman" w:hAnsi="Arial" w:cs="Arial"/>
          <w:bCs/>
        </w:rPr>
        <w:t xml:space="preserve"> </w:t>
      </w:r>
      <w:r w:rsidR="00C60A23">
        <w:rPr>
          <w:rFonts w:ascii="Arial" w:eastAsia="Times New Roman" w:hAnsi="Arial" w:cs="Arial"/>
          <w:bCs/>
        </w:rPr>
        <w:t xml:space="preserve">it states </w:t>
      </w:r>
      <w:r w:rsidR="00CD2F42">
        <w:rPr>
          <w:rFonts w:ascii="Arial" w:eastAsia="Times New Roman" w:hAnsi="Arial" w:cs="Arial"/>
          <w:bCs/>
        </w:rPr>
        <w:t>that t</w:t>
      </w:r>
      <w:r w:rsidR="00CD2F42" w:rsidRPr="00046204">
        <w:rPr>
          <w:rFonts w:ascii="Arial" w:hAnsi="Arial" w:cs="Arial"/>
        </w:rPr>
        <w:t>he decision l</w:t>
      </w:r>
      <w:r w:rsidR="00823018">
        <w:rPr>
          <w:rFonts w:ascii="Arial" w:hAnsi="Arial" w:cs="Arial"/>
        </w:rPr>
        <w:t>ays</w:t>
      </w:r>
      <w:r w:rsidR="00CD2F42" w:rsidRPr="00046204">
        <w:rPr>
          <w:rFonts w:ascii="Arial" w:hAnsi="Arial" w:cs="Arial"/>
        </w:rPr>
        <w:t xml:space="preserve"> with Commissioner and Provider for </w:t>
      </w:r>
      <w:r w:rsidR="00CD2F42">
        <w:rPr>
          <w:rFonts w:ascii="Arial" w:hAnsi="Arial" w:cs="Arial"/>
        </w:rPr>
        <w:t xml:space="preserve">agreeing options for </w:t>
      </w:r>
      <w:r w:rsidR="00CD2F42" w:rsidRPr="00046204">
        <w:rPr>
          <w:rFonts w:ascii="Arial" w:hAnsi="Arial" w:cs="Arial"/>
        </w:rPr>
        <w:t>carry forwards of under and over delivery from the 2019/20 year.</w:t>
      </w:r>
    </w:p>
    <w:p w14:paraId="0999CA58" w14:textId="77777777" w:rsidR="00CD2F42" w:rsidRPr="00046204" w:rsidRDefault="00CD2F42" w:rsidP="00F41975">
      <w:pPr>
        <w:spacing w:after="0" w:line="240" w:lineRule="auto"/>
        <w:rPr>
          <w:rFonts w:ascii="Arial" w:hAnsi="Arial" w:cs="Arial"/>
          <w:color w:val="FF0000"/>
          <w:lang w:eastAsia="en-GB"/>
        </w:rPr>
      </w:pPr>
    </w:p>
    <w:p w14:paraId="53473EB5" w14:textId="28C95ACD" w:rsidR="00170E55" w:rsidRDefault="00CD2F42" w:rsidP="00F41975">
      <w:pPr>
        <w:spacing w:after="0" w:line="240" w:lineRule="auto"/>
        <w:jc w:val="both"/>
        <w:rPr>
          <w:rFonts w:ascii="Arial" w:hAnsi="Arial" w:cs="Arial"/>
        </w:rPr>
      </w:pPr>
      <w:r w:rsidRPr="00046204">
        <w:rPr>
          <w:rFonts w:ascii="Arial" w:hAnsi="Arial" w:cs="Arial"/>
          <w:lang w:eastAsia="en-GB"/>
        </w:rPr>
        <w:t xml:space="preserve">NHSBSA PAD will </w:t>
      </w:r>
      <w:r>
        <w:rPr>
          <w:rFonts w:ascii="Arial" w:hAnsi="Arial" w:cs="Arial"/>
          <w:lang w:eastAsia="en-GB"/>
        </w:rPr>
        <w:t xml:space="preserve">support regional teams, </w:t>
      </w:r>
      <w:r w:rsidR="00F41975">
        <w:rPr>
          <w:rFonts w:ascii="Arial" w:hAnsi="Arial" w:cs="Arial"/>
          <w:lang w:eastAsia="en-GB"/>
        </w:rPr>
        <w:t>by</w:t>
      </w:r>
      <w:r w:rsidR="00170E55">
        <w:rPr>
          <w:rFonts w:ascii="Arial" w:hAnsi="Arial" w:cs="Arial"/>
        </w:rPr>
        <w:t xml:space="preserve"> communicating </w:t>
      </w:r>
      <w:r w:rsidR="00F41975">
        <w:rPr>
          <w:rFonts w:ascii="Arial" w:hAnsi="Arial" w:cs="Arial"/>
        </w:rPr>
        <w:t xml:space="preserve">their commissioning intentions </w:t>
      </w:r>
      <w:r w:rsidR="00170E55">
        <w:rPr>
          <w:rFonts w:ascii="Arial" w:hAnsi="Arial" w:cs="Arial"/>
        </w:rPr>
        <w:t xml:space="preserve">to Providers on their behalf. This will be with the caveat that Providers can negotiate an alternative </w:t>
      </w:r>
      <w:r w:rsidR="00F41975">
        <w:rPr>
          <w:rFonts w:ascii="Arial" w:hAnsi="Arial" w:cs="Arial"/>
        </w:rPr>
        <w:t xml:space="preserve">arrangement </w:t>
      </w:r>
      <w:r w:rsidR="00170E55">
        <w:rPr>
          <w:rFonts w:ascii="Arial" w:hAnsi="Arial" w:cs="Arial"/>
        </w:rPr>
        <w:t>with their RT for their carry forward.</w:t>
      </w:r>
    </w:p>
    <w:p w14:paraId="6BF45208" w14:textId="3F8DBDFE" w:rsidR="00CD2F42" w:rsidRPr="00046204" w:rsidRDefault="00BB0F7D" w:rsidP="00F41975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NHSBSA PAD will</w:t>
      </w:r>
      <w:r w:rsidR="00CD2F42">
        <w:rPr>
          <w:rFonts w:ascii="Arial" w:hAnsi="Arial" w:cs="Arial"/>
          <w:lang w:eastAsia="en-GB"/>
        </w:rPr>
        <w:t xml:space="preserve"> captur</w:t>
      </w:r>
      <w:r>
        <w:rPr>
          <w:rFonts w:ascii="Arial" w:hAnsi="Arial" w:cs="Arial"/>
          <w:lang w:eastAsia="en-GB"/>
        </w:rPr>
        <w:t>e</w:t>
      </w:r>
      <w:r w:rsidR="00CD2F42">
        <w:rPr>
          <w:rFonts w:ascii="Arial" w:hAnsi="Arial" w:cs="Arial"/>
          <w:lang w:eastAsia="en-GB"/>
        </w:rPr>
        <w:t xml:space="preserve"> and document </w:t>
      </w:r>
      <w:r w:rsidR="00CD2F42" w:rsidRPr="00046204">
        <w:rPr>
          <w:rFonts w:ascii="Arial" w:hAnsi="Arial" w:cs="Arial"/>
          <w:lang w:eastAsia="en-GB"/>
        </w:rPr>
        <w:t xml:space="preserve">the agreement made between the commissioner and the </w:t>
      </w:r>
      <w:r w:rsidR="00DB7C41">
        <w:rPr>
          <w:rFonts w:ascii="Arial" w:hAnsi="Arial" w:cs="Arial"/>
          <w:lang w:eastAsia="en-GB"/>
        </w:rPr>
        <w:t>Provide</w:t>
      </w:r>
      <w:r w:rsidR="00CD2F42" w:rsidRPr="00046204">
        <w:rPr>
          <w:rFonts w:ascii="Arial" w:hAnsi="Arial" w:cs="Arial"/>
          <w:lang w:eastAsia="en-GB"/>
        </w:rPr>
        <w:t>r</w:t>
      </w:r>
      <w:r w:rsidR="00CD2F42">
        <w:rPr>
          <w:rFonts w:ascii="Arial" w:hAnsi="Arial" w:cs="Arial"/>
          <w:lang w:eastAsia="en-GB"/>
        </w:rPr>
        <w:t xml:space="preserve">, prior to the </w:t>
      </w:r>
      <w:r w:rsidR="00CD2F42" w:rsidRPr="00046204">
        <w:rPr>
          <w:rFonts w:ascii="Arial" w:hAnsi="Arial" w:cs="Arial"/>
          <w:lang w:eastAsia="en-GB"/>
        </w:rPr>
        <w:t xml:space="preserve">categorisation stage of the </w:t>
      </w:r>
      <w:r w:rsidR="005252EA">
        <w:rPr>
          <w:rFonts w:ascii="Arial" w:hAnsi="Arial" w:cs="Arial"/>
          <w:lang w:eastAsia="en-GB"/>
        </w:rPr>
        <w:t xml:space="preserve">YE </w:t>
      </w:r>
      <w:r w:rsidR="00CD2F42" w:rsidRPr="00046204">
        <w:rPr>
          <w:rFonts w:ascii="Arial" w:hAnsi="Arial" w:cs="Arial"/>
          <w:lang w:eastAsia="en-GB"/>
        </w:rPr>
        <w:t>operational plan.</w:t>
      </w:r>
    </w:p>
    <w:p w14:paraId="16FBE25D" w14:textId="77777777" w:rsidR="00CD2F42" w:rsidRPr="00046204" w:rsidRDefault="00CD2F42" w:rsidP="00F41975">
      <w:pPr>
        <w:spacing w:after="0" w:line="240" w:lineRule="auto"/>
        <w:rPr>
          <w:rFonts w:ascii="Arial" w:hAnsi="Arial" w:cs="Arial"/>
          <w:lang w:eastAsia="en-GB"/>
        </w:rPr>
      </w:pPr>
    </w:p>
    <w:p w14:paraId="5827BB29" w14:textId="10C61929" w:rsidR="00CD2F42" w:rsidRDefault="00CD2F42" w:rsidP="00F41975">
      <w:pPr>
        <w:spacing w:after="0" w:line="240" w:lineRule="auto"/>
        <w:rPr>
          <w:rFonts w:ascii="Arial" w:hAnsi="Arial" w:cs="Arial"/>
          <w:lang w:eastAsia="en-GB"/>
        </w:rPr>
      </w:pPr>
      <w:r w:rsidRPr="00046204">
        <w:rPr>
          <w:rFonts w:ascii="Arial" w:hAnsi="Arial" w:cs="Arial"/>
          <w:lang w:eastAsia="en-GB"/>
        </w:rPr>
        <w:t xml:space="preserve">This will then be used to </w:t>
      </w:r>
      <w:r w:rsidR="00F41975">
        <w:rPr>
          <w:rFonts w:ascii="Arial" w:hAnsi="Arial" w:cs="Arial"/>
          <w:lang w:eastAsia="en-GB"/>
        </w:rPr>
        <w:t>in</w:t>
      </w:r>
      <w:r w:rsidRPr="00046204">
        <w:rPr>
          <w:rFonts w:ascii="Arial" w:hAnsi="Arial" w:cs="Arial"/>
          <w:lang w:eastAsia="en-GB"/>
        </w:rPr>
        <w:t xml:space="preserve">form the YE reconciliation and appropriate communication in the YE letter and if </w:t>
      </w:r>
      <w:r w:rsidR="0015194A" w:rsidRPr="00046204">
        <w:rPr>
          <w:rFonts w:ascii="Arial" w:hAnsi="Arial" w:cs="Arial"/>
          <w:lang w:eastAsia="en-GB"/>
        </w:rPr>
        <w:t>necessary,</w:t>
      </w:r>
      <w:r w:rsidRPr="00046204">
        <w:rPr>
          <w:rFonts w:ascii="Arial" w:hAnsi="Arial" w:cs="Arial"/>
          <w:lang w:eastAsia="en-GB"/>
        </w:rPr>
        <w:t xml:space="preserve"> any adjustments to carry forward from 2019/20 to </w:t>
      </w:r>
      <w:r w:rsidR="00F41975">
        <w:rPr>
          <w:rFonts w:ascii="Arial" w:hAnsi="Arial" w:cs="Arial"/>
          <w:lang w:eastAsia="en-GB"/>
        </w:rPr>
        <w:t xml:space="preserve">further contract years </w:t>
      </w:r>
      <w:r w:rsidRPr="00046204">
        <w:rPr>
          <w:rFonts w:ascii="Arial" w:hAnsi="Arial" w:cs="Arial"/>
          <w:lang w:eastAsia="en-GB"/>
        </w:rPr>
        <w:t>in Compass.</w:t>
      </w:r>
    </w:p>
    <w:p w14:paraId="1AC00340" w14:textId="77777777" w:rsidR="00F41975" w:rsidRDefault="00F41975" w:rsidP="00F41975">
      <w:pPr>
        <w:spacing w:after="0" w:line="240" w:lineRule="auto"/>
        <w:rPr>
          <w:rFonts w:ascii="Arial" w:hAnsi="Arial" w:cs="Arial"/>
          <w:lang w:eastAsia="en-GB"/>
        </w:rPr>
      </w:pPr>
    </w:p>
    <w:p w14:paraId="7AE1FB08" w14:textId="110B15B3" w:rsidR="00F125C5" w:rsidRDefault="00356CB0" w:rsidP="00F419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</w:t>
      </w:r>
      <w:r w:rsidR="00F41975">
        <w:rPr>
          <w:rFonts w:ascii="Arial" w:hAnsi="Arial" w:cs="Arial"/>
        </w:rPr>
        <w:t xml:space="preserve">recognised that </w:t>
      </w:r>
      <w:r>
        <w:rPr>
          <w:rFonts w:ascii="Arial" w:hAnsi="Arial" w:cs="Arial"/>
        </w:rPr>
        <w:t>that some Regions have already communicated with their Providers,</w:t>
      </w:r>
      <w:r w:rsidR="00366D18">
        <w:rPr>
          <w:rFonts w:ascii="Arial" w:hAnsi="Arial" w:cs="Arial"/>
        </w:rPr>
        <w:t xml:space="preserve"> this will be incorporated in </w:t>
      </w:r>
      <w:r>
        <w:rPr>
          <w:rFonts w:ascii="Arial" w:hAnsi="Arial" w:cs="Arial"/>
        </w:rPr>
        <w:t>the following process</w:t>
      </w:r>
      <w:r w:rsidR="00366D18">
        <w:rPr>
          <w:rFonts w:ascii="Arial" w:hAnsi="Arial" w:cs="Arial"/>
        </w:rPr>
        <w:t xml:space="preserve">, to ensure all </w:t>
      </w:r>
      <w:r w:rsidR="00296F50">
        <w:rPr>
          <w:rFonts w:ascii="Arial" w:hAnsi="Arial" w:cs="Arial"/>
        </w:rPr>
        <w:t xml:space="preserve">Commissioning/Provider </w:t>
      </w:r>
      <w:r w:rsidR="00F41975">
        <w:rPr>
          <w:rFonts w:ascii="Arial" w:hAnsi="Arial" w:cs="Arial"/>
        </w:rPr>
        <w:t xml:space="preserve">commissioning </w:t>
      </w:r>
      <w:r w:rsidR="00296F50">
        <w:rPr>
          <w:rFonts w:ascii="Arial" w:hAnsi="Arial" w:cs="Arial"/>
        </w:rPr>
        <w:t xml:space="preserve">decisions </w:t>
      </w:r>
      <w:r w:rsidR="00F41975">
        <w:rPr>
          <w:rFonts w:ascii="Arial" w:hAnsi="Arial" w:cs="Arial"/>
        </w:rPr>
        <w:t>are fully documents for the 2020/21 and future YE processes.</w:t>
      </w:r>
    </w:p>
    <w:p w14:paraId="77909629" w14:textId="77777777" w:rsidR="00F41975" w:rsidRDefault="00F41975" w:rsidP="00F41975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704385B9" w14:textId="662ABD93" w:rsidR="00EB2F69" w:rsidRDefault="006B2134" w:rsidP="00F4197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B5628">
        <w:rPr>
          <w:rFonts w:ascii="Arial" w:hAnsi="Arial" w:cs="Arial"/>
          <w:u w:val="single"/>
        </w:rPr>
        <w:t>Outline process:</w:t>
      </w:r>
    </w:p>
    <w:p w14:paraId="10B791D0" w14:textId="77777777" w:rsidR="00F41975" w:rsidRPr="002B5628" w:rsidRDefault="00F41975" w:rsidP="00F41975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7191F7" w14:textId="52465396" w:rsidR="00AC463A" w:rsidRDefault="001D4242" w:rsidP="00F419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19/20 Carry Forward </w:t>
      </w:r>
      <w:r w:rsidR="008A4D71">
        <w:rPr>
          <w:rFonts w:ascii="Arial" w:hAnsi="Arial" w:cs="Arial"/>
        </w:rPr>
        <w:t xml:space="preserve">letter </w:t>
      </w:r>
      <w:r w:rsidR="00EE155F">
        <w:rPr>
          <w:rFonts w:ascii="Arial" w:hAnsi="Arial" w:cs="Arial"/>
        </w:rPr>
        <w:t xml:space="preserve">sent </w:t>
      </w:r>
      <w:r w:rsidR="00885BFC">
        <w:rPr>
          <w:rFonts w:ascii="Arial" w:hAnsi="Arial" w:cs="Arial"/>
        </w:rPr>
        <w:t>to all Providers</w:t>
      </w:r>
      <w:r w:rsidR="00773FDC">
        <w:rPr>
          <w:rFonts w:ascii="Arial" w:hAnsi="Arial" w:cs="Arial"/>
        </w:rPr>
        <w:t xml:space="preserve"> where Regions/STPS have requested support from NHSBSA PAD</w:t>
      </w:r>
      <w:r w:rsidR="001830DE">
        <w:rPr>
          <w:rFonts w:ascii="Arial" w:hAnsi="Arial" w:cs="Arial"/>
        </w:rPr>
        <w:t xml:space="preserve"> and only contracts that have carry forward activity of over/under delivery from 19/20</w:t>
      </w:r>
      <w:r w:rsidR="00773FDC">
        <w:rPr>
          <w:rFonts w:ascii="Arial" w:hAnsi="Arial" w:cs="Arial"/>
        </w:rPr>
        <w:t>.</w:t>
      </w:r>
      <w:r w:rsidR="00EE155F">
        <w:rPr>
          <w:rFonts w:ascii="Arial" w:hAnsi="Arial" w:cs="Arial"/>
        </w:rPr>
        <w:t xml:space="preserve"> This communication </w:t>
      </w:r>
      <w:r w:rsidR="00514F20">
        <w:rPr>
          <w:rFonts w:ascii="Arial" w:hAnsi="Arial" w:cs="Arial"/>
        </w:rPr>
        <w:t>will be done via business owner email addresses</w:t>
      </w:r>
      <w:r w:rsidR="005234EA">
        <w:rPr>
          <w:rFonts w:ascii="Arial" w:hAnsi="Arial" w:cs="Arial"/>
        </w:rPr>
        <w:t xml:space="preserve">. </w:t>
      </w:r>
    </w:p>
    <w:p w14:paraId="15048C41" w14:textId="4E0608FF" w:rsidR="0052595C" w:rsidRPr="0052595C" w:rsidRDefault="0052595C" w:rsidP="00F419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Providers respond to NHSBSA PAD via </w:t>
      </w:r>
      <w:hyperlink r:id="rId12" w:history="1">
        <w:r w:rsidRPr="00E359AA">
          <w:rPr>
            <w:rStyle w:val="Hyperlink"/>
            <w:rFonts w:ascii="Arial" w:hAnsi="Arial" w:cs="Arial"/>
          </w:rPr>
          <w:t>nhsbsa.dentalcases@nhs.net</w:t>
        </w:r>
      </w:hyperlink>
      <w:r>
        <w:rPr>
          <w:rFonts w:ascii="Arial" w:hAnsi="Arial" w:cs="Arial"/>
        </w:rPr>
        <w:t xml:space="preserve"> requesting an alternative option, this will be flagged to the RT to </w:t>
      </w:r>
      <w:r w:rsidR="006639B2">
        <w:rPr>
          <w:rFonts w:ascii="Arial" w:hAnsi="Arial" w:cs="Arial"/>
        </w:rPr>
        <w:t xml:space="preserve">agree or </w:t>
      </w:r>
      <w:r>
        <w:rPr>
          <w:rFonts w:ascii="Arial" w:hAnsi="Arial" w:cs="Arial"/>
        </w:rPr>
        <w:t>have a conversation with their Provider</w:t>
      </w:r>
      <w:r w:rsidR="00FB7D70">
        <w:rPr>
          <w:rFonts w:ascii="Arial" w:hAnsi="Arial" w:cs="Arial"/>
        </w:rPr>
        <w:t>, NHSBSA PA</w:t>
      </w:r>
      <w:r w:rsidR="00B03037">
        <w:rPr>
          <w:rFonts w:ascii="Arial" w:hAnsi="Arial" w:cs="Arial"/>
        </w:rPr>
        <w:t>D</w:t>
      </w:r>
      <w:r w:rsidR="00FB7D70">
        <w:rPr>
          <w:rFonts w:ascii="Arial" w:hAnsi="Arial" w:cs="Arial"/>
        </w:rPr>
        <w:t xml:space="preserve"> will mark CF decision in YE20/21 </w:t>
      </w:r>
      <w:r w:rsidR="008D66EE">
        <w:rPr>
          <w:rFonts w:ascii="Arial" w:hAnsi="Arial" w:cs="Arial"/>
        </w:rPr>
        <w:t>categorisation</w:t>
      </w:r>
      <w:r w:rsidR="00B03037">
        <w:rPr>
          <w:rFonts w:ascii="Arial" w:hAnsi="Arial" w:cs="Arial"/>
        </w:rPr>
        <w:t xml:space="preserve"> spreadsheet as </w:t>
      </w:r>
      <w:r w:rsidR="0088100B">
        <w:rPr>
          <w:rFonts w:ascii="Arial" w:hAnsi="Arial" w:cs="Arial"/>
        </w:rPr>
        <w:t xml:space="preserve">appropriate or </w:t>
      </w:r>
      <w:r w:rsidR="008D66EE">
        <w:rPr>
          <w:rFonts w:ascii="Arial" w:hAnsi="Arial" w:cs="Arial"/>
        </w:rPr>
        <w:t>‘pending’.</w:t>
      </w:r>
    </w:p>
    <w:p w14:paraId="4ADAB866" w14:textId="7B9E5BAA" w:rsidR="00CC0773" w:rsidRPr="00D42CE3" w:rsidRDefault="00D670F7" w:rsidP="00F419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42CE3">
        <w:rPr>
          <w:rFonts w:ascii="Arial" w:hAnsi="Arial" w:cs="Arial"/>
        </w:rPr>
        <w:t>R</w:t>
      </w:r>
      <w:r w:rsidR="00CC0773" w:rsidRPr="00D42CE3">
        <w:rPr>
          <w:rFonts w:ascii="Arial" w:hAnsi="Arial" w:cs="Arial"/>
        </w:rPr>
        <w:t>ecommended categorisation spreadsheet for the YE20/21 reconciliation sent to RTs</w:t>
      </w:r>
      <w:r w:rsidR="009A131C" w:rsidRPr="00D42CE3">
        <w:rPr>
          <w:rFonts w:ascii="Arial" w:hAnsi="Arial" w:cs="Arial"/>
        </w:rPr>
        <w:t xml:space="preserve">. This spreadsheet </w:t>
      </w:r>
      <w:r w:rsidR="00CC0773" w:rsidRPr="00D42CE3">
        <w:rPr>
          <w:rFonts w:ascii="Arial" w:hAnsi="Arial" w:cs="Arial"/>
        </w:rPr>
        <w:t>will have additional columns to the usual template:</w:t>
      </w:r>
    </w:p>
    <w:p w14:paraId="43E10FF3" w14:textId="77777777" w:rsidR="00CC0773" w:rsidRDefault="00CC0773" w:rsidP="00F419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Column indicating the 19/20 CF if applicable</w:t>
      </w:r>
    </w:p>
    <w:p w14:paraId="4D486205" w14:textId="193F7468" w:rsidR="00D42CE3" w:rsidRDefault="00CC0773" w:rsidP="00F419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C33F7">
        <w:rPr>
          <w:rFonts w:ascii="Arial" w:hAnsi="Arial" w:cs="Arial"/>
        </w:rPr>
        <w:t xml:space="preserve">Column indicating where the 19/20 CF will sit – </w:t>
      </w:r>
      <w:r w:rsidRPr="00EE4F8B">
        <w:rPr>
          <w:rFonts w:ascii="Arial" w:hAnsi="Arial" w:cs="Arial"/>
        </w:rPr>
        <w:t>20/21, 21/22</w:t>
      </w:r>
      <w:r w:rsidR="008D66EE" w:rsidRPr="00EE4F8B">
        <w:rPr>
          <w:rFonts w:ascii="Arial" w:hAnsi="Arial" w:cs="Arial"/>
        </w:rPr>
        <w:t>, other</w:t>
      </w:r>
      <w:r w:rsidRPr="00EE4F8B">
        <w:rPr>
          <w:rFonts w:ascii="Arial" w:hAnsi="Arial" w:cs="Arial"/>
        </w:rPr>
        <w:t xml:space="preserve"> </w:t>
      </w:r>
      <w:r w:rsidR="00EE4F8B" w:rsidRPr="00EE4F8B">
        <w:rPr>
          <w:rFonts w:ascii="Arial" w:hAnsi="Arial" w:cs="Arial"/>
        </w:rPr>
        <w:t xml:space="preserve">(split over years) </w:t>
      </w:r>
      <w:r w:rsidRPr="00EE4F8B">
        <w:rPr>
          <w:rFonts w:ascii="Arial" w:hAnsi="Arial" w:cs="Arial"/>
        </w:rPr>
        <w:t>or pending</w:t>
      </w:r>
      <w:r w:rsidR="00EE4F8B" w:rsidRPr="00EE4F8B">
        <w:rPr>
          <w:rFonts w:ascii="Arial" w:hAnsi="Arial" w:cs="Arial"/>
        </w:rPr>
        <w:t xml:space="preserve"> (awaiting decision)</w:t>
      </w:r>
      <w:r w:rsidRPr="00EE4F8B">
        <w:rPr>
          <w:rFonts w:ascii="Arial" w:hAnsi="Arial" w:cs="Arial"/>
        </w:rPr>
        <w:t>.</w:t>
      </w:r>
      <w:r w:rsidR="00A5532F">
        <w:rPr>
          <w:rFonts w:ascii="Arial" w:hAnsi="Arial" w:cs="Arial"/>
        </w:rPr>
        <w:t xml:space="preserve"> This will be populated </w:t>
      </w:r>
      <w:r w:rsidR="00106E37">
        <w:rPr>
          <w:rFonts w:ascii="Arial" w:hAnsi="Arial" w:cs="Arial"/>
        </w:rPr>
        <w:t xml:space="preserve">only </w:t>
      </w:r>
      <w:r w:rsidR="00A5532F">
        <w:rPr>
          <w:rFonts w:ascii="Arial" w:hAnsi="Arial" w:cs="Arial"/>
        </w:rPr>
        <w:t xml:space="preserve">for RTs where </w:t>
      </w:r>
      <w:r w:rsidR="00106E37">
        <w:rPr>
          <w:rFonts w:ascii="Arial" w:hAnsi="Arial" w:cs="Arial"/>
        </w:rPr>
        <w:t>NHSBSA PAD have provided support.</w:t>
      </w:r>
    </w:p>
    <w:p w14:paraId="5BA95A19" w14:textId="77777777" w:rsidR="00ED7B97" w:rsidRDefault="0026643F" w:rsidP="00F419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RT to return completed </w:t>
      </w:r>
      <w:r w:rsidR="00810CC6">
        <w:rPr>
          <w:rFonts w:ascii="Arial" w:hAnsi="Arial" w:cs="Arial"/>
        </w:rPr>
        <w:t>categorisation to NHSBSA PAD</w:t>
      </w:r>
      <w:r w:rsidR="00367F4F">
        <w:rPr>
          <w:rFonts w:ascii="Arial" w:hAnsi="Arial" w:cs="Arial"/>
        </w:rPr>
        <w:t>, updating 19/20 CF decision if necessary</w:t>
      </w:r>
      <w:r w:rsidR="00810CC6">
        <w:rPr>
          <w:rFonts w:ascii="Arial" w:hAnsi="Arial" w:cs="Arial"/>
        </w:rPr>
        <w:t>.</w:t>
      </w:r>
    </w:p>
    <w:p w14:paraId="3035709E" w14:textId="1295FA4F" w:rsidR="00ED7B97" w:rsidRDefault="00C61567" w:rsidP="00F419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 RTs that have contacted their Providers</w:t>
      </w:r>
      <w:r w:rsidR="00ED7B97">
        <w:rPr>
          <w:rFonts w:ascii="Arial" w:hAnsi="Arial" w:cs="Arial"/>
        </w:rPr>
        <w:t xml:space="preserve"> themselves, they will need to populate the column for 19/20 CF decision.</w:t>
      </w:r>
    </w:p>
    <w:p w14:paraId="499F6E08" w14:textId="146E6898" w:rsidR="00D42CE3" w:rsidRDefault="00ED7B97" w:rsidP="00F419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 RTs NHSBSA PAD have provide</w:t>
      </w:r>
      <w:r w:rsidR="001073F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support to and </w:t>
      </w:r>
      <w:r w:rsidR="00537738">
        <w:rPr>
          <w:rFonts w:ascii="Arial" w:hAnsi="Arial" w:cs="Arial"/>
        </w:rPr>
        <w:t xml:space="preserve">the contract has ‘pending’ marked, the expectation is that the RT and Provider conversation would have taken </w:t>
      </w:r>
      <w:r w:rsidR="00537738">
        <w:rPr>
          <w:rFonts w:ascii="Arial" w:hAnsi="Arial" w:cs="Arial"/>
        </w:rPr>
        <w:lastRenderedPageBreak/>
        <w:t xml:space="preserve">place prior to </w:t>
      </w:r>
      <w:r w:rsidR="00D664CF">
        <w:rPr>
          <w:rFonts w:ascii="Arial" w:hAnsi="Arial" w:cs="Arial"/>
        </w:rPr>
        <w:t>categorisation being returned and recorded,</w:t>
      </w:r>
      <w:r w:rsidR="001073FD">
        <w:rPr>
          <w:rFonts w:ascii="Arial" w:hAnsi="Arial" w:cs="Arial"/>
        </w:rPr>
        <w:t xml:space="preserve"> meaning</w:t>
      </w:r>
      <w:r w:rsidR="00D664CF">
        <w:rPr>
          <w:rFonts w:ascii="Arial" w:hAnsi="Arial" w:cs="Arial"/>
        </w:rPr>
        <w:t xml:space="preserve"> changing ‘pending’ to decision made.</w:t>
      </w:r>
    </w:p>
    <w:p w14:paraId="6AAF4BFC" w14:textId="2277AACA" w:rsidR="001073FD" w:rsidRDefault="001073FD" w:rsidP="00F4197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If the decision that has been made is to split the CF over both years, this should be marked as ‘Other’ and highlighted as a CAT 2 19/20 CF Other, and details supplied in the category 2 notes for the reconciliation.</w:t>
      </w:r>
    </w:p>
    <w:p w14:paraId="39CF93E4" w14:textId="4DE040D3" w:rsidR="001D7113" w:rsidRPr="001D7113" w:rsidRDefault="001D7113" w:rsidP="00F419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NHSBSA PAD to </w:t>
      </w:r>
      <w:r w:rsidR="00A8356B">
        <w:rPr>
          <w:rFonts w:ascii="Arial" w:hAnsi="Arial" w:cs="Arial"/>
        </w:rPr>
        <w:t>use returned 19/20 CF decisions in categorisation to form the YE reconciliation</w:t>
      </w:r>
      <w:r w:rsidR="006C1B19">
        <w:rPr>
          <w:rFonts w:ascii="Arial" w:hAnsi="Arial" w:cs="Arial"/>
        </w:rPr>
        <w:t xml:space="preserve">, </w:t>
      </w:r>
      <w:r w:rsidR="00A8356B">
        <w:rPr>
          <w:rFonts w:ascii="Arial" w:hAnsi="Arial" w:cs="Arial"/>
        </w:rPr>
        <w:t>make the necessary adjustments in Compass</w:t>
      </w:r>
      <w:r w:rsidR="006C1B19">
        <w:rPr>
          <w:rFonts w:ascii="Arial" w:hAnsi="Arial" w:cs="Arial"/>
        </w:rPr>
        <w:t xml:space="preserve"> and include the appropriate communication in the YE </w:t>
      </w:r>
      <w:r w:rsidR="00F41975">
        <w:rPr>
          <w:rFonts w:ascii="Arial" w:hAnsi="Arial" w:cs="Arial"/>
        </w:rPr>
        <w:t xml:space="preserve">reconciliation process </w:t>
      </w:r>
      <w:r w:rsidR="006C1B19">
        <w:rPr>
          <w:rFonts w:ascii="Arial" w:hAnsi="Arial" w:cs="Arial"/>
        </w:rPr>
        <w:t>if applicable.</w:t>
      </w:r>
    </w:p>
    <w:p w14:paraId="1BAF64C9" w14:textId="77777777" w:rsidR="00C763F1" w:rsidRPr="00C763F1" w:rsidRDefault="00C763F1" w:rsidP="00F41975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465E859" w14:textId="015160DF" w:rsidR="00E17ED3" w:rsidRPr="00442C42" w:rsidRDefault="00E17ED3" w:rsidP="00F41975">
      <w:pPr>
        <w:spacing w:after="0" w:line="240" w:lineRule="auto"/>
        <w:rPr>
          <w:rFonts w:ascii="Arial" w:hAnsi="Arial" w:cs="Arial"/>
          <w:u w:val="single"/>
        </w:rPr>
      </w:pPr>
      <w:r w:rsidRPr="00442C42">
        <w:rPr>
          <w:rFonts w:ascii="Arial" w:hAnsi="Arial" w:cs="Arial"/>
          <w:u w:val="single"/>
        </w:rPr>
        <w:t>Timeline of delivery:</w:t>
      </w:r>
    </w:p>
    <w:p w14:paraId="29FDF6EC" w14:textId="77777777" w:rsidR="00F41975" w:rsidRPr="001463DB" w:rsidRDefault="00F41975" w:rsidP="00F4197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073"/>
        <w:gridCol w:w="5731"/>
        <w:gridCol w:w="2410"/>
      </w:tblGrid>
      <w:tr w:rsidR="00B70D96" w14:paraId="12A210F2" w14:textId="77777777" w:rsidTr="00F41975">
        <w:tc>
          <w:tcPr>
            <w:tcW w:w="1073" w:type="dxa"/>
          </w:tcPr>
          <w:p w14:paraId="576B91DB" w14:textId="77777777" w:rsidR="00B70D96" w:rsidRPr="002923B9" w:rsidRDefault="00B70D96" w:rsidP="00F4197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2923B9">
              <w:rPr>
                <w:rFonts w:ascii="Arial" w:hAnsi="Arial" w:cs="Arial"/>
                <w:b/>
                <w:bCs/>
              </w:rPr>
              <w:t>Step of Process</w:t>
            </w:r>
          </w:p>
        </w:tc>
        <w:tc>
          <w:tcPr>
            <w:tcW w:w="5731" w:type="dxa"/>
          </w:tcPr>
          <w:p w14:paraId="54C752ED" w14:textId="77777777" w:rsidR="00B70D96" w:rsidRPr="002923B9" w:rsidRDefault="00B70D96" w:rsidP="00F4197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2923B9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410" w:type="dxa"/>
          </w:tcPr>
          <w:p w14:paraId="7DC53C2A" w14:textId="77777777" w:rsidR="00B70D96" w:rsidRPr="002923B9" w:rsidRDefault="00B70D96" w:rsidP="00F41975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2923B9">
              <w:rPr>
                <w:rFonts w:ascii="Arial" w:hAnsi="Arial" w:cs="Arial"/>
                <w:b/>
                <w:bCs/>
              </w:rPr>
              <w:t>Deadline/completion date</w:t>
            </w:r>
          </w:p>
        </w:tc>
      </w:tr>
      <w:tr w:rsidR="00B70D96" w14:paraId="07367EC0" w14:textId="77777777" w:rsidTr="00F41975">
        <w:tc>
          <w:tcPr>
            <w:tcW w:w="1073" w:type="dxa"/>
          </w:tcPr>
          <w:p w14:paraId="6E70C6CA" w14:textId="77777777" w:rsidR="00B70D96" w:rsidRPr="00DE0962" w:rsidRDefault="00B70D96" w:rsidP="00F41975">
            <w:pPr>
              <w:pStyle w:val="ListParagraph"/>
              <w:ind w:left="0"/>
              <w:rPr>
                <w:rFonts w:ascii="Arial" w:hAnsi="Arial" w:cs="Arial"/>
              </w:rPr>
            </w:pPr>
            <w:r w:rsidRPr="00DE0962">
              <w:rPr>
                <w:rFonts w:ascii="Arial" w:hAnsi="Arial" w:cs="Arial"/>
              </w:rPr>
              <w:t>1</w:t>
            </w:r>
          </w:p>
        </w:tc>
        <w:tc>
          <w:tcPr>
            <w:tcW w:w="5731" w:type="dxa"/>
          </w:tcPr>
          <w:p w14:paraId="77871A08" w14:textId="08C9F9BA" w:rsidR="00B70D96" w:rsidRPr="00DE0962" w:rsidRDefault="008E03DF" w:rsidP="00F41975">
            <w:pPr>
              <w:rPr>
                <w:rFonts w:ascii="Arial" w:hAnsi="Arial" w:cs="Arial"/>
              </w:rPr>
            </w:pPr>
            <w:r w:rsidRPr="00DE0962">
              <w:rPr>
                <w:rFonts w:ascii="Arial" w:hAnsi="Arial" w:cs="Arial"/>
              </w:rPr>
              <w:t>19/20 Carry Forward letter sent to all Providers where Regions/STPS have requested support from NHSBSA PAD</w:t>
            </w:r>
          </w:p>
        </w:tc>
        <w:tc>
          <w:tcPr>
            <w:tcW w:w="2410" w:type="dxa"/>
          </w:tcPr>
          <w:p w14:paraId="14FE9F6B" w14:textId="1ED24549" w:rsidR="00B70D96" w:rsidRPr="00DE0962" w:rsidRDefault="000479C4" w:rsidP="00F4197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15/03/2021</w:t>
            </w:r>
          </w:p>
        </w:tc>
      </w:tr>
      <w:tr w:rsidR="00B70D96" w14:paraId="2BA85A68" w14:textId="77777777" w:rsidTr="00F41975">
        <w:tc>
          <w:tcPr>
            <w:tcW w:w="1073" w:type="dxa"/>
          </w:tcPr>
          <w:p w14:paraId="50A94C0A" w14:textId="77777777" w:rsidR="00B70D96" w:rsidRPr="00DE0962" w:rsidRDefault="00B70D96" w:rsidP="00F41975">
            <w:pPr>
              <w:pStyle w:val="ListParagraph"/>
              <w:ind w:left="0"/>
              <w:rPr>
                <w:rFonts w:ascii="Arial" w:hAnsi="Arial" w:cs="Arial"/>
              </w:rPr>
            </w:pPr>
            <w:r w:rsidRPr="00DE0962">
              <w:rPr>
                <w:rFonts w:ascii="Arial" w:hAnsi="Arial" w:cs="Arial"/>
              </w:rPr>
              <w:t>2</w:t>
            </w:r>
          </w:p>
        </w:tc>
        <w:tc>
          <w:tcPr>
            <w:tcW w:w="5731" w:type="dxa"/>
          </w:tcPr>
          <w:p w14:paraId="515AB3EF" w14:textId="77777777" w:rsidR="00B70D96" w:rsidRDefault="006C1B19" w:rsidP="00F41975">
            <w:pPr>
              <w:pStyle w:val="ListParagraph"/>
              <w:ind w:left="0"/>
              <w:rPr>
                <w:rFonts w:ascii="Arial" w:hAnsi="Arial" w:cs="Arial"/>
              </w:rPr>
            </w:pPr>
            <w:r w:rsidRPr="00DE0962">
              <w:rPr>
                <w:rFonts w:ascii="Arial" w:hAnsi="Arial" w:cs="Arial"/>
              </w:rPr>
              <w:t>Provider queries</w:t>
            </w:r>
          </w:p>
          <w:p w14:paraId="09D6EFA2" w14:textId="3AEDD6EA" w:rsidR="00F41975" w:rsidRPr="00DE0962" w:rsidRDefault="00F41975" w:rsidP="00F4197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5B3BEB8" w14:textId="16CD7360" w:rsidR="00B70D96" w:rsidRPr="00DE0962" w:rsidRDefault="000479C4" w:rsidP="00F4197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15/03/2021</w:t>
            </w:r>
          </w:p>
        </w:tc>
      </w:tr>
      <w:tr w:rsidR="00467B7F" w14:paraId="3CD0A4E3" w14:textId="77777777" w:rsidTr="00F41975">
        <w:tc>
          <w:tcPr>
            <w:tcW w:w="1073" w:type="dxa"/>
          </w:tcPr>
          <w:p w14:paraId="74A11F25" w14:textId="77777777" w:rsidR="00467B7F" w:rsidRPr="00DE0962" w:rsidRDefault="00467B7F" w:rsidP="00467B7F">
            <w:pPr>
              <w:pStyle w:val="ListParagraph"/>
              <w:ind w:left="0"/>
              <w:rPr>
                <w:rFonts w:ascii="Arial" w:hAnsi="Arial" w:cs="Arial"/>
              </w:rPr>
            </w:pPr>
            <w:r w:rsidRPr="00DE0962">
              <w:rPr>
                <w:rFonts w:ascii="Arial" w:hAnsi="Arial" w:cs="Arial"/>
              </w:rPr>
              <w:t>3</w:t>
            </w:r>
          </w:p>
        </w:tc>
        <w:tc>
          <w:tcPr>
            <w:tcW w:w="5731" w:type="dxa"/>
          </w:tcPr>
          <w:p w14:paraId="20997A19" w14:textId="1FB5CB5E" w:rsidR="00467B7F" w:rsidRDefault="00467B7F" w:rsidP="00467B7F">
            <w:pPr>
              <w:pStyle w:val="ListParagraph"/>
              <w:ind w:left="0"/>
              <w:rPr>
                <w:rFonts w:ascii="Arial" w:hAnsi="Arial" w:cs="Arial"/>
              </w:rPr>
            </w:pPr>
            <w:r w:rsidRPr="00DE0962">
              <w:rPr>
                <w:rFonts w:ascii="Arial" w:hAnsi="Arial" w:cs="Arial"/>
              </w:rPr>
              <w:t>Recommended categorisation spreadsheet for the YE20/21 reconciliation sent to RTs</w:t>
            </w:r>
          </w:p>
          <w:p w14:paraId="6434C6B3" w14:textId="420DA5AB" w:rsidR="00467B7F" w:rsidRPr="00DE0962" w:rsidRDefault="00467B7F" w:rsidP="00467B7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7B7AF65" w14:textId="551856F3" w:rsidR="00467B7F" w:rsidRPr="00DE0962" w:rsidRDefault="00467B7F" w:rsidP="00467B7F">
            <w:pPr>
              <w:pStyle w:val="ListParagraph"/>
              <w:ind w:left="0"/>
              <w:rPr>
                <w:rFonts w:ascii="Arial" w:hAnsi="Arial" w:cs="Arial"/>
              </w:rPr>
            </w:pPr>
            <w:r w:rsidRPr="00DE0962">
              <w:rPr>
                <w:rFonts w:ascii="Arial" w:eastAsia="Times New Roman" w:hAnsi="Arial" w:cs="Arial"/>
                <w:bCs/>
              </w:rPr>
              <w:t>09/04/2021</w:t>
            </w:r>
          </w:p>
        </w:tc>
      </w:tr>
      <w:tr w:rsidR="00467B7F" w14:paraId="0668F8E6" w14:textId="77777777" w:rsidTr="00F41975">
        <w:tc>
          <w:tcPr>
            <w:tcW w:w="1073" w:type="dxa"/>
          </w:tcPr>
          <w:p w14:paraId="2B526139" w14:textId="77777777" w:rsidR="00467B7F" w:rsidRPr="00DE0962" w:rsidRDefault="00467B7F" w:rsidP="00467B7F">
            <w:pPr>
              <w:pStyle w:val="ListParagraph"/>
              <w:ind w:left="0"/>
              <w:rPr>
                <w:rFonts w:ascii="Arial" w:hAnsi="Arial" w:cs="Arial"/>
              </w:rPr>
            </w:pPr>
            <w:r w:rsidRPr="00DE0962">
              <w:rPr>
                <w:rFonts w:ascii="Arial" w:hAnsi="Arial" w:cs="Arial"/>
              </w:rPr>
              <w:t>4</w:t>
            </w:r>
          </w:p>
        </w:tc>
        <w:tc>
          <w:tcPr>
            <w:tcW w:w="5731" w:type="dxa"/>
          </w:tcPr>
          <w:p w14:paraId="1D00C837" w14:textId="1C478C13" w:rsidR="00467B7F" w:rsidRDefault="00467B7F" w:rsidP="00467B7F">
            <w:pPr>
              <w:pStyle w:val="ListParagraph"/>
              <w:ind w:left="0"/>
              <w:rPr>
                <w:rFonts w:ascii="Arial" w:hAnsi="Arial" w:cs="Arial"/>
              </w:rPr>
            </w:pPr>
            <w:r w:rsidRPr="00DE0962">
              <w:rPr>
                <w:rFonts w:ascii="Arial" w:hAnsi="Arial" w:cs="Arial"/>
              </w:rPr>
              <w:t>RT to return completed categorisation to NHSBSA PAD, updating 19/20 CF decision if necessary</w:t>
            </w:r>
          </w:p>
          <w:p w14:paraId="1268897F" w14:textId="1E4A21D6" w:rsidR="00467B7F" w:rsidRPr="00DE0962" w:rsidRDefault="00467B7F" w:rsidP="00467B7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F6F930B" w14:textId="40350D37" w:rsidR="00467B7F" w:rsidRPr="00DE0962" w:rsidRDefault="00467B7F" w:rsidP="00467B7F">
            <w:pPr>
              <w:pStyle w:val="ListParagraph"/>
              <w:ind w:left="0"/>
              <w:rPr>
                <w:rFonts w:ascii="Arial" w:hAnsi="Arial" w:cs="Arial"/>
              </w:rPr>
            </w:pPr>
            <w:r w:rsidRPr="00DE0962">
              <w:rPr>
                <w:rFonts w:ascii="Arial" w:eastAsia="Times New Roman" w:hAnsi="Arial" w:cs="Arial"/>
                <w:bCs/>
              </w:rPr>
              <w:t>21/05/2021</w:t>
            </w:r>
          </w:p>
        </w:tc>
      </w:tr>
      <w:tr w:rsidR="00467B7F" w14:paraId="24039D57" w14:textId="77777777" w:rsidTr="00F41975">
        <w:tc>
          <w:tcPr>
            <w:tcW w:w="1073" w:type="dxa"/>
          </w:tcPr>
          <w:p w14:paraId="04213240" w14:textId="77777777" w:rsidR="00467B7F" w:rsidRPr="00DE0962" w:rsidRDefault="00467B7F" w:rsidP="00467B7F">
            <w:pPr>
              <w:pStyle w:val="ListParagraph"/>
              <w:ind w:left="0"/>
              <w:rPr>
                <w:rFonts w:ascii="Arial" w:hAnsi="Arial" w:cs="Arial"/>
              </w:rPr>
            </w:pPr>
            <w:r w:rsidRPr="00DE0962">
              <w:rPr>
                <w:rFonts w:ascii="Arial" w:hAnsi="Arial" w:cs="Arial"/>
              </w:rPr>
              <w:t>5</w:t>
            </w:r>
          </w:p>
        </w:tc>
        <w:tc>
          <w:tcPr>
            <w:tcW w:w="5731" w:type="dxa"/>
          </w:tcPr>
          <w:p w14:paraId="73D71B95" w14:textId="77777777" w:rsidR="00467B7F" w:rsidRDefault="00467B7F" w:rsidP="00467B7F">
            <w:pPr>
              <w:pStyle w:val="ListParagraph"/>
              <w:ind w:left="0"/>
              <w:rPr>
                <w:rFonts w:ascii="Arial" w:hAnsi="Arial" w:cs="Arial"/>
              </w:rPr>
            </w:pPr>
            <w:r w:rsidRPr="00DE0962">
              <w:rPr>
                <w:rFonts w:ascii="Arial" w:hAnsi="Arial" w:cs="Arial"/>
              </w:rPr>
              <w:t>NHSBSA PAD to use returned 19/20 CF decisions in categorisation to form the YE reconciliation</w:t>
            </w:r>
          </w:p>
          <w:p w14:paraId="0891788D" w14:textId="03C691E1" w:rsidR="00467B7F" w:rsidRPr="00DE0962" w:rsidRDefault="00467B7F" w:rsidP="00467B7F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FCA6EA5" w14:textId="58385437" w:rsidR="00467B7F" w:rsidRPr="00DE0962" w:rsidRDefault="00467B7F" w:rsidP="00467B7F">
            <w:pPr>
              <w:pStyle w:val="ListParagraph"/>
              <w:ind w:left="0"/>
              <w:rPr>
                <w:rFonts w:ascii="Arial" w:hAnsi="Arial" w:cs="Arial"/>
              </w:rPr>
            </w:pPr>
            <w:r w:rsidRPr="00DE0962">
              <w:rPr>
                <w:rFonts w:ascii="Arial" w:hAnsi="Arial" w:cs="Arial"/>
              </w:rPr>
              <w:t>01/07/2021 onwards</w:t>
            </w:r>
          </w:p>
        </w:tc>
      </w:tr>
    </w:tbl>
    <w:p w14:paraId="76FEB5BB" w14:textId="6D37AB57" w:rsidR="00DD059D" w:rsidRDefault="00DD059D" w:rsidP="00F41975">
      <w:pPr>
        <w:jc w:val="both"/>
        <w:rPr>
          <w:rFonts w:ascii="Arial" w:hAnsi="Arial" w:cs="Arial"/>
        </w:rPr>
      </w:pPr>
    </w:p>
    <w:sectPr w:rsidR="00DD059D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2705D" w14:textId="77777777" w:rsidR="00FB7BAA" w:rsidRDefault="00FB7BAA" w:rsidP="0002298F">
      <w:pPr>
        <w:spacing w:after="0" w:line="240" w:lineRule="auto"/>
      </w:pPr>
      <w:r>
        <w:separator/>
      </w:r>
    </w:p>
  </w:endnote>
  <w:endnote w:type="continuationSeparator" w:id="0">
    <w:p w14:paraId="56D70B8A" w14:textId="77777777" w:rsidR="00FB7BAA" w:rsidRDefault="00FB7BAA" w:rsidP="0002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1756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62FE4" w14:textId="0975A896" w:rsidR="00F41975" w:rsidRDefault="00F419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243961" w14:textId="77777777" w:rsidR="00F41975" w:rsidRDefault="00F41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D210F" w14:textId="77777777" w:rsidR="00FB7BAA" w:rsidRDefault="00FB7BAA" w:rsidP="0002298F">
      <w:pPr>
        <w:spacing w:after="0" w:line="240" w:lineRule="auto"/>
      </w:pPr>
      <w:r>
        <w:separator/>
      </w:r>
    </w:p>
  </w:footnote>
  <w:footnote w:type="continuationSeparator" w:id="0">
    <w:p w14:paraId="0A733686" w14:textId="77777777" w:rsidR="00FB7BAA" w:rsidRDefault="00FB7BAA" w:rsidP="0002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EC583" w14:textId="43ADEF5B" w:rsidR="0002298F" w:rsidRDefault="0002298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FBC7330" wp14:editId="398098EA">
          <wp:simplePos x="0" y="0"/>
          <wp:positionH relativeFrom="page">
            <wp:posOffset>19050</wp:posOffset>
          </wp:positionH>
          <wp:positionV relativeFrom="paragraph">
            <wp:posOffset>-486410</wp:posOffset>
          </wp:positionV>
          <wp:extent cx="7559040" cy="1516380"/>
          <wp:effectExtent l="0" t="0" r="3810" b="7620"/>
          <wp:wrapTight wrapText="bothSides">
            <wp:wrapPolygon edited="0">
              <wp:start x="0" y="0"/>
              <wp:lineTo x="0" y="21437"/>
              <wp:lineTo x="21556" y="21437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60"/>
                  <a:stretch/>
                </pic:blipFill>
                <pic:spPr bwMode="auto">
                  <a:xfrm>
                    <a:off x="0" y="0"/>
                    <a:ext cx="7559040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074F"/>
    <w:multiLevelType w:val="hybridMultilevel"/>
    <w:tmpl w:val="CE18FA56"/>
    <w:lvl w:ilvl="0" w:tplc="E7C40B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D1914"/>
    <w:multiLevelType w:val="hybridMultilevel"/>
    <w:tmpl w:val="7E80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636A6"/>
    <w:multiLevelType w:val="hybridMultilevel"/>
    <w:tmpl w:val="A1081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60A43"/>
    <w:multiLevelType w:val="hybridMultilevel"/>
    <w:tmpl w:val="0EF8C624"/>
    <w:lvl w:ilvl="0" w:tplc="D6C4AA2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8F"/>
    <w:rsid w:val="00014288"/>
    <w:rsid w:val="00022170"/>
    <w:rsid w:val="0002298F"/>
    <w:rsid w:val="000479C4"/>
    <w:rsid w:val="00106E37"/>
    <w:rsid w:val="001073FD"/>
    <w:rsid w:val="00145E48"/>
    <w:rsid w:val="0015194A"/>
    <w:rsid w:val="00170E55"/>
    <w:rsid w:val="001830DE"/>
    <w:rsid w:val="001B019F"/>
    <w:rsid w:val="001C5B21"/>
    <w:rsid w:val="001D2E71"/>
    <w:rsid w:val="001D4242"/>
    <w:rsid w:val="001D7113"/>
    <w:rsid w:val="00257032"/>
    <w:rsid w:val="0026643F"/>
    <w:rsid w:val="00296F50"/>
    <w:rsid w:val="002A141F"/>
    <w:rsid w:val="002B5628"/>
    <w:rsid w:val="002C18D0"/>
    <w:rsid w:val="003503D4"/>
    <w:rsid w:val="00356CB0"/>
    <w:rsid w:val="00366D18"/>
    <w:rsid w:val="00367F4F"/>
    <w:rsid w:val="003732B8"/>
    <w:rsid w:val="003A795B"/>
    <w:rsid w:val="004036B5"/>
    <w:rsid w:val="00442C42"/>
    <w:rsid w:val="00467B7F"/>
    <w:rsid w:val="004A4466"/>
    <w:rsid w:val="004D51A7"/>
    <w:rsid w:val="004E6AAA"/>
    <w:rsid w:val="00514F20"/>
    <w:rsid w:val="005234EA"/>
    <w:rsid w:val="00523D0F"/>
    <w:rsid w:val="005252EA"/>
    <w:rsid w:val="0052595C"/>
    <w:rsid w:val="00537738"/>
    <w:rsid w:val="005B696E"/>
    <w:rsid w:val="005E585C"/>
    <w:rsid w:val="005F5E14"/>
    <w:rsid w:val="0063287F"/>
    <w:rsid w:val="006634F2"/>
    <w:rsid w:val="006639B2"/>
    <w:rsid w:val="00666A55"/>
    <w:rsid w:val="006B2134"/>
    <w:rsid w:val="006C1B19"/>
    <w:rsid w:val="006E03DD"/>
    <w:rsid w:val="007415F3"/>
    <w:rsid w:val="00752D98"/>
    <w:rsid w:val="00773FDC"/>
    <w:rsid w:val="00810CC6"/>
    <w:rsid w:val="00813478"/>
    <w:rsid w:val="00823018"/>
    <w:rsid w:val="00842543"/>
    <w:rsid w:val="0088100B"/>
    <w:rsid w:val="0088508E"/>
    <w:rsid w:val="00885BFC"/>
    <w:rsid w:val="008A3B3F"/>
    <w:rsid w:val="008A4D71"/>
    <w:rsid w:val="008C33F7"/>
    <w:rsid w:val="008D66EE"/>
    <w:rsid w:val="008E03DF"/>
    <w:rsid w:val="008E12AB"/>
    <w:rsid w:val="008F4CEB"/>
    <w:rsid w:val="00916F59"/>
    <w:rsid w:val="0092456D"/>
    <w:rsid w:val="009415B4"/>
    <w:rsid w:val="009A131C"/>
    <w:rsid w:val="009A149C"/>
    <w:rsid w:val="009F30B8"/>
    <w:rsid w:val="00A5532F"/>
    <w:rsid w:val="00A8356B"/>
    <w:rsid w:val="00A83C0C"/>
    <w:rsid w:val="00A961FD"/>
    <w:rsid w:val="00AC463A"/>
    <w:rsid w:val="00AD55EF"/>
    <w:rsid w:val="00B01BF6"/>
    <w:rsid w:val="00B03037"/>
    <w:rsid w:val="00B03D9D"/>
    <w:rsid w:val="00B40B16"/>
    <w:rsid w:val="00B626F4"/>
    <w:rsid w:val="00B640D5"/>
    <w:rsid w:val="00B70D96"/>
    <w:rsid w:val="00B8595C"/>
    <w:rsid w:val="00B978E6"/>
    <w:rsid w:val="00BB0F7D"/>
    <w:rsid w:val="00C07958"/>
    <w:rsid w:val="00C13924"/>
    <w:rsid w:val="00C60A23"/>
    <w:rsid w:val="00C61567"/>
    <w:rsid w:val="00C763F1"/>
    <w:rsid w:val="00C80D35"/>
    <w:rsid w:val="00CC0773"/>
    <w:rsid w:val="00CD2F42"/>
    <w:rsid w:val="00D42CE3"/>
    <w:rsid w:val="00D664CF"/>
    <w:rsid w:val="00D670F7"/>
    <w:rsid w:val="00DA4456"/>
    <w:rsid w:val="00DB7C41"/>
    <w:rsid w:val="00DD059D"/>
    <w:rsid w:val="00DD49CE"/>
    <w:rsid w:val="00DE0962"/>
    <w:rsid w:val="00E019DA"/>
    <w:rsid w:val="00E17ED3"/>
    <w:rsid w:val="00E47253"/>
    <w:rsid w:val="00EB2F69"/>
    <w:rsid w:val="00ED7B97"/>
    <w:rsid w:val="00EE155F"/>
    <w:rsid w:val="00EE4F8B"/>
    <w:rsid w:val="00F11122"/>
    <w:rsid w:val="00F125C5"/>
    <w:rsid w:val="00F41975"/>
    <w:rsid w:val="00F83F68"/>
    <w:rsid w:val="00F86605"/>
    <w:rsid w:val="00FB7BAA"/>
    <w:rsid w:val="00F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1484B9"/>
  <w15:chartTrackingRefBased/>
  <w15:docId w15:val="{3D57F4AB-263C-493E-9637-49F012A3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8F"/>
  </w:style>
  <w:style w:type="paragraph" w:styleId="Footer">
    <w:name w:val="footer"/>
    <w:basedOn w:val="Normal"/>
    <w:link w:val="FooterChar"/>
    <w:uiPriority w:val="99"/>
    <w:unhideWhenUsed/>
    <w:rsid w:val="00022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8F"/>
  </w:style>
  <w:style w:type="character" w:styleId="Hyperlink">
    <w:name w:val="Hyperlink"/>
    <w:basedOn w:val="DefaultParagraphFont"/>
    <w:uiPriority w:val="99"/>
    <w:unhideWhenUsed/>
    <w:rsid w:val="001D2E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E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2D98"/>
    <w:pPr>
      <w:ind w:left="720"/>
      <w:contextualSpacing/>
    </w:pPr>
  </w:style>
  <w:style w:type="table" w:styleId="TableGrid">
    <w:name w:val="Table Grid"/>
    <w:basedOn w:val="TableNormal"/>
    <w:uiPriority w:val="39"/>
    <w:rsid w:val="00B7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hsbsa.dentalcases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land.nhs.uk/coronavirus/publication/preparedness-letters-for-dental-car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1" ma:contentTypeDescription="Create a new document." ma:contentTypeScope="" ma:versionID="11b627510415c01571335e00ec636b32">
  <xsd:schema xmlns:xsd="http://www.w3.org/2001/XMLSchema" xmlns:xs="http://www.w3.org/2001/XMLSchema" xmlns:p="http://schemas.microsoft.com/office/2006/metadata/properties" xmlns:ns2="9358cb57-a827-4278-82f8-b5b2a77f679b" xmlns:ns3="892ea499-f99d-42b0-bf13-847613df9c98" targetNamespace="http://schemas.microsoft.com/office/2006/metadata/properties" ma:root="true" ma:fieldsID="8d6af5b4230f329a8114e7ba36458bb3" ns2:_="" ns3:_="">
    <xsd:import namespace="9358cb57-a827-4278-82f8-b5b2a77f679b"/>
    <xsd:import namespace="892ea499-f99d-42b0-bf13-847613df9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C11DE-FBF4-45F6-BEE2-BFA2C5221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45B7D-16C5-4D3D-993C-FDB783C38293}">
  <ds:schemaRefs>
    <ds:schemaRef ds:uri="http://purl.org/dc/terms/"/>
    <ds:schemaRef ds:uri="892ea499-f99d-42b0-bf13-847613df9c98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358cb57-a827-4278-82f8-b5b2a77f679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E1A9CE4-96C8-489C-B1C5-5E53868501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CB428D-2255-4F66-B612-47491DD01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Minto</dc:creator>
  <cp:keywords/>
  <dc:description/>
  <cp:lastModifiedBy>Molly Graney</cp:lastModifiedBy>
  <cp:revision>3</cp:revision>
  <dcterms:created xsi:type="dcterms:W3CDTF">2021-03-11T10:45:00Z</dcterms:created>
  <dcterms:modified xsi:type="dcterms:W3CDTF">2021-04-09T08:32:00Z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</Properties>
</file>