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EC1B6" w14:textId="078F43E7" w:rsidR="00372711" w:rsidRPr="00445517" w:rsidRDefault="00B9733C" w:rsidP="00E2031B">
      <w:pPr>
        <w:spacing w:after="0" w:line="360" w:lineRule="auto"/>
        <w:jc w:val="center"/>
        <w:rPr>
          <w:rFonts w:ascii="Arial" w:hAnsi="Arial" w:cs="Arial"/>
          <w:b/>
          <w:noProof/>
          <w:sz w:val="28"/>
          <w:szCs w:val="28"/>
          <w:lang w:eastAsia="en-GB"/>
        </w:rPr>
      </w:pPr>
      <w:bookmarkStart w:id="0" w:name="_Hlk42617050"/>
      <w:bookmarkEnd w:id="0"/>
      <w:r w:rsidRPr="00EE7E44">
        <w:rPr>
          <w:rFonts w:ascii="Arial" w:hAnsi="Arial" w:cs="Arial"/>
          <w:b/>
          <w:bCs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7FBD3FF8" wp14:editId="799E0540">
            <wp:simplePos x="0" y="0"/>
            <wp:positionH relativeFrom="page">
              <wp:align>right</wp:align>
            </wp:positionH>
            <wp:positionV relativeFrom="page">
              <wp:posOffset>28575</wp:posOffset>
            </wp:positionV>
            <wp:extent cx="7566660" cy="1539240"/>
            <wp:effectExtent l="0" t="0" r="0" b="3810"/>
            <wp:wrapSquare wrapText="bothSides"/>
            <wp:docPr id="36" name="Picture 36" descr="Corporate Swish A4 Portrait -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porate Swish A4 Portrait - T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711" w:rsidRPr="00445517">
        <w:rPr>
          <w:rFonts w:ascii="Arial" w:hAnsi="Arial" w:cs="Arial"/>
          <w:b/>
          <w:noProof/>
          <w:sz w:val="28"/>
          <w:szCs w:val="28"/>
          <w:lang w:eastAsia="en-GB"/>
        </w:rPr>
        <w:t>NHSBSA Provider Assurance Dental</w:t>
      </w:r>
    </w:p>
    <w:p w14:paraId="583087CD" w14:textId="1834C65F" w:rsidR="00B445C7" w:rsidRDefault="00372711" w:rsidP="00E2031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45517">
        <w:rPr>
          <w:rFonts w:ascii="Arial" w:hAnsi="Arial" w:cs="Arial"/>
          <w:b/>
          <w:bCs/>
          <w:sz w:val="28"/>
          <w:szCs w:val="28"/>
        </w:rPr>
        <w:t>Operational</w:t>
      </w:r>
      <w:r w:rsidR="00375E92" w:rsidRPr="00445517">
        <w:rPr>
          <w:rFonts w:ascii="Arial" w:hAnsi="Arial" w:cs="Arial"/>
          <w:b/>
          <w:bCs/>
          <w:sz w:val="28"/>
          <w:szCs w:val="28"/>
        </w:rPr>
        <w:t xml:space="preserve"> Procedure</w:t>
      </w:r>
    </w:p>
    <w:p w14:paraId="3388A4FF" w14:textId="44BFFFB1" w:rsidR="00E2031B" w:rsidRDefault="00E2031B" w:rsidP="00E2031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45517">
        <w:rPr>
          <w:rFonts w:ascii="Arial" w:hAnsi="Arial" w:cs="Arial"/>
          <w:b/>
          <w:bCs/>
          <w:sz w:val="28"/>
          <w:szCs w:val="28"/>
        </w:rPr>
        <w:t>Abatement 1 April – 7 June 2020</w:t>
      </w:r>
    </w:p>
    <w:p w14:paraId="14C0F43B" w14:textId="77777777" w:rsidR="00E2031B" w:rsidRPr="00445517" w:rsidRDefault="00E2031B" w:rsidP="00E2031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CBF1369" w14:textId="6A3FA076" w:rsidR="00375E92" w:rsidRPr="00E2031B" w:rsidRDefault="00023975" w:rsidP="00E2031B">
      <w:pPr>
        <w:pStyle w:val="Heading1"/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1" w:name="_Toc65231745"/>
      <w:r w:rsidRPr="00E2031B">
        <w:rPr>
          <w:rFonts w:ascii="Arial" w:hAnsi="Arial" w:cs="Arial"/>
          <w:b/>
          <w:bCs/>
          <w:color w:val="auto"/>
          <w:sz w:val="22"/>
          <w:szCs w:val="22"/>
          <w:u w:val="single"/>
        </w:rPr>
        <w:t>Background</w:t>
      </w:r>
      <w:bookmarkEnd w:id="1"/>
    </w:p>
    <w:p w14:paraId="0A52BB1A" w14:textId="4F8525A3" w:rsidR="00375E92" w:rsidRPr="00E2031B" w:rsidRDefault="00375E92" w:rsidP="00E2031B">
      <w:pPr>
        <w:spacing w:after="0" w:line="240" w:lineRule="auto"/>
        <w:rPr>
          <w:rFonts w:ascii="Arial" w:hAnsi="Arial" w:cs="Arial"/>
        </w:rPr>
      </w:pPr>
    </w:p>
    <w:p w14:paraId="31476AD8" w14:textId="50B94DD3" w:rsidR="000917CB" w:rsidRDefault="000917CB" w:rsidP="00E2031B">
      <w:pPr>
        <w:spacing w:after="0" w:line="240" w:lineRule="auto"/>
        <w:rPr>
          <w:rFonts w:ascii="Arial" w:hAnsi="Arial" w:cs="Arial"/>
        </w:rPr>
      </w:pPr>
      <w:r w:rsidRPr="00E2031B">
        <w:rPr>
          <w:rStyle w:val="normaltextrun"/>
          <w:rFonts w:ascii="Arial" w:hAnsi="Arial" w:cs="Arial"/>
          <w:color w:val="000000"/>
        </w:rPr>
        <w:t xml:space="preserve">NHSBSA Provider Assurance Dental team on behalf NHS England &amp; NHS Improvement Regional Teams </w:t>
      </w:r>
      <w:r w:rsidR="00E2031B">
        <w:rPr>
          <w:rStyle w:val="normaltextrun"/>
          <w:rFonts w:ascii="Arial" w:hAnsi="Arial" w:cs="Arial"/>
          <w:color w:val="000000"/>
        </w:rPr>
        <w:t xml:space="preserve">will enact the </w:t>
      </w:r>
      <w:r w:rsidRPr="00E2031B">
        <w:rPr>
          <w:rFonts w:ascii="Arial" w:hAnsi="Arial" w:cs="Arial"/>
        </w:rPr>
        <w:t>abatement for the period 1</w:t>
      </w:r>
      <w:r w:rsidRPr="00E2031B">
        <w:rPr>
          <w:rFonts w:ascii="Arial" w:hAnsi="Arial" w:cs="Arial"/>
          <w:vertAlign w:val="superscript"/>
        </w:rPr>
        <w:t>st</w:t>
      </w:r>
      <w:r w:rsidRPr="00E2031B">
        <w:rPr>
          <w:rFonts w:ascii="Arial" w:hAnsi="Arial" w:cs="Arial"/>
        </w:rPr>
        <w:t xml:space="preserve"> April – 7</w:t>
      </w:r>
      <w:r w:rsidRPr="00E2031B">
        <w:rPr>
          <w:rFonts w:ascii="Arial" w:hAnsi="Arial" w:cs="Arial"/>
          <w:vertAlign w:val="superscript"/>
        </w:rPr>
        <w:t>th</w:t>
      </w:r>
      <w:r w:rsidRPr="00E2031B">
        <w:rPr>
          <w:rFonts w:ascii="Arial" w:hAnsi="Arial" w:cs="Arial"/>
        </w:rPr>
        <w:t xml:space="preserve"> June 2020.</w:t>
      </w:r>
    </w:p>
    <w:p w14:paraId="018F405F" w14:textId="77777777" w:rsidR="00E2031B" w:rsidRPr="00E2031B" w:rsidRDefault="00E2031B" w:rsidP="00E2031B">
      <w:pPr>
        <w:spacing w:after="0" w:line="240" w:lineRule="auto"/>
        <w:rPr>
          <w:rFonts w:ascii="Arial" w:hAnsi="Arial" w:cs="Arial"/>
        </w:rPr>
      </w:pPr>
    </w:p>
    <w:p w14:paraId="56ABDB69" w14:textId="3BAAF9DD" w:rsidR="008974E7" w:rsidRDefault="008974E7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In Issue 3 of the preparedness letter on 25 March 2020, dental contractors were advised:</w:t>
      </w:r>
    </w:p>
    <w:p w14:paraId="29405479" w14:textId="77777777" w:rsidR="00375298" w:rsidRPr="00E2031B" w:rsidRDefault="00375298" w:rsidP="00E2031B">
      <w:pPr>
        <w:spacing w:after="0" w:line="240" w:lineRule="auto"/>
        <w:rPr>
          <w:rFonts w:ascii="Arial" w:hAnsi="Arial" w:cs="Arial"/>
        </w:rPr>
      </w:pPr>
    </w:p>
    <w:p w14:paraId="1A0D4116" w14:textId="364B4200" w:rsidR="008974E7" w:rsidRPr="00E2031B" w:rsidRDefault="008974E7" w:rsidP="00E203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All routine, non-urgent dental care including orthodontics should be stopped and deferred until advised otherwise</w:t>
      </w:r>
      <w:r w:rsidR="00E2031B">
        <w:rPr>
          <w:rFonts w:ascii="Arial" w:hAnsi="Arial" w:cs="Arial"/>
        </w:rPr>
        <w:t>;</w:t>
      </w:r>
    </w:p>
    <w:p w14:paraId="098698BA" w14:textId="77777777" w:rsidR="008974E7" w:rsidRPr="00E2031B" w:rsidRDefault="008974E7" w:rsidP="00E203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 xml:space="preserve">All practices should establish (independently or by collaboration with others) a remote urgent care service, providing telephone triage for their patients with urgent needs during usual working hours, and whenever possible treating with:  </w:t>
      </w:r>
    </w:p>
    <w:p w14:paraId="0B9DBFBC" w14:textId="41BCE05F" w:rsidR="008974E7" w:rsidRPr="00E2031B" w:rsidRDefault="008974E7" w:rsidP="00E2031B">
      <w:pPr>
        <w:pStyle w:val="ListParagraph"/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• Advice</w:t>
      </w:r>
      <w:r w:rsidR="00E2031B">
        <w:rPr>
          <w:rFonts w:ascii="Arial" w:hAnsi="Arial" w:cs="Arial"/>
        </w:rPr>
        <w:t>;</w:t>
      </w:r>
      <w:r w:rsidRPr="00E2031B">
        <w:rPr>
          <w:rFonts w:ascii="Arial" w:hAnsi="Arial" w:cs="Arial"/>
        </w:rPr>
        <w:t xml:space="preserve"> </w:t>
      </w:r>
    </w:p>
    <w:p w14:paraId="3DD1508F" w14:textId="41DB1320" w:rsidR="008974E7" w:rsidRPr="00E2031B" w:rsidRDefault="008974E7" w:rsidP="00E2031B">
      <w:pPr>
        <w:pStyle w:val="ListParagraph"/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 xml:space="preserve">• </w:t>
      </w:r>
      <w:r w:rsidR="00E2031B" w:rsidRPr="00E2031B">
        <w:rPr>
          <w:rFonts w:ascii="Arial" w:hAnsi="Arial" w:cs="Arial"/>
        </w:rPr>
        <w:t>Analgesia;</w:t>
      </w:r>
    </w:p>
    <w:p w14:paraId="220C5FCF" w14:textId="002FB845" w:rsidR="008974E7" w:rsidRPr="00E2031B" w:rsidRDefault="008974E7" w:rsidP="00E2031B">
      <w:pPr>
        <w:pStyle w:val="ListParagraph"/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• Antimicrobial means where appropriate</w:t>
      </w:r>
      <w:r w:rsidR="00E2031B">
        <w:rPr>
          <w:rFonts w:ascii="Arial" w:hAnsi="Arial" w:cs="Arial"/>
        </w:rPr>
        <w:t>.</w:t>
      </w:r>
    </w:p>
    <w:p w14:paraId="4FC44437" w14:textId="77777777" w:rsidR="008974E7" w:rsidRPr="00E2031B" w:rsidRDefault="008974E7" w:rsidP="00E2031B">
      <w:pPr>
        <w:spacing w:after="0" w:line="240" w:lineRule="auto"/>
        <w:rPr>
          <w:rFonts w:ascii="Arial" w:hAnsi="Arial" w:cs="Arial"/>
        </w:rPr>
      </w:pPr>
    </w:p>
    <w:p w14:paraId="3779DEC7" w14:textId="15F4197E" w:rsidR="008974E7" w:rsidRPr="00E2031B" w:rsidRDefault="008974E7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In the resumption of dental services letter of 28 May</w:t>
      </w:r>
      <w:r w:rsidR="00E2031B">
        <w:rPr>
          <w:rFonts w:ascii="Arial" w:hAnsi="Arial" w:cs="Arial"/>
        </w:rPr>
        <w:t xml:space="preserve"> 2020</w:t>
      </w:r>
      <w:r w:rsidRPr="00E2031B">
        <w:rPr>
          <w:rFonts w:ascii="Arial" w:hAnsi="Arial" w:cs="Arial"/>
        </w:rPr>
        <w:t>, restrictions around the provision of face-to-face care were lifted for primary care dental services on 8 June</w:t>
      </w:r>
      <w:r w:rsidR="00E2031B">
        <w:rPr>
          <w:rFonts w:ascii="Arial" w:hAnsi="Arial" w:cs="Arial"/>
        </w:rPr>
        <w:t xml:space="preserve"> 2020</w:t>
      </w:r>
      <w:r w:rsidRPr="00E2031B">
        <w:rPr>
          <w:rFonts w:ascii="Arial" w:hAnsi="Arial" w:cs="Arial"/>
        </w:rPr>
        <w:t>.</w:t>
      </w:r>
    </w:p>
    <w:p w14:paraId="5964483D" w14:textId="77777777" w:rsidR="008974E7" w:rsidRPr="00E2031B" w:rsidRDefault="008974E7" w:rsidP="00E2031B">
      <w:pPr>
        <w:spacing w:after="0" w:line="240" w:lineRule="auto"/>
        <w:rPr>
          <w:rFonts w:ascii="Arial" w:hAnsi="Arial" w:cs="Arial"/>
        </w:rPr>
      </w:pPr>
    </w:p>
    <w:p w14:paraId="77344517" w14:textId="203404F1" w:rsidR="008974E7" w:rsidRPr="00E2031B" w:rsidRDefault="008974E7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In Issue 5 of the preparedness letter on 13 July 2020, dental and orthodontic contractors were advised that all practices were to open</w:t>
      </w:r>
      <w:r w:rsidR="00E2031B">
        <w:rPr>
          <w:rFonts w:ascii="Arial" w:hAnsi="Arial" w:cs="Arial"/>
        </w:rPr>
        <w:t xml:space="preserve"> for face to face by </w:t>
      </w:r>
      <w:r w:rsidRPr="00E2031B">
        <w:rPr>
          <w:rFonts w:ascii="Arial" w:hAnsi="Arial" w:cs="Arial"/>
        </w:rPr>
        <w:t xml:space="preserve">20 July, and that the following abatements would be applied to </w:t>
      </w:r>
      <w:r w:rsidR="00E2031B">
        <w:rPr>
          <w:rFonts w:ascii="Arial" w:hAnsi="Arial" w:cs="Arial"/>
        </w:rPr>
        <w:t>GDS contracts &amp; PDS agreements</w:t>
      </w:r>
      <w:r w:rsidRPr="00E2031B">
        <w:rPr>
          <w:rFonts w:ascii="Arial" w:hAnsi="Arial" w:cs="Arial"/>
        </w:rPr>
        <w:t xml:space="preserve"> for the appropriate period.</w:t>
      </w:r>
    </w:p>
    <w:p w14:paraId="2B4B8A01" w14:textId="77777777" w:rsidR="008974E7" w:rsidRPr="00E2031B" w:rsidRDefault="008974E7" w:rsidP="00E2031B">
      <w:pPr>
        <w:spacing w:after="0" w:line="240" w:lineRule="auto"/>
        <w:rPr>
          <w:rFonts w:ascii="Arial" w:hAnsi="Arial" w:cs="Arial"/>
        </w:rPr>
      </w:pPr>
    </w:p>
    <w:p w14:paraId="3EC012F4" w14:textId="3A102A7A" w:rsidR="00E2031B" w:rsidRPr="00E2031B" w:rsidRDefault="008974E7" w:rsidP="00E203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</w:rPr>
      </w:pPr>
      <w:r w:rsidRPr="00E2031B">
        <w:rPr>
          <w:rFonts w:ascii="Arial" w:hAnsi="Arial" w:cs="Arial"/>
          <w:b/>
          <w:bCs/>
        </w:rPr>
        <w:t xml:space="preserve">Non UDC Practices - </w:t>
      </w:r>
      <w:r w:rsidRPr="00E2031B">
        <w:rPr>
          <w:rFonts w:ascii="Arial" w:hAnsi="Arial" w:cs="Arial"/>
        </w:rPr>
        <w:t>16.75% abatement to the total contract value across the period 1 April 2020 – 7 June 2020</w:t>
      </w:r>
      <w:r w:rsidR="00E2031B">
        <w:rPr>
          <w:rFonts w:ascii="Arial" w:hAnsi="Arial" w:cs="Arial"/>
        </w:rPr>
        <w:t>.</w:t>
      </w:r>
    </w:p>
    <w:p w14:paraId="193A6F07" w14:textId="77777777" w:rsidR="00E2031B" w:rsidRPr="00E2031B" w:rsidRDefault="00E2031B" w:rsidP="00E2031B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0BFA0B94" w14:textId="3B6659AD" w:rsidR="008974E7" w:rsidRDefault="00E2031B" w:rsidP="00E203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the avoidance of doubt the following contractors are exempt:</w:t>
      </w:r>
      <w:r w:rsidRPr="00E2031B">
        <w:rPr>
          <w:rFonts w:ascii="Arial" w:hAnsi="Arial" w:cs="Arial"/>
        </w:rPr>
        <w:t xml:space="preserve"> </w:t>
      </w:r>
    </w:p>
    <w:p w14:paraId="3E187036" w14:textId="77777777" w:rsidR="00E2031B" w:rsidRPr="00E2031B" w:rsidRDefault="00E2031B" w:rsidP="00E2031B">
      <w:pPr>
        <w:spacing w:after="0" w:line="240" w:lineRule="auto"/>
        <w:rPr>
          <w:rFonts w:ascii="Arial" w:hAnsi="Arial" w:cs="Arial"/>
          <w:b/>
          <w:bCs/>
        </w:rPr>
      </w:pPr>
    </w:p>
    <w:p w14:paraId="2402E920" w14:textId="7BB45B7F" w:rsidR="00E2031B" w:rsidRDefault="008974E7" w:rsidP="00E203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  <w:b/>
          <w:bCs/>
        </w:rPr>
        <w:t xml:space="preserve">UDC </w:t>
      </w:r>
      <w:r w:rsidR="00E2031B">
        <w:rPr>
          <w:rFonts w:ascii="Arial" w:hAnsi="Arial" w:cs="Arial"/>
          <w:b/>
          <w:bCs/>
        </w:rPr>
        <w:t>Contracts or agreements</w:t>
      </w:r>
      <w:r w:rsidRPr="00E2031B">
        <w:rPr>
          <w:rFonts w:ascii="Arial" w:hAnsi="Arial" w:cs="Arial"/>
          <w:b/>
          <w:bCs/>
        </w:rPr>
        <w:t xml:space="preserve"> – </w:t>
      </w:r>
      <w:r w:rsidRPr="00E2031B">
        <w:rPr>
          <w:rFonts w:ascii="Arial" w:hAnsi="Arial" w:cs="Arial"/>
        </w:rPr>
        <w:t>No abatement</w:t>
      </w:r>
    </w:p>
    <w:p w14:paraId="5A34E0B8" w14:textId="37726B9B" w:rsidR="008974E7" w:rsidRPr="00E2031B" w:rsidRDefault="00E2031B" w:rsidP="00E2031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Orthodontic close down agreements –</w:t>
      </w:r>
      <w:r>
        <w:rPr>
          <w:rFonts w:ascii="Arial" w:hAnsi="Arial" w:cs="Arial"/>
        </w:rPr>
        <w:t xml:space="preserve"> No abatement</w:t>
      </w:r>
      <w:r w:rsidR="008974E7" w:rsidRPr="00E2031B">
        <w:rPr>
          <w:rFonts w:ascii="Arial" w:hAnsi="Arial" w:cs="Arial"/>
        </w:rPr>
        <w:t xml:space="preserve">. </w:t>
      </w:r>
    </w:p>
    <w:p w14:paraId="74A6E8FC" w14:textId="77777777" w:rsidR="003F55FC" w:rsidRPr="00E2031B" w:rsidRDefault="003F55FC" w:rsidP="00E2031B">
      <w:pPr>
        <w:pStyle w:val="ListParagraph"/>
        <w:spacing w:after="0" w:line="240" w:lineRule="auto"/>
        <w:rPr>
          <w:rFonts w:ascii="Arial" w:hAnsi="Arial" w:cs="Arial"/>
        </w:rPr>
      </w:pPr>
    </w:p>
    <w:p w14:paraId="01E1EA68" w14:textId="54E88190" w:rsidR="00E2031B" w:rsidRDefault="00E2031B" w:rsidP="00E2031B">
      <w:pPr>
        <w:spacing w:after="0"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</w:rPr>
        <w:t>NHS BSA will apply the ab</w:t>
      </w:r>
      <w:r w:rsidR="00361D99" w:rsidRPr="00E2031B">
        <w:rPr>
          <w:rFonts w:ascii="Arial" w:hAnsi="Arial" w:cs="Arial"/>
        </w:rPr>
        <w:t>atement to all GDS</w:t>
      </w:r>
      <w:r>
        <w:rPr>
          <w:rFonts w:ascii="Arial" w:hAnsi="Arial" w:cs="Arial"/>
        </w:rPr>
        <w:t xml:space="preserve"> contracts and </w:t>
      </w:r>
      <w:r w:rsidR="00361D99" w:rsidRPr="00E2031B">
        <w:rPr>
          <w:rFonts w:ascii="Arial" w:hAnsi="Arial" w:cs="Arial"/>
        </w:rPr>
        <w:t xml:space="preserve">PDS </w:t>
      </w:r>
      <w:r>
        <w:rPr>
          <w:rFonts w:ascii="Arial" w:hAnsi="Arial" w:cs="Arial"/>
        </w:rPr>
        <w:t>agreements</w:t>
      </w:r>
      <w:r w:rsidR="00361D99" w:rsidRPr="00E2031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with the exception of the above two commissioning arrangements as defined in the SFE) </w:t>
      </w:r>
      <w:r w:rsidR="00C8219D" w:rsidRPr="00E2031B">
        <w:rPr>
          <w:rFonts w:ascii="Arial" w:hAnsi="Arial" w:cs="Arial"/>
          <w:lang w:eastAsia="en-GB"/>
        </w:rPr>
        <w:t xml:space="preserve">or where </w:t>
      </w:r>
      <w:r>
        <w:rPr>
          <w:rFonts w:ascii="Arial" w:hAnsi="Arial" w:cs="Arial"/>
          <w:lang w:eastAsia="en-GB"/>
        </w:rPr>
        <w:t xml:space="preserve">contracts </w:t>
      </w:r>
      <w:r w:rsidR="00C8219D" w:rsidRPr="00E2031B">
        <w:rPr>
          <w:rFonts w:ascii="Arial" w:hAnsi="Arial" w:cs="Arial"/>
          <w:lang w:eastAsia="en-GB"/>
        </w:rPr>
        <w:t xml:space="preserve">are not paid by the </w:t>
      </w:r>
      <w:r>
        <w:rPr>
          <w:rFonts w:ascii="Arial" w:hAnsi="Arial" w:cs="Arial"/>
          <w:lang w:eastAsia="en-GB"/>
        </w:rPr>
        <w:t xml:space="preserve">NHS </w:t>
      </w:r>
      <w:r w:rsidR="00C8219D" w:rsidRPr="00E2031B">
        <w:rPr>
          <w:rFonts w:ascii="Arial" w:hAnsi="Arial" w:cs="Arial"/>
          <w:lang w:eastAsia="en-GB"/>
        </w:rPr>
        <w:t>BSA</w:t>
      </w:r>
      <w:r w:rsidR="00511EFE" w:rsidRPr="00E2031B">
        <w:rPr>
          <w:rFonts w:ascii="Arial" w:hAnsi="Arial" w:cs="Arial"/>
          <w:lang w:eastAsia="en-GB"/>
        </w:rPr>
        <w:t xml:space="preserve"> </w:t>
      </w:r>
      <w:r w:rsidRPr="00E2031B">
        <w:rPr>
          <w:rFonts w:ascii="Arial" w:hAnsi="Arial" w:cs="Arial"/>
          <w:lang w:eastAsia="en-GB"/>
        </w:rPr>
        <w:t>f</w:t>
      </w:r>
      <w:r>
        <w:rPr>
          <w:rFonts w:ascii="Arial" w:hAnsi="Arial" w:cs="Arial"/>
          <w:lang w:eastAsia="en-GB"/>
        </w:rPr>
        <w:t>or example Community Dental Services, AQP contracts, or Prison services.  Commissioners will be responsible for this at a regional level.</w:t>
      </w:r>
    </w:p>
    <w:p w14:paraId="045DFEEA" w14:textId="52EA4BDB" w:rsidR="00C8219D" w:rsidRPr="00E2031B" w:rsidRDefault="00C8219D" w:rsidP="00E2031B">
      <w:pPr>
        <w:spacing w:after="0" w:line="240" w:lineRule="auto"/>
        <w:rPr>
          <w:rFonts w:ascii="Arial" w:hAnsi="Arial" w:cs="Arial"/>
          <w:lang w:eastAsia="en-GB"/>
        </w:rPr>
      </w:pPr>
    </w:p>
    <w:p w14:paraId="4B1D4A81" w14:textId="217C207F" w:rsidR="00E2031B" w:rsidRDefault="00D2529C" w:rsidP="00E2031B">
      <w:pPr>
        <w:pStyle w:val="Default"/>
        <w:rPr>
          <w:rFonts w:ascii="Arial" w:hAnsi="Arial" w:cs="Arial"/>
          <w:sz w:val="22"/>
          <w:szCs w:val="22"/>
        </w:rPr>
      </w:pPr>
      <w:bookmarkStart w:id="2" w:name="_Toc63429971"/>
      <w:r w:rsidRPr="00E2031B">
        <w:rPr>
          <w:rFonts w:ascii="Arial" w:hAnsi="Arial" w:cs="Arial"/>
          <w:sz w:val="22"/>
          <w:szCs w:val="22"/>
        </w:rPr>
        <w:t>As stated in the Primary Care Dental Services Statement of Financial Entitlement (Coronavirus) (Amendment) Directions 2021</w:t>
      </w:r>
      <w:r w:rsidRPr="00E2031B">
        <w:rPr>
          <w:rFonts w:ascii="Arial" w:hAnsi="Arial" w:cs="Arial"/>
          <w:i/>
          <w:iCs/>
          <w:sz w:val="22"/>
          <w:szCs w:val="22"/>
        </w:rPr>
        <w:t xml:space="preserve"> </w:t>
      </w:r>
      <w:r w:rsidRPr="00E2031B">
        <w:rPr>
          <w:rFonts w:ascii="Arial" w:hAnsi="Arial" w:cs="Arial"/>
          <w:i/>
          <w:iCs/>
          <w:color w:val="FF0000"/>
          <w:sz w:val="22"/>
          <w:szCs w:val="22"/>
        </w:rPr>
        <w:t>(link to published version upon publication)</w:t>
      </w:r>
      <w:r w:rsidRPr="00E2031B">
        <w:rPr>
          <w:rFonts w:ascii="Arial" w:hAnsi="Arial" w:cs="Arial"/>
          <w:sz w:val="22"/>
          <w:szCs w:val="22"/>
        </w:rPr>
        <w:t>, w</w:t>
      </w:r>
      <w:r w:rsidRPr="00E2031B">
        <w:rPr>
          <w:rFonts w:ascii="Arial" w:hAnsi="Arial" w:cs="Arial"/>
          <w:color w:val="auto"/>
          <w:sz w:val="22"/>
          <w:szCs w:val="22"/>
        </w:rPr>
        <w:t xml:space="preserve">here an abatement has been calculated this </w:t>
      </w:r>
      <w:r w:rsidRPr="00E2031B">
        <w:rPr>
          <w:rFonts w:ascii="Arial" w:hAnsi="Arial" w:cs="Arial"/>
          <w:sz w:val="22"/>
          <w:szCs w:val="22"/>
        </w:rPr>
        <w:t>will be recovered by four instalments.  This will commence with your scheduled Compass payment on 1 April 2021 (March</w:t>
      </w:r>
      <w:r w:rsidR="00E2031B">
        <w:rPr>
          <w:rFonts w:ascii="Arial" w:hAnsi="Arial" w:cs="Arial"/>
          <w:sz w:val="22"/>
          <w:szCs w:val="22"/>
        </w:rPr>
        <w:t xml:space="preserve"> 2021</w:t>
      </w:r>
      <w:r w:rsidRPr="00E2031B">
        <w:rPr>
          <w:rFonts w:ascii="Arial" w:hAnsi="Arial" w:cs="Arial"/>
          <w:sz w:val="22"/>
          <w:szCs w:val="22"/>
        </w:rPr>
        <w:t xml:space="preserve"> schedule) and be completed by 1 July 2021 (June</w:t>
      </w:r>
      <w:r w:rsidR="00E2031B">
        <w:rPr>
          <w:rFonts w:ascii="Arial" w:hAnsi="Arial" w:cs="Arial"/>
          <w:sz w:val="22"/>
          <w:szCs w:val="22"/>
        </w:rPr>
        <w:t xml:space="preserve"> 2021</w:t>
      </w:r>
      <w:r w:rsidRPr="00E2031B">
        <w:rPr>
          <w:rFonts w:ascii="Arial" w:hAnsi="Arial" w:cs="Arial"/>
          <w:sz w:val="22"/>
          <w:szCs w:val="22"/>
        </w:rPr>
        <w:t xml:space="preserve"> schedule). </w:t>
      </w:r>
    </w:p>
    <w:p w14:paraId="68B8E446" w14:textId="70CAE548" w:rsidR="00D2529C" w:rsidRDefault="00D2529C" w:rsidP="00E2031B">
      <w:pPr>
        <w:pStyle w:val="Default"/>
        <w:rPr>
          <w:rFonts w:ascii="Arial" w:hAnsi="Arial" w:cs="Arial"/>
          <w:sz w:val="22"/>
          <w:szCs w:val="22"/>
        </w:rPr>
      </w:pPr>
    </w:p>
    <w:p w14:paraId="32CAEA6D" w14:textId="77777777" w:rsidR="00E2031B" w:rsidRPr="00E2031B" w:rsidRDefault="00E2031B" w:rsidP="00E2031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312668D" w14:textId="77777777" w:rsidR="00567741" w:rsidRPr="00E2031B" w:rsidRDefault="00567741" w:rsidP="00E2031B">
      <w:pPr>
        <w:pStyle w:val="Heading1"/>
        <w:spacing w:before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3" w:name="_Toc65231746"/>
      <w:r w:rsidRPr="00E2031B">
        <w:rPr>
          <w:rFonts w:ascii="Arial" w:hAnsi="Arial" w:cs="Arial"/>
          <w:b/>
          <w:bCs/>
          <w:color w:val="auto"/>
          <w:sz w:val="22"/>
          <w:szCs w:val="22"/>
          <w:u w:val="single"/>
        </w:rPr>
        <w:t>Quality Assurance Process</w:t>
      </w:r>
      <w:bookmarkEnd w:id="2"/>
      <w:bookmarkEnd w:id="3"/>
    </w:p>
    <w:p w14:paraId="43F4E4B9" w14:textId="77777777" w:rsidR="00567741" w:rsidRPr="00E2031B" w:rsidRDefault="00567741" w:rsidP="00E2031B">
      <w:pPr>
        <w:spacing w:after="0" w:line="240" w:lineRule="auto"/>
        <w:rPr>
          <w:rFonts w:ascii="Arial" w:eastAsia="Times New Roman" w:hAnsi="Arial" w:cs="Arial"/>
          <w:bCs/>
        </w:rPr>
      </w:pPr>
    </w:p>
    <w:p w14:paraId="24F75B36" w14:textId="77777777" w:rsidR="00567741" w:rsidRPr="00E2031B" w:rsidRDefault="00567741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eastAsia="Times New Roman" w:hAnsi="Arial" w:cs="Arial"/>
        </w:rPr>
        <w:t>Quality assurance and measures to ensure data accuracy and integrity will be implemented throughout the process.</w:t>
      </w:r>
    </w:p>
    <w:p w14:paraId="4072DD77" w14:textId="77777777" w:rsidR="00567741" w:rsidRPr="00E2031B" w:rsidRDefault="00567741" w:rsidP="00E2031B">
      <w:pPr>
        <w:spacing w:after="0" w:line="240" w:lineRule="auto"/>
        <w:rPr>
          <w:rFonts w:ascii="Arial" w:eastAsia="Times New Roman" w:hAnsi="Arial" w:cs="Arial"/>
        </w:rPr>
      </w:pPr>
    </w:p>
    <w:p w14:paraId="626C3C6C" w14:textId="10311917" w:rsidR="00567741" w:rsidRPr="00E2031B" w:rsidRDefault="00567741" w:rsidP="00E2031B">
      <w:pPr>
        <w:spacing w:after="0" w:line="240" w:lineRule="auto"/>
        <w:rPr>
          <w:rFonts w:ascii="Arial" w:eastAsia="Times New Roman" w:hAnsi="Arial" w:cs="Arial"/>
        </w:rPr>
      </w:pPr>
      <w:r w:rsidRPr="00E2031B">
        <w:rPr>
          <w:rFonts w:ascii="Arial" w:eastAsia="Times New Roman" w:hAnsi="Arial" w:cs="Arial"/>
        </w:rPr>
        <w:t xml:space="preserve">The identification of contracts will be </w:t>
      </w:r>
      <w:r w:rsidR="003FFA3D" w:rsidRPr="00E2031B">
        <w:rPr>
          <w:rFonts w:ascii="Arial" w:eastAsia="Times New Roman" w:hAnsi="Arial" w:cs="Arial"/>
        </w:rPr>
        <w:t xml:space="preserve">established </w:t>
      </w:r>
      <w:r w:rsidR="00011E07" w:rsidRPr="00E2031B">
        <w:rPr>
          <w:rFonts w:ascii="Arial" w:eastAsia="Times New Roman" w:hAnsi="Arial" w:cs="Arial"/>
        </w:rPr>
        <w:t xml:space="preserve">using </w:t>
      </w:r>
      <w:r w:rsidR="003FFA3D" w:rsidRPr="00E2031B">
        <w:rPr>
          <w:rFonts w:ascii="Arial" w:eastAsia="Times New Roman" w:hAnsi="Arial" w:cs="Arial"/>
        </w:rPr>
        <w:t>year-end methodology (contracts with contra</w:t>
      </w:r>
      <w:r w:rsidR="74783E81" w:rsidRPr="00E2031B">
        <w:rPr>
          <w:rFonts w:ascii="Arial" w:eastAsia="Times New Roman" w:hAnsi="Arial" w:cs="Arial"/>
        </w:rPr>
        <w:t>cted OR processed activity)</w:t>
      </w:r>
      <w:r w:rsidRPr="00E2031B">
        <w:rPr>
          <w:rFonts w:ascii="Arial" w:eastAsia="Times New Roman" w:hAnsi="Arial" w:cs="Arial"/>
        </w:rPr>
        <w:t xml:space="preserve"> coded into the Data Warehouse</w:t>
      </w:r>
      <w:r w:rsidR="18DC1291" w:rsidRPr="00E2031B">
        <w:rPr>
          <w:rFonts w:ascii="Arial" w:eastAsia="Times New Roman" w:hAnsi="Arial" w:cs="Arial"/>
        </w:rPr>
        <w:t>. This will have</w:t>
      </w:r>
      <w:r w:rsidR="1C7A5FC9" w:rsidRPr="00E2031B">
        <w:rPr>
          <w:rFonts w:ascii="Arial" w:eastAsia="Times New Roman" w:hAnsi="Arial" w:cs="Arial"/>
        </w:rPr>
        <w:t xml:space="preserve"> NHSBSA</w:t>
      </w:r>
      <w:r w:rsidR="18DC1291" w:rsidRPr="00E2031B">
        <w:rPr>
          <w:rFonts w:ascii="Arial" w:eastAsia="Times New Roman" w:hAnsi="Arial" w:cs="Arial"/>
        </w:rPr>
        <w:t xml:space="preserve"> multi-team scrutiny from </w:t>
      </w:r>
      <w:r w:rsidR="00011E07" w:rsidRPr="00E2031B">
        <w:rPr>
          <w:rFonts w:ascii="Arial" w:eastAsia="Times New Roman" w:hAnsi="Arial" w:cs="Arial"/>
        </w:rPr>
        <w:t xml:space="preserve">NHSBSA PAD </w:t>
      </w:r>
      <w:r w:rsidR="18DC1291" w:rsidRPr="00E2031B">
        <w:rPr>
          <w:rFonts w:ascii="Arial" w:eastAsia="Times New Roman" w:hAnsi="Arial" w:cs="Arial"/>
        </w:rPr>
        <w:t>and</w:t>
      </w:r>
      <w:r w:rsidR="00011E07" w:rsidRPr="00E2031B">
        <w:rPr>
          <w:rFonts w:ascii="Arial" w:eastAsia="Times New Roman" w:hAnsi="Arial" w:cs="Arial"/>
        </w:rPr>
        <w:t xml:space="preserve"> Data</w:t>
      </w:r>
      <w:r w:rsidR="18DC1291" w:rsidRPr="00E2031B">
        <w:rPr>
          <w:rFonts w:ascii="Arial" w:eastAsia="Times New Roman" w:hAnsi="Arial" w:cs="Arial"/>
        </w:rPr>
        <w:t xml:space="preserve"> Insight.</w:t>
      </w:r>
    </w:p>
    <w:p w14:paraId="4D4E1ECC" w14:textId="77777777" w:rsidR="00567741" w:rsidRPr="00E2031B" w:rsidRDefault="00567741" w:rsidP="00E2031B">
      <w:pPr>
        <w:spacing w:after="0" w:line="240" w:lineRule="auto"/>
        <w:rPr>
          <w:rFonts w:ascii="Arial" w:eastAsia="Times New Roman" w:hAnsi="Arial" w:cs="Arial"/>
        </w:rPr>
      </w:pPr>
    </w:p>
    <w:p w14:paraId="49005731" w14:textId="12453676" w:rsidR="00567741" w:rsidRPr="00E2031B" w:rsidRDefault="00567741" w:rsidP="00E2031B">
      <w:pPr>
        <w:spacing w:after="0" w:line="240" w:lineRule="auto"/>
        <w:rPr>
          <w:rFonts w:ascii="Arial" w:eastAsia="Times New Roman" w:hAnsi="Arial" w:cs="Arial"/>
        </w:rPr>
      </w:pPr>
      <w:r w:rsidRPr="00E2031B">
        <w:rPr>
          <w:rFonts w:ascii="Arial" w:eastAsia="Times New Roman" w:hAnsi="Arial" w:cs="Arial"/>
        </w:rPr>
        <w:t xml:space="preserve">The abatement calculation (as detailed below) </w:t>
      </w:r>
      <w:r w:rsidR="7B4FA8FB" w:rsidRPr="00E2031B">
        <w:rPr>
          <w:rFonts w:ascii="Arial" w:eastAsia="Times New Roman" w:hAnsi="Arial" w:cs="Arial"/>
        </w:rPr>
        <w:t>and identification of UDC contracts</w:t>
      </w:r>
      <w:r w:rsidRPr="00E2031B">
        <w:rPr>
          <w:rFonts w:ascii="Arial" w:eastAsia="Times New Roman" w:hAnsi="Arial" w:cs="Arial"/>
        </w:rPr>
        <w:t xml:space="preserve"> will be built into the data warehouse at contract level before commissioner and</w:t>
      </w:r>
      <w:r w:rsidR="0052605A" w:rsidRPr="00E2031B">
        <w:rPr>
          <w:rFonts w:ascii="Arial" w:eastAsia="Times New Roman" w:hAnsi="Arial" w:cs="Arial"/>
        </w:rPr>
        <w:t xml:space="preserve"> NHSBSA PAD</w:t>
      </w:r>
      <w:r w:rsidRPr="00E2031B">
        <w:rPr>
          <w:rFonts w:ascii="Arial" w:eastAsia="Times New Roman" w:hAnsi="Arial" w:cs="Arial"/>
        </w:rPr>
        <w:t xml:space="preserve"> (casework and analyst) oversight will be applied.</w:t>
      </w:r>
    </w:p>
    <w:p w14:paraId="2D1DDFE6" w14:textId="77777777" w:rsidR="00567741" w:rsidRPr="00E2031B" w:rsidRDefault="00567741" w:rsidP="00E2031B">
      <w:pPr>
        <w:spacing w:after="0" w:line="240" w:lineRule="auto"/>
        <w:rPr>
          <w:rFonts w:ascii="Arial" w:eastAsia="Times New Roman" w:hAnsi="Arial" w:cs="Arial"/>
        </w:rPr>
      </w:pPr>
    </w:p>
    <w:p w14:paraId="4AE8D792" w14:textId="6572781B" w:rsidR="00567741" w:rsidRPr="00E2031B" w:rsidRDefault="006B5171" w:rsidP="00E2031B">
      <w:pPr>
        <w:spacing w:after="0" w:line="240" w:lineRule="auto"/>
        <w:rPr>
          <w:rFonts w:ascii="Arial" w:eastAsia="Times New Roman" w:hAnsi="Arial" w:cs="Arial"/>
        </w:rPr>
      </w:pPr>
      <w:r w:rsidRPr="00E2031B">
        <w:rPr>
          <w:rFonts w:ascii="Arial" w:eastAsia="Times New Roman" w:hAnsi="Arial" w:cs="Arial"/>
        </w:rPr>
        <w:t xml:space="preserve">PAD </w:t>
      </w:r>
      <w:r w:rsidR="266069E6" w:rsidRPr="00E2031B">
        <w:rPr>
          <w:rFonts w:ascii="Arial" w:eastAsia="Times New Roman" w:hAnsi="Arial" w:cs="Arial"/>
        </w:rPr>
        <w:t>Analysts will</w:t>
      </w:r>
      <w:r w:rsidR="00567741" w:rsidRPr="00E2031B">
        <w:rPr>
          <w:rFonts w:ascii="Arial" w:eastAsia="Times New Roman" w:hAnsi="Arial" w:cs="Arial"/>
        </w:rPr>
        <w:t xml:space="preserve"> identify amended c</w:t>
      </w:r>
      <w:r w:rsidR="2126A755" w:rsidRPr="00E2031B">
        <w:rPr>
          <w:rFonts w:ascii="Arial" w:eastAsia="Times New Roman" w:hAnsi="Arial" w:cs="Arial"/>
        </w:rPr>
        <w:t>ontract information</w:t>
      </w:r>
      <w:r w:rsidR="00567741" w:rsidRPr="00E2031B">
        <w:rPr>
          <w:rFonts w:ascii="Arial" w:eastAsia="Times New Roman" w:hAnsi="Arial" w:cs="Arial"/>
        </w:rPr>
        <w:t xml:space="preserve"> </w:t>
      </w:r>
      <w:r w:rsidR="7B48A712" w:rsidRPr="00E2031B">
        <w:rPr>
          <w:rFonts w:ascii="Arial" w:eastAsia="Times New Roman" w:hAnsi="Arial" w:cs="Arial"/>
        </w:rPr>
        <w:t xml:space="preserve">by comparing the returned </w:t>
      </w:r>
      <w:r w:rsidR="64F09EF5" w:rsidRPr="00E2031B">
        <w:rPr>
          <w:rFonts w:ascii="Arial" w:eastAsia="Times New Roman" w:hAnsi="Arial" w:cs="Arial"/>
        </w:rPr>
        <w:t>commissioner</w:t>
      </w:r>
      <w:r w:rsidR="7B48A712" w:rsidRPr="00E2031B">
        <w:rPr>
          <w:rFonts w:ascii="Arial" w:eastAsia="Times New Roman" w:hAnsi="Arial" w:cs="Arial"/>
        </w:rPr>
        <w:t xml:space="preserve"> spreadsheets with the data warehouse</w:t>
      </w:r>
      <w:r w:rsidR="0EDDAB47" w:rsidRPr="00E2031B">
        <w:rPr>
          <w:rFonts w:ascii="Arial" w:eastAsia="Times New Roman" w:hAnsi="Arial" w:cs="Arial"/>
        </w:rPr>
        <w:t>, as well as following the detailed instruction</w:t>
      </w:r>
      <w:r w:rsidR="7B48A712" w:rsidRPr="00E2031B">
        <w:rPr>
          <w:rFonts w:ascii="Arial" w:eastAsia="Times New Roman" w:hAnsi="Arial" w:cs="Arial"/>
        </w:rPr>
        <w:t>, once identified</w:t>
      </w:r>
      <w:r w:rsidR="5049398E" w:rsidRPr="00E2031B">
        <w:rPr>
          <w:rFonts w:ascii="Arial" w:eastAsia="Times New Roman" w:hAnsi="Arial" w:cs="Arial"/>
        </w:rPr>
        <w:t>,</w:t>
      </w:r>
      <w:r w:rsidR="7B48A712" w:rsidRPr="00E2031B">
        <w:rPr>
          <w:rFonts w:ascii="Arial" w:eastAsia="Times New Roman" w:hAnsi="Arial" w:cs="Arial"/>
        </w:rPr>
        <w:t xml:space="preserve"> calculations will be verified by an analyst and peer re</w:t>
      </w:r>
      <w:r w:rsidR="7D974463" w:rsidRPr="00E2031B">
        <w:rPr>
          <w:rFonts w:ascii="Arial" w:eastAsia="Times New Roman" w:hAnsi="Arial" w:cs="Arial"/>
        </w:rPr>
        <w:t>viewed</w:t>
      </w:r>
      <w:r w:rsidR="3C3FD595" w:rsidRPr="00E2031B">
        <w:rPr>
          <w:rFonts w:ascii="Arial" w:eastAsia="Times New Roman" w:hAnsi="Arial" w:cs="Arial"/>
        </w:rPr>
        <w:t xml:space="preserve"> </w:t>
      </w:r>
      <w:r w:rsidR="0FBF4690" w:rsidRPr="00E2031B">
        <w:rPr>
          <w:rFonts w:ascii="Arial" w:eastAsia="Times New Roman" w:hAnsi="Arial" w:cs="Arial"/>
        </w:rPr>
        <w:t>from a data specialist</w:t>
      </w:r>
      <w:r w:rsidR="00567741" w:rsidRPr="00E2031B">
        <w:rPr>
          <w:rFonts w:ascii="Arial" w:eastAsia="Times New Roman" w:hAnsi="Arial" w:cs="Arial"/>
        </w:rPr>
        <w:t>.</w:t>
      </w:r>
    </w:p>
    <w:p w14:paraId="6A2C4F98" w14:textId="553ACC72" w:rsidR="4851CDAD" w:rsidRPr="00E2031B" w:rsidRDefault="4851CDAD" w:rsidP="00E2031B">
      <w:pPr>
        <w:spacing w:after="0" w:line="240" w:lineRule="auto"/>
        <w:rPr>
          <w:rFonts w:ascii="Arial" w:eastAsia="Times New Roman" w:hAnsi="Arial" w:cs="Arial"/>
        </w:rPr>
      </w:pPr>
    </w:p>
    <w:p w14:paraId="07D341B6" w14:textId="658584B5" w:rsidR="405422A8" w:rsidRPr="00E2031B" w:rsidRDefault="405422A8" w:rsidP="00E2031B">
      <w:pPr>
        <w:spacing w:after="0" w:line="240" w:lineRule="auto"/>
        <w:rPr>
          <w:rFonts w:ascii="Arial" w:eastAsia="Times New Roman" w:hAnsi="Arial" w:cs="Arial"/>
        </w:rPr>
      </w:pPr>
      <w:r w:rsidRPr="00E2031B">
        <w:rPr>
          <w:rFonts w:ascii="Arial" w:eastAsia="Times New Roman" w:hAnsi="Arial" w:cs="Arial"/>
        </w:rPr>
        <w:t xml:space="preserve">The “abatement </w:t>
      </w:r>
      <w:r w:rsidR="00D37880" w:rsidRPr="00E2031B">
        <w:rPr>
          <w:rFonts w:ascii="Arial" w:eastAsia="Times New Roman" w:hAnsi="Arial" w:cs="Arial"/>
        </w:rPr>
        <w:t>deductions</w:t>
      </w:r>
      <w:r w:rsidRPr="00E2031B">
        <w:rPr>
          <w:rFonts w:ascii="Arial" w:eastAsia="Times New Roman" w:hAnsi="Arial" w:cs="Arial"/>
        </w:rPr>
        <w:t xml:space="preserve">” will then be </w:t>
      </w:r>
      <w:r w:rsidR="00BF183D" w:rsidRPr="00E2031B">
        <w:rPr>
          <w:rFonts w:ascii="Arial" w:eastAsia="Times New Roman" w:hAnsi="Arial" w:cs="Arial"/>
        </w:rPr>
        <w:t xml:space="preserve">prepared for import to Compass </w:t>
      </w:r>
      <w:r w:rsidR="00AE358E" w:rsidRPr="00E2031B">
        <w:rPr>
          <w:rFonts w:ascii="Arial" w:eastAsia="Times New Roman" w:hAnsi="Arial" w:cs="Arial"/>
        </w:rPr>
        <w:t xml:space="preserve">to create </w:t>
      </w:r>
      <w:r w:rsidRPr="00E2031B">
        <w:rPr>
          <w:rFonts w:ascii="Arial" w:eastAsia="Times New Roman" w:hAnsi="Arial" w:cs="Arial"/>
        </w:rPr>
        <w:t xml:space="preserve">the </w:t>
      </w:r>
      <w:r w:rsidR="7092D757" w:rsidRPr="00E2031B">
        <w:rPr>
          <w:rFonts w:ascii="Arial" w:eastAsia="Times New Roman" w:hAnsi="Arial" w:cs="Arial"/>
        </w:rPr>
        <w:t>instalment amounts</w:t>
      </w:r>
      <w:r w:rsidR="00FA2F10" w:rsidRPr="00E2031B">
        <w:rPr>
          <w:rFonts w:ascii="Arial" w:eastAsia="Times New Roman" w:hAnsi="Arial" w:cs="Arial"/>
        </w:rPr>
        <w:t xml:space="preserve"> automatically</w:t>
      </w:r>
      <w:r w:rsidR="00F04B3F" w:rsidRPr="00E2031B">
        <w:rPr>
          <w:rFonts w:ascii="Arial" w:eastAsia="Times New Roman" w:hAnsi="Arial" w:cs="Arial"/>
        </w:rPr>
        <w:t>, following peer review</w:t>
      </w:r>
      <w:r w:rsidR="00E2031B">
        <w:rPr>
          <w:rFonts w:ascii="Arial" w:eastAsia="Times New Roman" w:hAnsi="Arial" w:cs="Arial"/>
        </w:rPr>
        <w:t>.</w:t>
      </w:r>
      <w:r w:rsidR="7092D757" w:rsidRPr="00E2031B">
        <w:rPr>
          <w:rFonts w:ascii="Arial" w:eastAsia="Times New Roman" w:hAnsi="Arial" w:cs="Arial"/>
        </w:rPr>
        <w:t xml:space="preserve"> </w:t>
      </w:r>
      <w:r w:rsidR="59C13457" w:rsidRPr="00E2031B">
        <w:rPr>
          <w:rFonts w:ascii="Arial" w:eastAsia="Times New Roman" w:hAnsi="Arial" w:cs="Arial"/>
        </w:rPr>
        <w:t xml:space="preserve">This process will </w:t>
      </w:r>
      <w:r w:rsidR="7D9AF063" w:rsidRPr="00E2031B">
        <w:rPr>
          <w:rFonts w:ascii="Arial" w:eastAsia="Times New Roman" w:hAnsi="Arial" w:cs="Arial"/>
        </w:rPr>
        <w:t>be tested</w:t>
      </w:r>
      <w:r w:rsidR="59C13457" w:rsidRPr="00E2031B">
        <w:rPr>
          <w:rFonts w:ascii="Arial" w:eastAsia="Times New Roman" w:hAnsi="Arial" w:cs="Arial"/>
        </w:rPr>
        <w:t xml:space="preserve"> in advance and </w:t>
      </w:r>
      <w:r w:rsidR="2479DD6D" w:rsidRPr="00E2031B">
        <w:rPr>
          <w:rFonts w:ascii="Arial" w:eastAsia="Times New Roman" w:hAnsi="Arial" w:cs="Arial"/>
        </w:rPr>
        <w:t>a sample checked following the final import.</w:t>
      </w:r>
    </w:p>
    <w:p w14:paraId="61A2CC5C" w14:textId="77777777" w:rsidR="00567741" w:rsidRPr="00E2031B" w:rsidRDefault="00567741" w:rsidP="00E2031B">
      <w:pPr>
        <w:spacing w:after="0" w:line="240" w:lineRule="auto"/>
        <w:rPr>
          <w:rFonts w:ascii="Arial" w:eastAsia="Times New Roman" w:hAnsi="Arial" w:cs="Arial"/>
        </w:rPr>
      </w:pPr>
    </w:p>
    <w:p w14:paraId="46C4FC2C" w14:textId="372B1EE7" w:rsidR="297F9F5C" w:rsidRDefault="00E2031B" w:rsidP="00E2031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p</w:t>
      </w:r>
      <w:r w:rsidR="00F04B3F" w:rsidRPr="00E2031B">
        <w:rPr>
          <w:rFonts w:ascii="Arial" w:eastAsia="Times New Roman" w:hAnsi="Arial" w:cs="Arial"/>
        </w:rPr>
        <w:t>rogramming</w:t>
      </w:r>
      <w:r w:rsidR="297F9F5C" w:rsidRPr="00E2031B">
        <w:rPr>
          <w:rFonts w:ascii="Arial" w:eastAsia="Times New Roman" w:hAnsi="Arial" w:cs="Arial"/>
        </w:rPr>
        <w:t xml:space="preserve"> code has been prepared and tested to create the letters and ready </w:t>
      </w:r>
      <w:r w:rsidR="00150365" w:rsidRPr="00E2031B">
        <w:rPr>
          <w:rFonts w:ascii="Arial" w:eastAsia="Times New Roman" w:hAnsi="Arial" w:cs="Arial"/>
        </w:rPr>
        <w:t xml:space="preserve">for </w:t>
      </w:r>
      <w:r w:rsidR="297F9F5C" w:rsidRPr="00E2031B">
        <w:rPr>
          <w:rFonts w:ascii="Arial" w:eastAsia="Times New Roman" w:hAnsi="Arial" w:cs="Arial"/>
        </w:rPr>
        <w:t xml:space="preserve">them </w:t>
      </w:r>
      <w:r w:rsidR="00150365" w:rsidRPr="00E2031B">
        <w:rPr>
          <w:rFonts w:ascii="Arial" w:eastAsia="Times New Roman" w:hAnsi="Arial" w:cs="Arial"/>
        </w:rPr>
        <w:t>to be</w:t>
      </w:r>
      <w:r w:rsidR="297F9F5C" w:rsidRPr="00E2031B">
        <w:rPr>
          <w:rFonts w:ascii="Arial" w:eastAsia="Times New Roman" w:hAnsi="Arial" w:cs="Arial"/>
        </w:rPr>
        <w:t xml:space="preserve"> import</w:t>
      </w:r>
      <w:r w:rsidR="00150365" w:rsidRPr="00E2031B">
        <w:rPr>
          <w:rFonts w:ascii="Arial" w:eastAsia="Times New Roman" w:hAnsi="Arial" w:cs="Arial"/>
        </w:rPr>
        <w:t>ed int</w:t>
      </w:r>
      <w:r w:rsidR="297F9F5C" w:rsidRPr="00E2031B">
        <w:rPr>
          <w:rFonts w:ascii="Arial" w:eastAsia="Times New Roman" w:hAnsi="Arial" w:cs="Arial"/>
        </w:rPr>
        <w:t xml:space="preserve">o Compass. These will then </w:t>
      </w:r>
      <w:r w:rsidR="551DAB19" w:rsidRPr="00E2031B">
        <w:rPr>
          <w:rFonts w:ascii="Arial" w:eastAsia="Times New Roman" w:hAnsi="Arial" w:cs="Arial"/>
        </w:rPr>
        <w:t>be scrutinised</w:t>
      </w:r>
      <w:r w:rsidR="53D096FB" w:rsidRPr="00E2031B">
        <w:rPr>
          <w:rFonts w:ascii="Arial" w:eastAsia="Times New Roman" w:hAnsi="Arial" w:cs="Arial"/>
        </w:rPr>
        <w:t xml:space="preserve"> by caseworkers to ensure that they reflect the correct data for each contract before upload to Compass.</w:t>
      </w:r>
      <w:r w:rsidR="163F9E9A" w:rsidRPr="00E2031B">
        <w:rPr>
          <w:rFonts w:ascii="Arial" w:eastAsia="Times New Roman" w:hAnsi="Arial" w:cs="Arial"/>
        </w:rPr>
        <w:t xml:space="preserve"> A sample will then be checked within Compass following the upload.</w:t>
      </w:r>
    </w:p>
    <w:p w14:paraId="0C4D5B96" w14:textId="0EBF50E7" w:rsidR="00E2031B" w:rsidRDefault="00E2031B" w:rsidP="00E2031B">
      <w:pPr>
        <w:spacing w:after="0" w:line="240" w:lineRule="auto"/>
        <w:rPr>
          <w:rFonts w:ascii="Arial" w:eastAsia="Times New Roman" w:hAnsi="Arial" w:cs="Arial"/>
        </w:rPr>
      </w:pPr>
    </w:p>
    <w:p w14:paraId="4E2DE232" w14:textId="1B6D2E77" w:rsidR="00CC7C50" w:rsidRDefault="00E2031B" w:rsidP="00E2031B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Reports will then be available to </w:t>
      </w:r>
      <w:r w:rsidR="00CC7C50">
        <w:rPr>
          <w:rFonts w:ascii="Arial" w:eastAsia="Times New Roman" w:hAnsi="Arial" w:cs="Arial"/>
        </w:rPr>
        <w:t>commissioners and finance leads</w:t>
      </w:r>
      <w:r w:rsidR="00CC7C50" w:rsidRPr="00CC7C50">
        <w:rPr>
          <w:rStyle w:val="normaltextrun"/>
          <w:rFonts w:ascii="Arial" w:hAnsi="Arial" w:cs="Arial"/>
          <w:color w:val="000000"/>
        </w:rPr>
        <w:t xml:space="preserve"> </w:t>
      </w:r>
      <w:r w:rsidR="00CC7C50">
        <w:rPr>
          <w:rStyle w:val="normaltextrun"/>
          <w:rFonts w:ascii="Arial" w:hAnsi="Arial" w:cs="Arial"/>
          <w:color w:val="000000"/>
        </w:rPr>
        <w:t xml:space="preserve">across </w:t>
      </w:r>
      <w:r w:rsidR="00CC7C50" w:rsidRPr="00E2031B">
        <w:rPr>
          <w:rStyle w:val="normaltextrun"/>
          <w:rFonts w:ascii="Arial" w:hAnsi="Arial" w:cs="Arial"/>
          <w:color w:val="000000"/>
        </w:rPr>
        <w:t>NHS England &amp; NHS Improvement</w:t>
      </w:r>
      <w:r w:rsidR="00CC7C50">
        <w:rPr>
          <w:rFonts w:ascii="Arial" w:eastAsia="Times New Roman" w:hAnsi="Arial" w:cs="Arial"/>
        </w:rPr>
        <w:t>.</w:t>
      </w:r>
    </w:p>
    <w:p w14:paraId="55279A9A" w14:textId="4E40FB87" w:rsidR="00567741" w:rsidRDefault="00567741" w:rsidP="00E2031B">
      <w:pPr>
        <w:spacing w:after="0" w:line="240" w:lineRule="auto"/>
        <w:rPr>
          <w:rFonts w:ascii="Arial" w:eastAsia="Times New Roman" w:hAnsi="Arial" w:cs="Arial"/>
        </w:rPr>
      </w:pPr>
    </w:p>
    <w:p w14:paraId="2DFE59D6" w14:textId="77777777" w:rsidR="00E2031B" w:rsidRPr="00E2031B" w:rsidRDefault="00E2031B" w:rsidP="00E2031B">
      <w:pPr>
        <w:spacing w:after="0" w:line="240" w:lineRule="auto"/>
        <w:rPr>
          <w:rFonts w:ascii="Arial" w:eastAsia="Times New Roman" w:hAnsi="Arial" w:cs="Arial"/>
        </w:rPr>
      </w:pPr>
    </w:p>
    <w:p w14:paraId="3024E92E" w14:textId="78F83B7D" w:rsidR="00567741" w:rsidRPr="00E2031B" w:rsidRDefault="005903AC" w:rsidP="00E2031B">
      <w:pPr>
        <w:pStyle w:val="Heading1"/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bookmarkStart w:id="4" w:name="_Toc65231747"/>
      <w:r w:rsidRPr="00E2031B">
        <w:rPr>
          <w:rFonts w:ascii="Arial" w:hAnsi="Arial" w:cs="Arial"/>
          <w:b/>
          <w:bCs/>
          <w:color w:val="auto"/>
          <w:sz w:val="22"/>
          <w:szCs w:val="22"/>
          <w:u w:val="single"/>
        </w:rPr>
        <w:t>Operational Plan</w:t>
      </w:r>
      <w:bookmarkEnd w:id="4"/>
    </w:p>
    <w:p w14:paraId="22C12021" w14:textId="00B79631" w:rsidR="005903AC" w:rsidRPr="00E2031B" w:rsidRDefault="005903AC" w:rsidP="00E2031B">
      <w:pPr>
        <w:spacing w:after="0" w:line="240" w:lineRule="auto"/>
        <w:rPr>
          <w:rFonts w:ascii="Arial" w:hAnsi="Arial" w:cs="Arial"/>
        </w:rPr>
      </w:pPr>
    </w:p>
    <w:p w14:paraId="70936711" w14:textId="469C3CAF" w:rsidR="00242611" w:rsidRDefault="00242611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A timeline detailing the operational plans and deadlines/completion dates is found at the end of the procedures.</w:t>
      </w:r>
    </w:p>
    <w:p w14:paraId="72D0DAEA" w14:textId="77777777" w:rsidR="00CC7C50" w:rsidRPr="00E2031B" w:rsidRDefault="00CC7C50" w:rsidP="00E2031B">
      <w:pPr>
        <w:spacing w:after="0" w:line="240" w:lineRule="auto"/>
        <w:rPr>
          <w:rFonts w:ascii="Arial" w:hAnsi="Arial" w:cs="Arial"/>
        </w:rPr>
      </w:pPr>
    </w:p>
    <w:p w14:paraId="19A8E779" w14:textId="2773C950" w:rsidR="00375E92" w:rsidRPr="00E2031B" w:rsidRDefault="00375E92" w:rsidP="00E2031B">
      <w:pPr>
        <w:pStyle w:val="Heading3"/>
        <w:numPr>
          <w:ilvl w:val="0"/>
          <w:numId w:val="7"/>
        </w:numPr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5" w:name="_Toc65231748"/>
      <w:r w:rsidRPr="00E2031B">
        <w:rPr>
          <w:rFonts w:ascii="Arial" w:hAnsi="Arial" w:cs="Arial"/>
          <w:b/>
          <w:bCs/>
          <w:color w:val="auto"/>
          <w:sz w:val="22"/>
          <w:szCs w:val="22"/>
        </w:rPr>
        <w:t xml:space="preserve">Abatement Spreadsheets </w:t>
      </w:r>
      <w:r w:rsidR="004D49F0" w:rsidRPr="00E2031B">
        <w:rPr>
          <w:rFonts w:ascii="Arial" w:hAnsi="Arial" w:cs="Arial"/>
          <w:b/>
          <w:bCs/>
          <w:color w:val="auto"/>
          <w:sz w:val="22"/>
          <w:szCs w:val="22"/>
        </w:rPr>
        <w:t>to Regional Teams</w:t>
      </w:r>
      <w:bookmarkEnd w:id="5"/>
    </w:p>
    <w:p w14:paraId="7B7446CD" w14:textId="31CF8204" w:rsidR="00C17AC4" w:rsidRPr="00E2031B" w:rsidRDefault="00C17AC4" w:rsidP="00E2031B">
      <w:pPr>
        <w:spacing w:after="0" w:line="240" w:lineRule="auto"/>
        <w:rPr>
          <w:rFonts w:ascii="Arial" w:hAnsi="Arial" w:cs="Arial"/>
        </w:rPr>
      </w:pPr>
    </w:p>
    <w:p w14:paraId="35A11061" w14:textId="3255FD24" w:rsidR="00DB5AF0" w:rsidRDefault="00315A31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NHS</w:t>
      </w:r>
      <w:r w:rsidR="00CC7C50">
        <w:rPr>
          <w:rFonts w:ascii="Arial" w:hAnsi="Arial" w:cs="Arial"/>
        </w:rPr>
        <w:t xml:space="preserve"> </w:t>
      </w:r>
      <w:r w:rsidRPr="00E2031B">
        <w:rPr>
          <w:rFonts w:ascii="Arial" w:hAnsi="Arial" w:cs="Arial"/>
        </w:rPr>
        <w:t xml:space="preserve">BSA PAD </w:t>
      </w:r>
      <w:r w:rsidR="006300DB" w:rsidRPr="00E2031B">
        <w:rPr>
          <w:rFonts w:ascii="Arial" w:hAnsi="Arial" w:cs="Arial"/>
        </w:rPr>
        <w:t xml:space="preserve">will send </w:t>
      </w:r>
      <w:r w:rsidR="00361D99" w:rsidRPr="00E2031B">
        <w:rPr>
          <w:rFonts w:ascii="Arial" w:hAnsi="Arial" w:cs="Arial"/>
        </w:rPr>
        <w:t xml:space="preserve">Regional teams abatement spreadsheets </w:t>
      </w:r>
      <w:r w:rsidR="00922AA5" w:rsidRPr="00E2031B">
        <w:rPr>
          <w:rFonts w:ascii="Arial" w:hAnsi="Arial" w:cs="Arial"/>
          <w:lang w:eastAsia="en-GB"/>
        </w:rPr>
        <w:t xml:space="preserve">to inform </w:t>
      </w:r>
      <w:r w:rsidR="00210772" w:rsidRPr="00E2031B">
        <w:rPr>
          <w:rFonts w:ascii="Arial" w:hAnsi="Arial" w:cs="Arial"/>
          <w:lang w:eastAsia="en-GB"/>
        </w:rPr>
        <w:t>the</w:t>
      </w:r>
      <w:r w:rsidR="00922AA5" w:rsidRPr="00E2031B">
        <w:rPr>
          <w:rFonts w:ascii="Arial" w:hAnsi="Arial" w:cs="Arial"/>
          <w:lang w:eastAsia="en-GB"/>
        </w:rPr>
        <w:t xml:space="preserve"> preparatory work in regard to the abatement process</w:t>
      </w:r>
      <w:r w:rsidR="00210772" w:rsidRPr="00E2031B">
        <w:rPr>
          <w:rFonts w:ascii="Arial" w:hAnsi="Arial" w:cs="Arial"/>
          <w:lang w:eastAsia="en-GB"/>
        </w:rPr>
        <w:t>. R</w:t>
      </w:r>
      <w:r w:rsidR="009E6AC2" w:rsidRPr="00E2031B">
        <w:rPr>
          <w:rFonts w:ascii="Arial" w:hAnsi="Arial" w:cs="Arial"/>
          <w:lang w:eastAsia="en-GB"/>
        </w:rPr>
        <w:t>T</w:t>
      </w:r>
      <w:r w:rsidR="00210772" w:rsidRPr="00E2031B">
        <w:rPr>
          <w:rFonts w:ascii="Arial" w:hAnsi="Arial" w:cs="Arial"/>
          <w:lang w:eastAsia="en-GB"/>
        </w:rPr>
        <w:t>s to confirm</w:t>
      </w:r>
      <w:r w:rsidR="00AE30AF" w:rsidRPr="00E2031B">
        <w:rPr>
          <w:rFonts w:ascii="Arial" w:hAnsi="Arial" w:cs="Arial"/>
          <w:lang w:eastAsia="en-GB"/>
        </w:rPr>
        <w:t xml:space="preserve"> UDCs commissioned during the period practices and Orthodontic specific close down agreements </w:t>
      </w:r>
      <w:r w:rsidR="00F178C2" w:rsidRPr="00E2031B">
        <w:rPr>
          <w:rFonts w:ascii="Arial" w:hAnsi="Arial" w:cs="Arial"/>
        </w:rPr>
        <w:t>and make any required amendments</w:t>
      </w:r>
      <w:r w:rsidR="006300DB" w:rsidRPr="00E2031B">
        <w:rPr>
          <w:rFonts w:ascii="Arial" w:hAnsi="Arial" w:cs="Arial"/>
        </w:rPr>
        <w:t>.</w:t>
      </w:r>
    </w:p>
    <w:p w14:paraId="667C5BDB" w14:textId="77777777" w:rsidR="00CC7C50" w:rsidRPr="00E2031B" w:rsidRDefault="00CC7C50" w:rsidP="00E2031B">
      <w:pPr>
        <w:spacing w:after="0" w:line="240" w:lineRule="auto"/>
        <w:rPr>
          <w:rFonts w:ascii="Arial" w:hAnsi="Arial" w:cs="Arial"/>
        </w:rPr>
      </w:pPr>
    </w:p>
    <w:p w14:paraId="6D994A55" w14:textId="2A6A4E80" w:rsidR="0032443A" w:rsidRDefault="0032443A" w:rsidP="00E2031B">
      <w:pPr>
        <w:spacing w:after="0" w:line="240" w:lineRule="auto"/>
        <w:rPr>
          <w:rFonts w:ascii="Arial" w:hAnsi="Arial" w:cs="Arial"/>
          <w:lang w:eastAsia="en-GB"/>
        </w:rPr>
      </w:pPr>
      <w:r w:rsidRPr="00E2031B">
        <w:rPr>
          <w:rFonts w:ascii="Arial" w:hAnsi="Arial" w:cs="Arial"/>
          <w:lang w:eastAsia="en-GB"/>
        </w:rPr>
        <w:t>If a contract has closed in year and has opened on a new contract number,</w:t>
      </w:r>
      <w:r w:rsidR="009341FC" w:rsidRPr="00E2031B">
        <w:rPr>
          <w:rFonts w:ascii="Arial" w:hAnsi="Arial" w:cs="Arial"/>
          <w:lang w:eastAsia="en-GB"/>
        </w:rPr>
        <w:t xml:space="preserve"> NHSBSA </w:t>
      </w:r>
      <w:r w:rsidR="00CC7C50" w:rsidRPr="00E2031B">
        <w:rPr>
          <w:rFonts w:ascii="Arial" w:hAnsi="Arial" w:cs="Arial"/>
          <w:lang w:eastAsia="en-GB"/>
        </w:rPr>
        <w:t>PAD will</w:t>
      </w:r>
      <w:r w:rsidRPr="00E2031B">
        <w:rPr>
          <w:rFonts w:ascii="Arial" w:hAnsi="Arial" w:cs="Arial"/>
          <w:lang w:eastAsia="en-GB"/>
        </w:rPr>
        <w:t xml:space="preserve"> combine the data and include only the open contract, </w:t>
      </w:r>
      <w:r w:rsidR="009341FC" w:rsidRPr="00E2031B">
        <w:rPr>
          <w:rFonts w:ascii="Arial" w:hAnsi="Arial" w:cs="Arial"/>
          <w:lang w:eastAsia="en-GB"/>
        </w:rPr>
        <w:t>RT to</w:t>
      </w:r>
      <w:r w:rsidRPr="00E2031B">
        <w:rPr>
          <w:rFonts w:ascii="Arial" w:hAnsi="Arial" w:cs="Arial"/>
          <w:lang w:eastAsia="en-GB"/>
        </w:rPr>
        <w:t xml:space="preserve"> indicate this in </w:t>
      </w:r>
      <w:r w:rsidR="009341FC" w:rsidRPr="00E2031B">
        <w:rPr>
          <w:rFonts w:ascii="Arial" w:hAnsi="Arial" w:cs="Arial"/>
          <w:lang w:eastAsia="en-GB"/>
        </w:rPr>
        <w:t>the spreadsheet</w:t>
      </w:r>
      <w:r w:rsidRPr="00E2031B">
        <w:rPr>
          <w:rFonts w:ascii="Arial" w:hAnsi="Arial" w:cs="Arial"/>
          <w:lang w:eastAsia="en-GB"/>
        </w:rPr>
        <w:t>. This will be the only occasion where we would need to combine two contracts.</w:t>
      </w:r>
    </w:p>
    <w:p w14:paraId="1A5A67D0" w14:textId="77777777" w:rsidR="00CC7C50" w:rsidRPr="00E2031B" w:rsidRDefault="00CC7C50" w:rsidP="00E2031B">
      <w:pPr>
        <w:spacing w:after="0" w:line="240" w:lineRule="auto"/>
        <w:rPr>
          <w:rFonts w:ascii="Arial" w:hAnsi="Arial" w:cs="Arial"/>
          <w:lang w:eastAsia="en-GB"/>
        </w:rPr>
      </w:pPr>
    </w:p>
    <w:p w14:paraId="369560AE" w14:textId="34E7DA9C" w:rsidR="002241C9" w:rsidRPr="00E2031B" w:rsidRDefault="00375E92" w:rsidP="00E2031B">
      <w:pPr>
        <w:pStyle w:val="Heading3"/>
        <w:numPr>
          <w:ilvl w:val="0"/>
          <w:numId w:val="7"/>
        </w:numPr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6" w:name="_Toc65231749"/>
      <w:r w:rsidRPr="00E2031B">
        <w:rPr>
          <w:rFonts w:ascii="Arial" w:hAnsi="Arial" w:cs="Arial"/>
          <w:b/>
          <w:bCs/>
          <w:color w:val="auto"/>
          <w:sz w:val="22"/>
          <w:szCs w:val="22"/>
        </w:rPr>
        <w:t>Abatement Spreadsheet Return</w:t>
      </w:r>
      <w:r w:rsidR="004D49F0" w:rsidRPr="00E2031B">
        <w:rPr>
          <w:rFonts w:ascii="Arial" w:hAnsi="Arial" w:cs="Arial"/>
          <w:b/>
          <w:bCs/>
          <w:color w:val="auto"/>
          <w:sz w:val="22"/>
          <w:szCs w:val="22"/>
        </w:rPr>
        <w:t>ed to NHSBSA PAD</w:t>
      </w:r>
      <w:bookmarkEnd w:id="6"/>
      <w:r w:rsidRPr="00E2031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D4FB321" w14:textId="77777777" w:rsidR="008853B4" w:rsidRPr="00E2031B" w:rsidRDefault="008853B4" w:rsidP="00E2031B">
      <w:pPr>
        <w:spacing w:after="0" w:line="240" w:lineRule="auto"/>
        <w:rPr>
          <w:rFonts w:ascii="Arial" w:hAnsi="Arial" w:cs="Arial"/>
        </w:rPr>
      </w:pPr>
    </w:p>
    <w:p w14:paraId="17524705" w14:textId="27DD16AF" w:rsidR="00375E92" w:rsidRDefault="00375E92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Regional Teams</w:t>
      </w:r>
      <w:r w:rsidR="00F54261" w:rsidRPr="00E2031B">
        <w:rPr>
          <w:rFonts w:ascii="Arial" w:hAnsi="Arial" w:cs="Arial"/>
        </w:rPr>
        <w:t xml:space="preserve"> to return spreadsheet to NHSBSA PAD by 5 March 2021</w:t>
      </w:r>
      <w:r w:rsidR="004D6B13" w:rsidRPr="00E2031B">
        <w:rPr>
          <w:rFonts w:ascii="Arial" w:hAnsi="Arial" w:cs="Arial"/>
        </w:rPr>
        <w:t>.</w:t>
      </w:r>
    </w:p>
    <w:p w14:paraId="67BC11C9" w14:textId="77777777" w:rsidR="00CC7C50" w:rsidRPr="00E2031B" w:rsidRDefault="00CC7C50" w:rsidP="00E2031B">
      <w:pPr>
        <w:spacing w:after="0" w:line="240" w:lineRule="auto"/>
        <w:rPr>
          <w:rFonts w:ascii="Arial" w:hAnsi="Arial" w:cs="Arial"/>
        </w:rPr>
      </w:pPr>
    </w:p>
    <w:p w14:paraId="319E3E00" w14:textId="423428DA" w:rsidR="001762CF" w:rsidRPr="00E2031B" w:rsidRDefault="00A52FAB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NHSBSA PAD</w:t>
      </w:r>
      <w:r w:rsidR="005F3E4A" w:rsidRPr="00E2031B">
        <w:rPr>
          <w:rFonts w:ascii="Arial" w:hAnsi="Arial" w:cs="Arial"/>
        </w:rPr>
        <w:t xml:space="preserve"> will need to </w:t>
      </w:r>
      <w:r w:rsidR="001762CF" w:rsidRPr="00E2031B">
        <w:rPr>
          <w:rFonts w:ascii="Arial" w:hAnsi="Arial" w:cs="Arial"/>
        </w:rPr>
        <w:t xml:space="preserve">check the following: </w:t>
      </w:r>
    </w:p>
    <w:p w14:paraId="3A0E4DD7" w14:textId="4C8BB540" w:rsidR="005F3E4A" w:rsidRPr="00E2031B" w:rsidRDefault="005F3E4A" w:rsidP="00E2031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review any notes</w:t>
      </w:r>
      <w:r w:rsidR="00571614" w:rsidRPr="00E2031B">
        <w:rPr>
          <w:rFonts w:ascii="Arial" w:hAnsi="Arial" w:cs="Arial"/>
        </w:rPr>
        <w:t>/combined contracts</w:t>
      </w:r>
      <w:r w:rsidRPr="00E2031B">
        <w:rPr>
          <w:rFonts w:ascii="Arial" w:hAnsi="Arial" w:cs="Arial"/>
        </w:rPr>
        <w:t xml:space="preserve"> made by Regional teams</w:t>
      </w:r>
      <w:r w:rsidR="00CC7C50">
        <w:rPr>
          <w:rFonts w:ascii="Arial" w:hAnsi="Arial" w:cs="Arial"/>
        </w:rPr>
        <w:t>;</w:t>
      </w:r>
    </w:p>
    <w:p w14:paraId="3857B2B6" w14:textId="224BAF2A" w:rsidR="001762CF" w:rsidRPr="00E2031B" w:rsidRDefault="001762CF" w:rsidP="00E2031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 xml:space="preserve">perform a general sense check on </w:t>
      </w:r>
      <w:r w:rsidR="004D6B13" w:rsidRPr="00E2031B">
        <w:rPr>
          <w:rFonts w:ascii="Arial" w:hAnsi="Arial" w:cs="Arial"/>
        </w:rPr>
        <w:t>excluded</w:t>
      </w:r>
      <w:r w:rsidR="00CC7C50">
        <w:rPr>
          <w:rFonts w:ascii="Arial" w:hAnsi="Arial" w:cs="Arial"/>
        </w:rPr>
        <w:t>;</w:t>
      </w:r>
    </w:p>
    <w:p w14:paraId="12D99738" w14:textId="54DFA1B6" w:rsidR="00DD45CC" w:rsidRPr="00E2031B" w:rsidRDefault="00DD45CC" w:rsidP="00E2031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lastRenderedPageBreak/>
        <w:t>delete any duplicate contracts</w:t>
      </w:r>
      <w:r w:rsidR="00CC7C50">
        <w:rPr>
          <w:rFonts w:ascii="Arial" w:hAnsi="Arial" w:cs="Arial"/>
        </w:rPr>
        <w:t>; and</w:t>
      </w:r>
    </w:p>
    <w:p w14:paraId="4AF867DA" w14:textId="6F446114" w:rsidR="00D0258B" w:rsidRDefault="00D0258B" w:rsidP="00E2031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Ensure it has been clearly identified where a TCV has been amended</w:t>
      </w:r>
      <w:r w:rsidR="00CC7C50">
        <w:rPr>
          <w:rFonts w:ascii="Arial" w:hAnsi="Arial" w:cs="Arial"/>
        </w:rPr>
        <w:t>.</w:t>
      </w:r>
    </w:p>
    <w:p w14:paraId="58CF8C8D" w14:textId="77777777" w:rsidR="00CC7C50" w:rsidRPr="00E2031B" w:rsidRDefault="00CC7C50" w:rsidP="00CC7C50">
      <w:pPr>
        <w:pStyle w:val="ListParagraph"/>
        <w:spacing w:after="0" w:line="240" w:lineRule="auto"/>
        <w:rPr>
          <w:rFonts w:ascii="Arial" w:hAnsi="Arial" w:cs="Arial"/>
        </w:rPr>
      </w:pPr>
    </w:p>
    <w:p w14:paraId="118B80BF" w14:textId="5F799428" w:rsidR="00386737" w:rsidRDefault="00386737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 xml:space="preserve">The returned spreadsheet will be classed as </w:t>
      </w:r>
      <w:r w:rsidR="00ED6DEC" w:rsidRPr="00E2031B">
        <w:rPr>
          <w:rFonts w:ascii="Arial" w:hAnsi="Arial" w:cs="Arial"/>
        </w:rPr>
        <w:t>Regional Team sign off for NHSBSA PAD to use information provided to calculate the abatement.</w:t>
      </w:r>
      <w:r w:rsidR="00571614" w:rsidRPr="00E2031B">
        <w:rPr>
          <w:rFonts w:ascii="Arial" w:hAnsi="Arial" w:cs="Arial"/>
        </w:rPr>
        <w:t xml:space="preserve"> This will need dual sign off with person from the team completing the return and the Strategic Dental Lead.</w:t>
      </w:r>
    </w:p>
    <w:p w14:paraId="56359F11" w14:textId="77777777" w:rsidR="00CC7C50" w:rsidRPr="00E2031B" w:rsidRDefault="00CC7C50" w:rsidP="00E2031B">
      <w:pPr>
        <w:spacing w:after="0" w:line="240" w:lineRule="auto"/>
        <w:rPr>
          <w:rFonts w:ascii="Arial" w:hAnsi="Arial" w:cs="Arial"/>
        </w:rPr>
      </w:pPr>
    </w:p>
    <w:p w14:paraId="4B9C8E1D" w14:textId="035B1223" w:rsidR="005F3E4A" w:rsidRPr="00E2031B" w:rsidRDefault="005F3E4A" w:rsidP="00E2031B">
      <w:pPr>
        <w:pStyle w:val="Heading3"/>
        <w:numPr>
          <w:ilvl w:val="0"/>
          <w:numId w:val="7"/>
        </w:numPr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7" w:name="_Toc65231750"/>
      <w:r w:rsidRPr="00E2031B">
        <w:rPr>
          <w:rFonts w:ascii="Arial" w:hAnsi="Arial" w:cs="Arial"/>
          <w:b/>
          <w:bCs/>
          <w:color w:val="auto"/>
          <w:sz w:val="22"/>
          <w:szCs w:val="22"/>
        </w:rPr>
        <w:t>Calculating the Abatement amount</w:t>
      </w:r>
      <w:bookmarkEnd w:id="7"/>
      <w:r w:rsidRPr="00E2031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D7C973F" w14:textId="432C2926" w:rsidR="005F3E4A" w:rsidRPr="00E2031B" w:rsidRDefault="005F3E4A" w:rsidP="00E2031B">
      <w:pPr>
        <w:spacing w:after="0" w:line="240" w:lineRule="auto"/>
        <w:rPr>
          <w:rFonts w:ascii="Arial" w:hAnsi="Arial" w:cs="Arial"/>
        </w:rPr>
      </w:pPr>
    </w:p>
    <w:p w14:paraId="2C30D8C0" w14:textId="77777777" w:rsidR="0086403F" w:rsidRPr="00E2031B" w:rsidRDefault="0086403F" w:rsidP="00E2031B">
      <w:pPr>
        <w:spacing w:after="0" w:line="240" w:lineRule="auto"/>
        <w:rPr>
          <w:rFonts w:ascii="Arial" w:eastAsia="Times New Roman" w:hAnsi="Arial" w:cs="Arial"/>
          <w:i/>
          <w:iCs/>
          <w:lang w:eastAsia="en-GB"/>
        </w:rPr>
      </w:pPr>
      <w:r w:rsidRPr="00E2031B">
        <w:rPr>
          <w:rFonts w:ascii="Arial" w:eastAsia="Times New Roman" w:hAnsi="Arial" w:cs="Arial"/>
          <w:i/>
          <w:iCs/>
          <w:lang w:eastAsia="en-GB"/>
        </w:rPr>
        <w:t>The abatement will be calculated by dividing the contractor’s NACV by 52 to produce a weekly amount of the contractor’s NACV, then multiplying the contractor’s weekly NACV amount by 9 to produce the NACV attributable to the period of closure, 16.75% of this 9 week pro-rated figure is then calculated to form the abatement value.</w:t>
      </w:r>
    </w:p>
    <w:p w14:paraId="10338002" w14:textId="77777777" w:rsidR="0086403F" w:rsidRPr="00E2031B" w:rsidRDefault="0086403F" w:rsidP="00E2031B">
      <w:pPr>
        <w:spacing w:after="0" w:line="240" w:lineRule="auto"/>
        <w:rPr>
          <w:rFonts w:ascii="Arial" w:hAnsi="Arial" w:cs="Arial"/>
        </w:rPr>
      </w:pPr>
    </w:p>
    <w:p w14:paraId="4F47A317" w14:textId="631B2D2C" w:rsidR="005F3E4A" w:rsidRPr="00E2031B" w:rsidRDefault="007A3911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 xml:space="preserve">NHSBSA PAD </w:t>
      </w:r>
      <w:r w:rsidR="005F3E4A" w:rsidRPr="00E2031B">
        <w:rPr>
          <w:rFonts w:ascii="Arial" w:hAnsi="Arial" w:cs="Arial"/>
        </w:rPr>
        <w:t>analysts will calculate the abatements</w:t>
      </w:r>
      <w:r w:rsidR="00246152" w:rsidRPr="00E2031B">
        <w:rPr>
          <w:rFonts w:ascii="Arial" w:hAnsi="Arial" w:cs="Arial"/>
        </w:rPr>
        <w:t xml:space="preserve"> using the </w:t>
      </w:r>
      <w:r w:rsidR="00553600" w:rsidRPr="00E2031B">
        <w:rPr>
          <w:rFonts w:ascii="Arial" w:hAnsi="Arial" w:cs="Arial"/>
        </w:rPr>
        <w:t xml:space="preserve">above </w:t>
      </w:r>
      <w:r w:rsidR="00246152" w:rsidRPr="00E2031B">
        <w:rPr>
          <w:rFonts w:ascii="Arial" w:hAnsi="Arial" w:cs="Arial"/>
        </w:rPr>
        <w:t>calculation methodology built into the data warehouse. These calculations will be</w:t>
      </w:r>
      <w:r w:rsidR="005F3E4A" w:rsidRPr="00E2031B">
        <w:rPr>
          <w:rFonts w:ascii="Arial" w:hAnsi="Arial" w:cs="Arial"/>
        </w:rPr>
        <w:t xml:space="preserve"> based on the information </w:t>
      </w:r>
      <w:r w:rsidR="006D12F7" w:rsidRPr="00E2031B">
        <w:rPr>
          <w:rFonts w:ascii="Arial" w:hAnsi="Arial" w:cs="Arial"/>
        </w:rPr>
        <w:t xml:space="preserve">provided </w:t>
      </w:r>
      <w:r w:rsidR="005F3E4A" w:rsidRPr="00E2031B">
        <w:rPr>
          <w:rFonts w:ascii="Arial" w:hAnsi="Arial" w:cs="Arial"/>
        </w:rPr>
        <w:t>in the returned spreadsheets, accounting</w:t>
      </w:r>
      <w:r w:rsidR="00760CEE" w:rsidRPr="00E2031B">
        <w:rPr>
          <w:rFonts w:ascii="Arial" w:hAnsi="Arial" w:cs="Arial"/>
        </w:rPr>
        <w:t xml:space="preserve"> for combined contracts and </w:t>
      </w:r>
      <w:r w:rsidR="005F3E4A" w:rsidRPr="00E2031B">
        <w:rPr>
          <w:rFonts w:ascii="Arial" w:hAnsi="Arial" w:cs="Arial"/>
        </w:rPr>
        <w:t>any amendments that have been made to the TCV</w:t>
      </w:r>
      <w:r w:rsidR="00760CEE" w:rsidRPr="00E2031B">
        <w:rPr>
          <w:rFonts w:ascii="Arial" w:hAnsi="Arial" w:cs="Arial"/>
        </w:rPr>
        <w:t>.</w:t>
      </w:r>
    </w:p>
    <w:p w14:paraId="7A8F8DB9" w14:textId="77777777" w:rsidR="00FB3BA5" w:rsidRPr="00E2031B" w:rsidRDefault="00FB3BA5" w:rsidP="00E2031B">
      <w:pPr>
        <w:spacing w:after="0" w:line="240" w:lineRule="auto"/>
        <w:rPr>
          <w:rFonts w:ascii="Arial" w:eastAsia="Times New Roman" w:hAnsi="Arial" w:cs="Arial"/>
          <w:color w:val="000000"/>
          <w:kern w:val="36"/>
          <w:lang w:eastAsia="en-GB"/>
        </w:rPr>
      </w:pPr>
    </w:p>
    <w:p w14:paraId="594175D4" w14:textId="075B7C85" w:rsidR="00C567F3" w:rsidRPr="00E2031B" w:rsidRDefault="00760CEE" w:rsidP="00E2031B">
      <w:pPr>
        <w:pStyle w:val="Heading3"/>
        <w:numPr>
          <w:ilvl w:val="0"/>
          <w:numId w:val="7"/>
        </w:numPr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8" w:name="_Toc65231751"/>
      <w:r w:rsidRPr="00E2031B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C567F3" w:rsidRPr="00E2031B">
        <w:rPr>
          <w:rFonts w:ascii="Arial" w:hAnsi="Arial" w:cs="Arial"/>
          <w:b/>
          <w:bCs/>
          <w:color w:val="auto"/>
          <w:sz w:val="22"/>
          <w:szCs w:val="22"/>
        </w:rPr>
        <w:t>batement</w:t>
      </w:r>
      <w:r w:rsidR="00B01C30" w:rsidRPr="00E2031B">
        <w:rPr>
          <w:rFonts w:ascii="Arial" w:hAnsi="Arial" w:cs="Arial"/>
          <w:b/>
          <w:bCs/>
          <w:color w:val="auto"/>
          <w:sz w:val="22"/>
          <w:szCs w:val="22"/>
        </w:rPr>
        <w:t>s</w:t>
      </w:r>
      <w:r w:rsidR="004D49F0" w:rsidRPr="00E2031B">
        <w:rPr>
          <w:rFonts w:ascii="Arial" w:hAnsi="Arial" w:cs="Arial"/>
          <w:b/>
          <w:bCs/>
          <w:color w:val="auto"/>
          <w:sz w:val="22"/>
          <w:szCs w:val="22"/>
        </w:rPr>
        <w:t xml:space="preserve"> entered on Compass</w:t>
      </w:r>
      <w:bookmarkEnd w:id="8"/>
    </w:p>
    <w:p w14:paraId="19C80A66" w14:textId="77777777" w:rsidR="00760CEE" w:rsidRPr="00E2031B" w:rsidRDefault="00760CEE" w:rsidP="00E2031B">
      <w:pPr>
        <w:spacing w:after="0" w:line="240" w:lineRule="auto"/>
        <w:rPr>
          <w:rFonts w:ascii="Arial" w:hAnsi="Arial" w:cs="Arial"/>
        </w:rPr>
      </w:pPr>
    </w:p>
    <w:p w14:paraId="571202B0" w14:textId="76F4CCD1" w:rsidR="00FC6785" w:rsidRDefault="00C9361D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 xml:space="preserve">NHSBSA PAD will </w:t>
      </w:r>
      <w:r w:rsidR="00674E12" w:rsidRPr="00E2031B">
        <w:rPr>
          <w:rFonts w:ascii="Arial" w:hAnsi="Arial" w:cs="Arial"/>
        </w:rPr>
        <w:t xml:space="preserve">enter </w:t>
      </w:r>
      <w:r w:rsidR="00CC7C50">
        <w:rPr>
          <w:rFonts w:ascii="Arial" w:hAnsi="Arial" w:cs="Arial"/>
        </w:rPr>
        <w:t>a</w:t>
      </w:r>
      <w:r w:rsidR="00FC6785" w:rsidRPr="00E2031B">
        <w:rPr>
          <w:rFonts w:ascii="Arial" w:hAnsi="Arial" w:cs="Arial"/>
        </w:rPr>
        <w:t>batement</w:t>
      </w:r>
      <w:r w:rsidR="001E0BD9" w:rsidRPr="00E2031B">
        <w:rPr>
          <w:rFonts w:ascii="Arial" w:hAnsi="Arial" w:cs="Arial"/>
        </w:rPr>
        <w:t xml:space="preserve"> deductions</w:t>
      </w:r>
      <w:r w:rsidR="00FC6785" w:rsidRPr="00E2031B">
        <w:rPr>
          <w:rFonts w:ascii="Arial" w:hAnsi="Arial" w:cs="Arial"/>
        </w:rPr>
        <w:t xml:space="preserve"> </w:t>
      </w:r>
      <w:r w:rsidR="001E0BD9" w:rsidRPr="00E2031B">
        <w:rPr>
          <w:rFonts w:ascii="Arial" w:hAnsi="Arial" w:cs="Arial"/>
        </w:rPr>
        <w:t>in</w:t>
      </w:r>
      <w:r w:rsidR="00FC6785" w:rsidRPr="00E2031B">
        <w:rPr>
          <w:rFonts w:ascii="Arial" w:hAnsi="Arial" w:cs="Arial"/>
        </w:rPr>
        <w:t xml:space="preserve"> </w:t>
      </w:r>
      <w:r w:rsidR="004E6762" w:rsidRPr="00E2031B">
        <w:rPr>
          <w:rFonts w:ascii="Arial" w:hAnsi="Arial" w:cs="Arial"/>
        </w:rPr>
        <w:t>Compass</w:t>
      </w:r>
      <w:r w:rsidR="00FC6785" w:rsidRPr="00E2031B">
        <w:rPr>
          <w:rFonts w:ascii="Arial" w:hAnsi="Arial" w:cs="Arial"/>
        </w:rPr>
        <w:t xml:space="preserve"> </w:t>
      </w:r>
      <w:r w:rsidR="00FE6855" w:rsidRPr="00E2031B">
        <w:rPr>
          <w:rFonts w:ascii="Arial" w:hAnsi="Arial" w:cs="Arial"/>
        </w:rPr>
        <w:t>using</w:t>
      </w:r>
      <w:r w:rsidR="00DA7F1D" w:rsidRPr="00E2031B">
        <w:rPr>
          <w:rFonts w:ascii="Arial" w:hAnsi="Arial" w:cs="Arial"/>
        </w:rPr>
        <w:t xml:space="preserve"> programming code</w:t>
      </w:r>
      <w:r w:rsidR="007F2F3A" w:rsidRPr="00E2031B">
        <w:rPr>
          <w:rFonts w:ascii="Arial" w:hAnsi="Arial" w:cs="Arial"/>
        </w:rPr>
        <w:t xml:space="preserve"> prior to the </w:t>
      </w:r>
      <w:r w:rsidR="00FE6855" w:rsidRPr="00E2031B">
        <w:rPr>
          <w:rFonts w:ascii="Arial" w:hAnsi="Arial" w:cs="Arial"/>
        </w:rPr>
        <w:t xml:space="preserve">22 </w:t>
      </w:r>
      <w:r w:rsidR="007F2F3A" w:rsidRPr="00E2031B">
        <w:rPr>
          <w:rFonts w:ascii="Arial" w:hAnsi="Arial" w:cs="Arial"/>
        </w:rPr>
        <w:t>March</w:t>
      </w:r>
      <w:r w:rsidR="005F41E8" w:rsidRPr="00E2031B">
        <w:rPr>
          <w:rFonts w:ascii="Arial" w:hAnsi="Arial" w:cs="Arial"/>
        </w:rPr>
        <w:t xml:space="preserve"> 2021,</w:t>
      </w:r>
      <w:r w:rsidR="007F2F3A" w:rsidRPr="00E2031B">
        <w:rPr>
          <w:rFonts w:ascii="Arial" w:hAnsi="Arial" w:cs="Arial"/>
        </w:rPr>
        <w:t xml:space="preserve"> Compass </w:t>
      </w:r>
      <w:r w:rsidR="00535508" w:rsidRPr="00E2031B">
        <w:rPr>
          <w:rFonts w:ascii="Arial" w:hAnsi="Arial" w:cs="Arial"/>
        </w:rPr>
        <w:t>cut-off</w:t>
      </w:r>
      <w:r w:rsidR="007F2F3A" w:rsidRPr="00E2031B">
        <w:rPr>
          <w:rFonts w:ascii="Arial" w:hAnsi="Arial" w:cs="Arial"/>
        </w:rPr>
        <w:t xml:space="preserve"> date</w:t>
      </w:r>
      <w:r w:rsidR="00FC6785" w:rsidRPr="00E2031B">
        <w:rPr>
          <w:rFonts w:ascii="Arial" w:hAnsi="Arial" w:cs="Arial"/>
        </w:rPr>
        <w:t xml:space="preserve">. </w:t>
      </w:r>
    </w:p>
    <w:p w14:paraId="0FA5D5A9" w14:textId="77777777" w:rsidR="00CC7C50" w:rsidRPr="00E2031B" w:rsidRDefault="00CC7C50" w:rsidP="00E2031B">
      <w:pPr>
        <w:spacing w:after="0" w:line="240" w:lineRule="auto"/>
        <w:rPr>
          <w:rFonts w:ascii="Arial" w:hAnsi="Arial" w:cs="Arial"/>
        </w:rPr>
      </w:pPr>
    </w:p>
    <w:p w14:paraId="0C11A0D0" w14:textId="77EA1ADE" w:rsidR="00B01C30" w:rsidRPr="00E2031B" w:rsidRDefault="00B01C30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 xml:space="preserve">Abatements will be recovered in </w:t>
      </w:r>
      <w:r w:rsidR="00AE61C9" w:rsidRPr="00E2031B">
        <w:rPr>
          <w:rFonts w:ascii="Arial" w:hAnsi="Arial" w:cs="Arial"/>
        </w:rPr>
        <w:t>four</w:t>
      </w:r>
      <w:r w:rsidRPr="00E2031B">
        <w:rPr>
          <w:rFonts w:ascii="Arial" w:hAnsi="Arial" w:cs="Arial"/>
        </w:rPr>
        <w:t xml:space="preserve"> instalments between </w:t>
      </w:r>
      <w:r w:rsidR="005E7B3D" w:rsidRPr="00E2031B">
        <w:rPr>
          <w:rFonts w:ascii="Arial" w:hAnsi="Arial" w:cs="Arial"/>
        </w:rPr>
        <w:t>Compass payment on 1 April 2021 (March’s schedule) and be completed by 1 July 2021 (June’s schedule)</w:t>
      </w:r>
    </w:p>
    <w:p w14:paraId="6ECDACCD" w14:textId="18E14889" w:rsidR="0066225E" w:rsidRPr="00E2031B" w:rsidRDefault="00014123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Compass</w:t>
      </w:r>
      <w:r w:rsidR="00FC6785" w:rsidRPr="00E2031B">
        <w:rPr>
          <w:rFonts w:ascii="Arial" w:hAnsi="Arial" w:cs="Arial"/>
        </w:rPr>
        <w:t xml:space="preserve"> adjustment code: </w:t>
      </w:r>
      <w:r w:rsidR="00B83105" w:rsidRPr="00E2031B">
        <w:rPr>
          <w:rFonts w:ascii="Arial" w:hAnsi="Arial" w:cs="Arial"/>
        </w:rPr>
        <w:t xml:space="preserve"> </w:t>
      </w:r>
      <w:r w:rsidR="0066225E" w:rsidRPr="00E2031B">
        <w:rPr>
          <w:rFonts w:ascii="Arial" w:hAnsi="Arial" w:cs="Arial"/>
        </w:rPr>
        <w:t>ABAT1_2021 - Abatements for period 1 April to 7 June 2020</w:t>
      </w:r>
    </w:p>
    <w:p w14:paraId="37B5B5B2" w14:textId="65937ECE" w:rsidR="000F23B7" w:rsidRPr="00E2031B" w:rsidRDefault="000F23B7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>NHSBSA PAD will create a</w:t>
      </w:r>
      <w:r w:rsidR="00C067E6" w:rsidRPr="00E2031B">
        <w:rPr>
          <w:rFonts w:ascii="Arial" w:hAnsi="Arial" w:cs="Arial"/>
        </w:rPr>
        <w:t xml:space="preserve"> report in Eden</w:t>
      </w:r>
      <w:r w:rsidRPr="00E2031B">
        <w:rPr>
          <w:rFonts w:ascii="Arial" w:hAnsi="Arial" w:cs="Arial"/>
        </w:rPr>
        <w:t>, which will allow RTs to run a report to show the total amount of abatement for their region</w:t>
      </w:r>
      <w:r w:rsidR="005F41E8" w:rsidRPr="00E2031B">
        <w:rPr>
          <w:rFonts w:ascii="Arial" w:hAnsi="Arial" w:cs="Arial"/>
        </w:rPr>
        <w:t>/STP</w:t>
      </w:r>
      <w:r w:rsidRPr="00E2031B">
        <w:rPr>
          <w:rFonts w:ascii="Arial" w:hAnsi="Arial" w:cs="Arial"/>
        </w:rPr>
        <w:t>.</w:t>
      </w:r>
    </w:p>
    <w:p w14:paraId="15A86FC3" w14:textId="77777777" w:rsidR="000F23B7" w:rsidRPr="00E2031B" w:rsidRDefault="000F23B7" w:rsidP="00E2031B">
      <w:pPr>
        <w:spacing w:after="0" w:line="240" w:lineRule="auto"/>
        <w:rPr>
          <w:rFonts w:ascii="Arial" w:hAnsi="Arial" w:cs="Arial"/>
        </w:rPr>
      </w:pPr>
    </w:p>
    <w:p w14:paraId="0D8397EA" w14:textId="3C6B7619" w:rsidR="008F6080" w:rsidRPr="00E2031B" w:rsidRDefault="008E0090" w:rsidP="00E2031B">
      <w:pPr>
        <w:pStyle w:val="Heading3"/>
        <w:numPr>
          <w:ilvl w:val="0"/>
          <w:numId w:val="7"/>
        </w:numPr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9" w:name="_Toc65231752"/>
      <w:r w:rsidRPr="00E2031B">
        <w:rPr>
          <w:rFonts w:ascii="Arial" w:hAnsi="Arial" w:cs="Arial"/>
          <w:b/>
          <w:bCs/>
          <w:color w:val="auto"/>
          <w:sz w:val="22"/>
          <w:szCs w:val="22"/>
        </w:rPr>
        <w:t>Abatement letters p</w:t>
      </w:r>
      <w:r w:rsidR="008F6080" w:rsidRPr="00E2031B">
        <w:rPr>
          <w:rFonts w:ascii="Arial" w:hAnsi="Arial" w:cs="Arial"/>
          <w:b/>
          <w:bCs/>
          <w:color w:val="auto"/>
          <w:sz w:val="22"/>
          <w:szCs w:val="22"/>
        </w:rPr>
        <w:t>ublish</w:t>
      </w:r>
      <w:r w:rsidRPr="00E2031B">
        <w:rPr>
          <w:rFonts w:ascii="Arial" w:hAnsi="Arial" w:cs="Arial"/>
          <w:b/>
          <w:bCs/>
          <w:color w:val="auto"/>
          <w:sz w:val="22"/>
          <w:szCs w:val="22"/>
        </w:rPr>
        <w:t>ed in Compass</w:t>
      </w:r>
      <w:bookmarkEnd w:id="9"/>
    </w:p>
    <w:p w14:paraId="5F6B4ED4" w14:textId="77777777" w:rsidR="008F6080" w:rsidRPr="00E2031B" w:rsidRDefault="008F6080" w:rsidP="00E2031B">
      <w:pPr>
        <w:spacing w:after="0" w:line="240" w:lineRule="auto"/>
        <w:rPr>
          <w:rFonts w:ascii="Arial" w:hAnsi="Arial" w:cs="Arial"/>
        </w:rPr>
      </w:pPr>
    </w:p>
    <w:p w14:paraId="15448A01" w14:textId="5F2587FA" w:rsidR="00FC6785" w:rsidRDefault="00DA1C68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 xml:space="preserve">NHSBSA PAD will publish </w:t>
      </w:r>
      <w:r w:rsidR="00CC7C50">
        <w:rPr>
          <w:rFonts w:ascii="Arial" w:hAnsi="Arial" w:cs="Arial"/>
        </w:rPr>
        <w:t>a</w:t>
      </w:r>
      <w:r w:rsidR="00FC6785" w:rsidRPr="00E2031B">
        <w:rPr>
          <w:rFonts w:ascii="Arial" w:hAnsi="Arial" w:cs="Arial"/>
        </w:rPr>
        <w:t>batement letter</w:t>
      </w:r>
      <w:r w:rsidRPr="00E2031B">
        <w:rPr>
          <w:rFonts w:ascii="Arial" w:hAnsi="Arial" w:cs="Arial"/>
        </w:rPr>
        <w:t>s</w:t>
      </w:r>
      <w:r w:rsidR="00FC6785" w:rsidRPr="00E2031B">
        <w:rPr>
          <w:rFonts w:ascii="Arial" w:hAnsi="Arial" w:cs="Arial"/>
        </w:rPr>
        <w:t xml:space="preserve"> in </w:t>
      </w:r>
      <w:r w:rsidR="00014123" w:rsidRPr="00E2031B">
        <w:rPr>
          <w:rFonts w:ascii="Arial" w:hAnsi="Arial" w:cs="Arial"/>
        </w:rPr>
        <w:t>Compass</w:t>
      </w:r>
      <w:r w:rsidR="00FC6785" w:rsidRPr="00E2031B">
        <w:rPr>
          <w:rFonts w:ascii="Arial" w:hAnsi="Arial" w:cs="Arial"/>
        </w:rPr>
        <w:t xml:space="preserve"> during the week </w:t>
      </w:r>
      <w:r w:rsidR="000179FC" w:rsidRPr="00E2031B">
        <w:rPr>
          <w:rFonts w:ascii="Arial" w:hAnsi="Arial" w:cs="Arial"/>
        </w:rPr>
        <w:t>commencing 22 March 2021</w:t>
      </w:r>
      <w:r w:rsidR="00EE36A6" w:rsidRPr="00E2031B">
        <w:rPr>
          <w:rFonts w:ascii="Arial" w:hAnsi="Arial" w:cs="Arial"/>
          <w:color w:val="FF0000"/>
        </w:rPr>
        <w:t xml:space="preserve"> </w:t>
      </w:r>
      <w:r w:rsidR="00EE36A6" w:rsidRPr="00E2031B">
        <w:rPr>
          <w:rFonts w:ascii="Arial" w:hAnsi="Arial" w:cs="Arial"/>
        </w:rPr>
        <w:t xml:space="preserve">and prior to the first </w:t>
      </w:r>
      <w:r w:rsidR="00736A22" w:rsidRPr="00E2031B">
        <w:rPr>
          <w:rFonts w:ascii="Arial" w:hAnsi="Arial" w:cs="Arial"/>
        </w:rPr>
        <w:t xml:space="preserve">abatement deduction </w:t>
      </w:r>
      <w:r w:rsidR="0017460C" w:rsidRPr="00E2031B">
        <w:rPr>
          <w:rFonts w:ascii="Arial" w:hAnsi="Arial" w:cs="Arial"/>
        </w:rPr>
        <w:t>commencing. A</w:t>
      </w:r>
      <w:r w:rsidR="00FC6785" w:rsidRPr="00E2031B">
        <w:rPr>
          <w:rFonts w:ascii="Arial" w:hAnsi="Arial" w:cs="Arial"/>
        </w:rPr>
        <w:t xml:space="preserve"> mail chimp</w:t>
      </w:r>
      <w:r w:rsidR="0017460C" w:rsidRPr="00E2031B">
        <w:rPr>
          <w:rFonts w:ascii="Arial" w:hAnsi="Arial" w:cs="Arial"/>
        </w:rPr>
        <w:t xml:space="preserve"> notification</w:t>
      </w:r>
      <w:r w:rsidR="00FC6785" w:rsidRPr="00E2031B">
        <w:rPr>
          <w:rFonts w:ascii="Arial" w:hAnsi="Arial" w:cs="Arial"/>
        </w:rPr>
        <w:t xml:space="preserve"> will be sent to all </w:t>
      </w:r>
      <w:r w:rsidR="000179FC" w:rsidRPr="00E2031B">
        <w:rPr>
          <w:rFonts w:ascii="Arial" w:hAnsi="Arial" w:cs="Arial"/>
        </w:rPr>
        <w:t>approp</w:t>
      </w:r>
      <w:r w:rsidR="0048785F" w:rsidRPr="00E2031B">
        <w:rPr>
          <w:rFonts w:ascii="Arial" w:hAnsi="Arial" w:cs="Arial"/>
        </w:rPr>
        <w:t xml:space="preserve">riate </w:t>
      </w:r>
      <w:r w:rsidR="00FC6785" w:rsidRPr="00E2031B">
        <w:rPr>
          <w:rFonts w:ascii="Arial" w:hAnsi="Arial" w:cs="Arial"/>
        </w:rPr>
        <w:t>business owner email addresses to communicate</w:t>
      </w:r>
      <w:r w:rsidR="00014123" w:rsidRPr="00E2031B">
        <w:rPr>
          <w:rFonts w:ascii="Arial" w:hAnsi="Arial" w:cs="Arial"/>
        </w:rPr>
        <w:t xml:space="preserve"> to Providers</w:t>
      </w:r>
      <w:r w:rsidR="00FC6785" w:rsidRPr="00E2031B">
        <w:rPr>
          <w:rFonts w:ascii="Arial" w:hAnsi="Arial" w:cs="Arial"/>
        </w:rPr>
        <w:t xml:space="preserve"> when the</w:t>
      </w:r>
      <w:r w:rsidR="001D3434" w:rsidRPr="00E2031B">
        <w:rPr>
          <w:rFonts w:ascii="Arial" w:hAnsi="Arial" w:cs="Arial"/>
        </w:rPr>
        <w:t xml:space="preserve">ir </w:t>
      </w:r>
      <w:r w:rsidR="0017460C" w:rsidRPr="00E2031B">
        <w:rPr>
          <w:rFonts w:ascii="Arial" w:hAnsi="Arial" w:cs="Arial"/>
        </w:rPr>
        <w:t xml:space="preserve">Abatement </w:t>
      </w:r>
      <w:r w:rsidR="001D3434" w:rsidRPr="00E2031B">
        <w:rPr>
          <w:rFonts w:ascii="Arial" w:hAnsi="Arial" w:cs="Arial"/>
        </w:rPr>
        <w:t xml:space="preserve">letter </w:t>
      </w:r>
      <w:r w:rsidR="0017460C" w:rsidRPr="00E2031B">
        <w:rPr>
          <w:rFonts w:ascii="Arial" w:hAnsi="Arial" w:cs="Arial"/>
        </w:rPr>
        <w:t xml:space="preserve">is </w:t>
      </w:r>
      <w:r w:rsidR="001D3434" w:rsidRPr="00E2031B">
        <w:rPr>
          <w:rFonts w:ascii="Arial" w:hAnsi="Arial" w:cs="Arial"/>
        </w:rPr>
        <w:t>ready</w:t>
      </w:r>
      <w:r w:rsidR="00FC6785" w:rsidRPr="00E2031B">
        <w:rPr>
          <w:rFonts w:ascii="Arial" w:hAnsi="Arial" w:cs="Arial"/>
        </w:rPr>
        <w:t xml:space="preserve"> to</w:t>
      </w:r>
      <w:r w:rsidR="001D3434" w:rsidRPr="00E2031B">
        <w:rPr>
          <w:rFonts w:ascii="Arial" w:hAnsi="Arial" w:cs="Arial"/>
        </w:rPr>
        <w:t xml:space="preserve"> be</w:t>
      </w:r>
      <w:r w:rsidR="00FC6785" w:rsidRPr="00E2031B">
        <w:rPr>
          <w:rFonts w:ascii="Arial" w:hAnsi="Arial" w:cs="Arial"/>
        </w:rPr>
        <w:t xml:space="preserve"> view</w:t>
      </w:r>
      <w:r w:rsidR="001D3434" w:rsidRPr="00E2031B">
        <w:rPr>
          <w:rFonts w:ascii="Arial" w:hAnsi="Arial" w:cs="Arial"/>
        </w:rPr>
        <w:t>ed</w:t>
      </w:r>
      <w:r w:rsidR="00FC6785" w:rsidRPr="00E2031B">
        <w:rPr>
          <w:rFonts w:ascii="Arial" w:hAnsi="Arial" w:cs="Arial"/>
        </w:rPr>
        <w:t>.</w:t>
      </w:r>
    </w:p>
    <w:p w14:paraId="55357749" w14:textId="77777777" w:rsidR="00CC7C50" w:rsidRPr="00E2031B" w:rsidRDefault="00CC7C50" w:rsidP="00E2031B">
      <w:pPr>
        <w:spacing w:after="0" w:line="240" w:lineRule="auto"/>
        <w:rPr>
          <w:rFonts w:ascii="Arial" w:hAnsi="Arial" w:cs="Arial"/>
        </w:rPr>
      </w:pPr>
    </w:p>
    <w:p w14:paraId="2D4669AF" w14:textId="77777777" w:rsidR="00B01C30" w:rsidRPr="00E2031B" w:rsidRDefault="00B01C30" w:rsidP="00E2031B">
      <w:pPr>
        <w:pStyle w:val="Heading3"/>
        <w:numPr>
          <w:ilvl w:val="0"/>
          <w:numId w:val="7"/>
        </w:numPr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10" w:name="_Toc65231753"/>
      <w:r w:rsidRPr="00E2031B">
        <w:rPr>
          <w:rFonts w:ascii="Arial" w:hAnsi="Arial" w:cs="Arial"/>
          <w:b/>
          <w:bCs/>
          <w:color w:val="auto"/>
          <w:sz w:val="22"/>
          <w:szCs w:val="22"/>
        </w:rPr>
        <w:t>Query Management</w:t>
      </w:r>
      <w:bookmarkEnd w:id="10"/>
      <w:r w:rsidRPr="00E2031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B93BBA0" w14:textId="77777777" w:rsidR="00B01C30" w:rsidRPr="00E2031B" w:rsidRDefault="00B01C30" w:rsidP="00E2031B">
      <w:pPr>
        <w:spacing w:after="0" w:line="240" w:lineRule="auto"/>
        <w:rPr>
          <w:rFonts w:ascii="Arial" w:hAnsi="Arial" w:cs="Arial"/>
        </w:rPr>
      </w:pPr>
    </w:p>
    <w:p w14:paraId="4D8A7FD1" w14:textId="02F88A0D" w:rsidR="00234F49" w:rsidRPr="00E2031B" w:rsidRDefault="00234F49" w:rsidP="00E2031B">
      <w:pPr>
        <w:spacing w:after="0" w:line="240" w:lineRule="auto"/>
        <w:rPr>
          <w:rFonts w:ascii="Arial" w:hAnsi="Arial" w:cs="Arial"/>
        </w:rPr>
      </w:pPr>
      <w:r w:rsidRPr="00E2031B">
        <w:rPr>
          <w:rFonts w:ascii="Arial" w:hAnsi="Arial" w:cs="Arial"/>
        </w:rPr>
        <w:t xml:space="preserve">All queries </w:t>
      </w:r>
      <w:r w:rsidR="0048785F" w:rsidRPr="00E2031B">
        <w:rPr>
          <w:rFonts w:ascii="Arial" w:hAnsi="Arial" w:cs="Arial"/>
        </w:rPr>
        <w:t xml:space="preserve">will </w:t>
      </w:r>
      <w:r w:rsidRPr="00E2031B">
        <w:rPr>
          <w:rFonts w:ascii="Arial" w:hAnsi="Arial" w:cs="Arial"/>
        </w:rPr>
        <w:t xml:space="preserve">form part of the NHSBSA PAD remit. RTs are advised to sign post enquires/queries to NHSBSA. All queries from a Provider will be acknowledged within 5 working days of receipt. </w:t>
      </w:r>
    </w:p>
    <w:p w14:paraId="40233ED9" w14:textId="7F2E0043" w:rsidR="00023975" w:rsidRDefault="00023975" w:rsidP="00E2031B">
      <w:pPr>
        <w:pStyle w:val="Heading1"/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11" w:name="_Toc65231754"/>
    </w:p>
    <w:p w14:paraId="45104358" w14:textId="77777777" w:rsidR="00CC7C50" w:rsidRPr="00E2031B" w:rsidRDefault="00CC7C50" w:rsidP="00E2031B">
      <w:pPr>
        <w:spacing w:after="0" w:line="240" w:lineRule="auto"/>
        <w:rPr>
          <w:rFonts w:ascii="Arial" w:hAnsi="Arial" w:cs="Arial"/>
        </w:rPr>
      </w:pPr>
    </w:p>
    <w:p w14:paraId="4C1C55D5" w14:textId="232ED803" w:rsidR="00F76EE3" w:rsidRPr="00CC7C50" w:rsidRDefault="00F76EE3" w:rsidP="00E2031B">
      <w:pPr>
        <w:pStyle w:val="Heading1"/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CC7C50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Timeline </w:t>
      </w:r>
      <w:r w:rsidR="00B97CA1" w:rsidRPr="00CC7C50">
        <w:rPr>
          <w:rFonts w:ascii="Arial" w:hAnsi="Arial" w:cs="Arial"/>
          <w:b/>
          <w:bCs/>
          <w:color w:val="auto"/>
          <w:sz w:val="22"/>
          <w:szCs w:val="22"/>
          <w:u w:val="single"/>
        </w:rPr>
        <w:t>for</w:t>
      </w:r>
      <w:r w:rsidRPr="00CC7C50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delivery</w:t>
      </w:r>
      <w:bookmarkEnd w:id="11"/>
      <w:r w:rsidRPr="00CC7C50">
        <w:rPr>
          <w:rFonts w:ascii="Arial" w:hAnsi="Arial" w:cs="Arial"/>
          <w:b/>
          <w:bCs/>
          <w:color w:val="auto"/>
          <w:sz w:val="22"/>
          <w:szCs w:val="22"/>
          <w:u w:val="single"/>
        </w:rPr>
        <w:t>  </w:t>
      </w:r>
    </w:p>
    <w:p w14:paraId="5FB39641" w14:textId="77777777" w:rsidR="0032174D" w:rsidRPr="00E2031B" w:rsidRDefault="0032174D" w:rsidP="00E2031B">
      <w:pPr>
        <w:spacing w:after="0" w:line="240" w:lineRule="auto"/>
        <w:rPr>
          <w:rFonts w:ascii="Arial" w:hAnsi="Arial" w:cs="Arial"/>
          <w:lang w:eastAsia="en-GB"/>
        </w:rPr>
      </w:pPr>
    </w:p>
    <w:tbl>
      <w:tblPr>
        <w:tblW w:w="80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402"/>
        <w:gridCol w:w="5711"/>
      </w:tblGrid>
      <w:tr w:rsidR="00023975" w:rsidRPr="00E2031B" w14:paraId="6527BBD7" w14:textId="77777777" w:rsidTr="00023975">
        <w:trPr>
          <w:trHeight w:val="525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6027" w14:textId="3163BAFF" w:rsidR="00023975" w:rsidRPr="00E2031B" w:rsidRDefault="007B05BB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E2031B">
              <w:rPr>
                <w:rFonts w:ascii="Arial" w:eastAsia="Times New Roman" w:hAnsi="Arial" w:cs="Arial"/>
                <w:b/>
                <w:bCs/>
                <w:lang w:eastAsia="en-GB"/>
              </w:rPr>
              <w:t>Step of Process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5AC6F" w14:textId="247E7F38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b/>
                <w:bCs/>
                <w:lang w:eastAsia="en-GB"/>
              </w:rPr>
              <w:t>Deadline/ Completion Date</w:t>
            </w:r>
          </w:p>
        </w:tc>
        <w:tc>
          <w:tcPr>
            <w:tcW w:w="57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51948" w14:textId="77777777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b/>
                <w:bCs/>
                <w:lang w:eastAsia="en-GB"/>
              </w:rPr>
              <w:t>Description</w:t>
            </w:r>
            <w:r w:rsidRPr="00E2031B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23975" w:rsidRPr="00E2031B" w14:paraId="6CD00FD9" w14:textId="77777777" w:rsidTr="00023975">
        <w:trPr>
          <w:trHeight w:val="599"/>
        </w:trPr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C7F7" w14:textId="5B18C430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E1B65" w14:textId="5DD6B27A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26/02/2021   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25180" w14:textId="77777777" w:rsidR="00023975" w:rsidRDefault="00CC7C50" w:rsidP="00CC7C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In preparation for the legislation being laid, </w:t>
            </w:r>
            <w:r w:rsidR="00023975" w:rsidRPr="00E2031B">
              <w:rPr>
                <w:rFonts w:ascii="Arial" w:eastAsia="Times New Roman" w:hAnsi="Arial" w:cs="Arial"/>
                <w:lang w:eastAsia="en-GB"/>
              </w:rPr>
              <w:t xml:space="preserve">spreadsheets </w:t>
            </w:r>
            <w:r>
              <w:rPr>
                <w:rFonts w:ascii="Arial" w:eastAsia="Times New Roman" w:hAnsi="Arial" w:cs="Arial"/>
                <w:lang w:eastAsia="en-GB"/>
              </w:rPr>
              <w:t xml:space="preserve">have been sent to </w:t>
            </w:r>
            <w:r w:rsidR="00023975" w:rsidRPr="00E2031B">
              <w:rPr>
                <w:rFonts w:ascii="Arial" w:eastAsia="Times New Roman" w:hAnsi="Arial" w:cs="Arial"/>
                <w:lang w:eastAsia="en-GB"/>
              </w:rPr>
              <w:t>Regional Teams </w:t>
            </w:r>
            <w:r>
              <w:rPr>
                <w:rFonts w:ascii="Arial" w:eastAsia="Times New Roman" w:hAnsi="Arial" w:cs="Arial"/>
                <w:lang w:eastAsia="en-GB"/>
              </w:rPr>
              <w:t>to identify and confirm exempt dental contracts and agreements</w:t>
            </w:r>
          </w:p>
          <w:p w14:paraId="69B556CE" w14:textId="20D7A85A" w:rsidR="00CC7C50" w:rsidRPr="00E2031B" w:rsidRDefault="00CC7C50" w:rsidP="00CC7C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975" w:rsidRPr="00E2031B" w14:paraId="76768FDF" w14:textId="77777777" w:rsidTr="00023975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8A8B2" w14:textId="2CFB8F50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FCF112" w14:textId="231D7794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05/03/2021  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6F276" w14:textId="77777777" w:rsidR="00023975" w:rsidRDefault="00023975" w:rsidP="00CC7C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 xml:space="preserve">Deadline for Regional Teams to return </w:t>
            </w:r>
            <w:r w:rsidR="00CC7C50">
              <w:rPr>
                <w:rFonts w:ascii="Arial" w:eastAsia="Times New Roman" w:hAnsi="Arial" w:cs="Arial"/>
                <w:lang w:eastAsia="en-GB"/>
              </w:rPr>
              <w:t>a</w:t>
            </w:r>
            <w:r w:rsidRPr="00E2031B">
              <w:rPr>
                <w:rFonts w:ascii="Arial" w:eastAsia="Times New Roman" w:hAnsi="Arial" w:cs="Arial"/>
                <w:lang w:eastAsia="en-GB"/>
              </w:rPr>
              <w:t>batements spreadsheets  </w:t>
            </w:r>
          </w:p>
          <w:p w14:paraId="1623CCDA" w14:textId="32DD55F2" w:rsidR="00CC7C50" w:rsidRPr="00E2031B" w:rsidRDefault="00CC7C50" w:rsidP="00CC7C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975" w:rsidRPr="00E2031B" w14:paraId="07778A38" w14:textId="77777777" w:rsidTr="00023975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2008" w14:textId="49B5CC73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lastRenderedPageBreak/>
              <w:t>3</w:t>
            </w: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DF2CC" w14:textId="77777777" w:rsidR="00CC7C50" w:rsidRDefault="00023975" w:rsidP="00CC7C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8</w:t>
            </w:r>
            <w:r w:rsidR="004E7C8C" w:rsidRPr="00E2031B">
              <w:rPr>
                <w:rFonts w:ascii="Arial" w:eastAsia="Times New Roman" w:hAnsi="Arial" w:cs="Arial"/>
                <w:lang w:eastAsia="en-GB"/>
              </w:rPr>
              <w:t>/03/</w:t>
            </w:r>
            <w:r w:rsidRPr="00E2031B">
              <w:rPr>
                <w:rFonts w:ascii="Arial" w:eastAsia="Times New Roman" w:hAnsi="Arial" w:cs="Arial"/>
                <w:lang w:eastAsia="en-GB"/>
              </w:rPr>
              <w:t>2021 onwards</w:t>
            </w:r>
          </w:p>
          <w:p w14:paraId="3D7A658F" w14:textId="372D41B1" w:rsidR="00CC7C50" w:rsidRPr="00E2031B" w:rsidRDefault="00CC7C50" w:rsidP="00CC7C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AC3B9C" w14:textId="77777777" w:rsidR="00023975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NHSBSA PAD calculate abatement </w:t>
            </w:r>
          </w:p>
          <w:p w14:paraId="1B96E90E" w14:textId="3CC298C0" w:rsidR="00CC7C50" w:rsidRPr="00E2031B" w:rsidRDefault="00CC7C50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975" w:rsidRPr="00E2031B" w14:paraId="71881065" w14:textId="77777777" w:rsidTr="00023975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DBD42" w14:textId="5E713031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1D389" w14:textId="1255C92D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19/03/2021  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086B1" w14:textId="77777777" w:rsidR="00023975" w:rsidRDefault="00023975" w:rsidP="00CC7C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Abatement Adjustments to be entered in Compass</w:t>
            </w:r>
          </w:p>
          <w:p w14:paraId="226E0379" w14:textId="67EBC850" w:rsidR="00CC7C50" w:rsidRPr="00E2031B" w:rsidRDefault="00CC7C50" w:rsidP="00CC7C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23975" w:rsidRPr="00E2031B" w14:paraId="0124B2D7" w14:textId="77777777" w:rsidTr="00023975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A5CC" w14:textId="2BB6AFD6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9F1EC" w14:textId="7DE22313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Week commencing 22/03/2021  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2AEB2" w14:textId="1BD86E6B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 xml:space="preserve">Publish </w:t>
            </w:r>
            <w:r w:rsidR="00CC7C50">
              <w:rPr>
                <w:rFonts w:ascii="Arial" w:eastAsia="Times New Roman" w:hAnsi="Arial" w:cs="Arial"/>
                <w:lang w:eastAsia="en-GB"/>
              </w:rPr>
              <w:t>l</w:t>
            </w:r>
            <w:r w:rsidRPr="00E2031B">
              <w:rPr>
                <w:rFonts w:ascii="Arial" w:eastAsia="Times New Roman" w:hAnsi="Arial" w:cs="Arial"/>
                <w:lang w:eastAsia="en-GB"/>
              </w:rPr>
              <w:t>etters in Compass</w:t>
            </w:r>
          </w:p>
        </w:tc>
      </w:tr>
      <w:tr w:rsidR="00023975" w:rsidRPr="00E2031B" w14:paraId="6A784092" w14:textId="77777777" w:rsidTr="00023975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570E" w14:textId="1A8466C2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DA337" w14:textId="488B9C15" w:rsidR="00023975" w:rsidRPr="00E2031B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1/04/2021  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20B05" w14:textId="77777777" w:rsidR="00023975" w:rsidRDefault="00023975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Abatements to commence with 4 instalments </w:t>
            </w:r>
          </w:p>
          <w:p w14:paraId="50085380" w14:textId="5910B664" w:rsidR="00CC7C50" w:rsidRPr="00E2031B" w:rsidRDefault="00CC7C50" w:rsidP="00E203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C7C50" w:rsidRPr="00E2031B" w14:paraId="24A41068" w14:textId="77777777" w:rsidTr="00712398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6C8D" w14:textId="0E5054A2" w:rsidR="00CC7C50" w:rsidRPr="00E2031B" w:rsidRDefault="00F76EE3" w:rsidP="007123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 </w:t>
            </w:r>
            <w:r w:rsidR="00CC7C50">
              <w:rPr>
                <w:rFonts w:ascii="Arial" w:eastAsia="Times New Roman" w:hAnsi="Arial" w:cs="Arial"/>
                <w:lang w:eastAsia="en-GB"/>
              </w:rPr>
              <w:t>7</w:t>
            </w:r>
          </w:p>
        </w:tc>
        <w:tc>
          <w:tcPr>
            <w:tcW w:w="1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80E3A" w14:textId="77777777" w:rsidR="00CC7C50" w:rsidRPr="00E2031B" w:rsidRDefault="00CC7C50" w:rsidP="0071239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E2031B">
              <w:rPr>
                <w:rFonts w:ascii="Arial" w:eastAsia="Times New Roman" w:hAnsi="Arial" w:cs="Arial"/>
                <w:lang w:eastAsia="en-GB"/>
              </w:rPr>
              <w:t>1/04/2021  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83144" w14:textId="77777777" w:rsidR="00CC7C50" w:rsidRDefault="00CC7C50" w:rsidP="00CC7C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Reporting arrangements to be in place for NHS England and NHS Improvement commissioning and finance leads</w:t>
            </w:r>
          </w:p>
          <w:p w14:paraId="65C72A06" w14:textId="036D7CC5" w:rsidR="00CC7C50" w:rsidRPr="00E2031B" w:rsidRDefault="00CC7C50" w:rsidP="00CC7C5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2521089" w14:textId="6B73B2A4" w:rsidR="00F76EE3" w:rsidRPr="00E2031B" w:rsidRDefault="00F76EE3" w:rsidP="00E2031B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52D5ED21" w14:textId="77777777" w:rsidR="00F76EE3" w:rsidRPr="00E2031B" w:rsidRDefault="00F76EE3" w:rsidP="00E2031B">
      <w:pPr>
        <w:spacing w:after="0" w:line="240" w:lineRule="auto"/>
        <w:rPr>
          <w:rFonts w:ascii="Arial" w:hAnsi="Arial" w:cs="Arial"/>
        </w:rPr>
      </w:pPr>
    </w:p>
    <w:p w14:paraId="77D86C97" w14:textId="44CAD198" w:rsidR="00491F6C" w:rsidRPr="00E2031B" w:rsidRDefault="00491F6C" w:rsidP="00E2031B">
      <w:pPr>
        <w:spacing w:after="0" w:line="240" w:lineRule="auto"/>
        <w:rPr>
          <w:rFonts w:ascii="Arial" w:hAnsi="Arial" w:cs="Arial"/>
        </w:rPr>
      </w:pPr>
    </w:p>
    <w:p w14:paraId="33D78E0F" w14:textId="1AD478C7" w:rsidR="00491F6C" w:rsidRPr="00E2031B" w:rsidRDefault="00491F6C" w:rsidP="0066225E">
      <w:pPr>
        <w:rPr>
          <w:rFonts w:ascii="Arial" w:hAnsi="Arial" w:cs="Arial"/>
        </w:rPr>
      </w:pPr>
    </w:p>
    <w:p w14:paraId="642A3AEA" w14:textId="43230DEE" w:rsidR="00491F6C" w:rsidRPr="00E2031B" w:rsidRDefault="00491F6C" w:rsidP="0066225E">
      <w:pPr>
        <w:rPr>
          <w:rFonts w:ascii="Arial" w:hAnsi="Arial" w:cs="Arial"/>
        </w:rPr>
      </w:pPr>
    </w:p>
    <w:p w14:paraId="762529A6" w14:textId="77777777" w:rsidR="00491F6C" w:rsidRPr="00E2031B" w:rsidRDefault="00491F6C" w:rsidP="0066225E">
      <w:pPr>
        <w:rPr>
          <w:rFonts w:ascii="Arial" w:hAnsi="Arial" w:cs="Arial"/>
        </w:rPr>
      </w:pPr>
    </w:p>
    <w:sectPr w:rsidR="00491F6C" w:rsidRPr="00E2031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481C7" w14:textId="77777777" w:rsidR="00375298" w:rsidRDefault="00375298" w:rsidP="00375298">
      <w:pPr>
        <w:spacing w:after="0" w:line="240" w:lineRule="auto"/>
      </w:pPr>
      <w:r>
        <w:separator/>
      </w:r>
    </w:p>
  </w:endnote>
  <w:endnote w:type="continuationSeparator" w:id="0">
    <w:p w14:paraId="4EDEAB96" w14:textId="77777777" w:rsidR="00375298" w:rsidRDefault="00375298" w:rsidP="0037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2236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AD482" w14:textId="3131D2DD" w:rsidR="00375298" w:rsidRDefault="003752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118214" w14:textId="77777777" w:rsidR="00375298" w:rsidRDefault="00375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58439" w14:textId="77777777" w:rsidR="00375298" w:rsidRDefault="00375298" w:rsidP="00375298">
      <w:pPr>
        <w:spacing w:after="0" w:line="240" w:lineRule="auto"/>
      </w:pPr>
      <w:r>
        <w:separator/>
      </w:r>
    </w:p>
  </w:footnote>
  <w:footnote w:type="continuationSeparator" w:id="0">
    <w:p w14:paraId="77D2FFB7" w14:textId="77777777" w:rsidR="00375298" w:rsidRDefault="00375298" w:rsidP="0037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312724"/>
      <w:docPartObj>
        <w:docPartGallery w:val="Watermarks"/>
        <w:docPartUnique/>
      </w:docPartObj>
    </w:sdtPr>
    <w:sdtEndPr/>
    <w:sdtContent>
      <w:p w14:paraId="35D829FA" w14:textId="6E326D01" w:rsidR="00375298" w:rsidRDefault="00FB0E2F">
        <w:pPr>
          <w:pStyle w:val="Header"/>
        </w:pPr>
        <w:r>
          <w:rPr>
            <w:noProof/>
          </w:rPr>
          <w:pict w14:anchorId="22604B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D625F"/>
    <w:multiLevelType w:val="hybridMultilevel"/>
    <w:tmpl w:val="3C38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0CDA"/>
    <w:multiLevelType w:val="hybridMultilevel"/>
    <w:tmpl w:val="F684E1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777B3"/>
    <w:multiLevelType w:val="hybridMultilevel"/>
    <w:tmpl w:val="28B88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1A5F"/>
    <w:multiLevelType w:val="hybridMultilevel"/>
    <w:tmpl w:val="1702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456B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B650E"/>
    <w:multiLevelType w:val="hybridMultilevel"/>
    <w:tmpl w:val="AB404A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3117"/>
    <w:multiLevelType w:val="hybridMultilevel"/>
    <w:tmpl w:val="F9028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5E"/>
    <w:rsid w:val="00011E07"/>
    <w:rsid w:val="00014123"/>
    <w:rsid w:val="000179FC"/>
    <w:rsid w:val="00023975"/>
    <w:rsid w:val="00024555"/>
    <w:rsid w:val="0003411A"/>
    <w:rsid w:val="00041BF5"/>
    <w:rsid w:val="000529C4"/>
    <w:rsid w:val="0006143E"/>
    <w:rsid w:val="000705EC"/>
    <w:rsid w:val="00086A55"/>
    <w:rsid w:val="000917CB"/>
    <w:rsid w:val="000E2564"/>
    <w:rsid w:val="000F23B7"/>
    <w:rsid w:val="000F4787"/>
    <w:rsid w:val="00110961"/>
    <w:rsid w:val="00127BBD"/>
    <w:rsid w:val="00131490"/>
    <w:rsid w:val="00150365"/>
    <w:rsid w:val="001530BE"/>
    <w:rsid w:val="00157242"/>
    <w:rsid w:val="0017242C"/>
    <w:rsid w:val="0017460C"/>
    <w:rsid w:val="001762CF"/>
    <w:rsid w:val="00177F21"/>
    <w:rsid w:val="00185C24"/>
    <w:rsid w:val="001B18C5"/>
    <w:rsid w:val="001C5305"/>
    <w:rsid w:val="001C56B7"/>
    <w:rsid w:val="001D3434"/>
    <w:rsid w:val="001E0BD9"/>
    <w:rsid w:val="001F2699"/>
    <w:rsid w:val="00210772"/>
    <w:rsid w:val="002157A2"/>
    <w:rsid w:val="002241C9"/>
    <w:rsid w:val="002349B2"/>
    <w:rsid w:val="00234F49"/>
    <w:rsid w:val="00242611"/>
    <w:rsid w:val="00246152"/>
    <w:rsid w:val="002461C3"/>
    <w:rsid w:val="002A089E"/>
    <w:rsid w:val="002A6BB9"/>
    <w:rsid w:val="002B451A"/>
    <w:rsid w:val="002C0DD6"/>
    <w:rsid w:val="0031535A"/>
    <w:rsid w:val="00315A31"/>
    <w:rsid w:val="0032174D"/>
    <w:rsid w:val="0032443A"/>
    <w:rsid w:val="00361D99"/>
    <w:rsid w:val="00372711"/>
    <w:rsid w:val="00375298"/>
    <w:rsid w:val="00375E92"/>
    <w:rsid w:val="00386737"/>
    <w:rsid w:val="003940F2"/>
    <w:rsid w:val="003E707B"/>
    <w:rsid w:val="003F55FC"/>
    <w:rsid w:val="003FFA3D"/>
    <w:rsid w:val="00402926"/>
    <w:rsid w:val="004106C7"/>
    <w:rsid w:val="00412353"/>
    <w:rsid w:val="004171C7"/>
    <w:rsid w:val="00445517"/>
    <w:rsid w:val="004625A0"/>
    <w:rsid w:val="00472140"/>
    <w:rsid w:val="004745C8"/>
    <w:rsid w:val="004749F9"/>
    <w:rsid w:val="004814B4"/>
    <w:rsid w:val="0048785F"/>
    <w:rsid w:val="00491F6C"/>
    <w:rsid w:val="004A7CB2"/>
    <w:rsid w:val="004B3250"/>
    <w:rsid w:val="004D49F0"/>
    <w:rsid w:val="004D6B13"/>
    <w:rsid w:val="004E45D6"/>
    <w:rsid w:val="004E6762"/>
    <w:rsid w:val="004E7C8C"/>
    <w:rsid w:val="004F0E5A"/>
    <w:rsid w:val="00502F66"/>
    <w:rsid w:val="00507875"/>
    <w:rsid w:val="00511EFE"/>
    <w:rsid w:val="00520497"/>
    <w:rsid w:val="005235A8"/>
    <w:rsid w:val="0052605A"/>
    <w:rsid w:val="0053333D"/>
    <w:rsid w:val="00535508"/>
    <w:rsid w:val="0053611D"/>
    <w:rsid w:val="00553600"/>
    <w:rsid w:val="00567741"/>
    <w:rsid w:val="00571614"/>
    <w:rsid w:val="00575453"/>
    <w:rsid w:val="00582ECD"/>
    <w:rsid w:val="0058668A"/>
    <w:rsid w:val="005903AC"/>
    <w:rsid w:val="005B18F6"/>
    <w:rsid w:val="005D1022"/>
    <w:rsid w:val="005E29ED"/>
    <w:rsid w:val="005E7B3D"/>
    <w:rsid w:val="005F3E4A"/>
    <w:rsid w:val="005F41E8"/>
    <w:rsid w:val="006166BD"/>
    <w:rsid w:val="0062376A"/>
    <w:rsid w:val="006300DB"/>
    <w:rsid w:val="0063025A"/>
    <w:rsid w:val="006427F8"/>
    <w:rsid w:val="0066225E"/>
    <w:rsid w:val="00674E12"/>
    <w:rsid w:val="00675459"/>
    <w:rsid w:val="0068153B"/>
    <w:rsid w:val="0068737B"/>
    <w:rsid w:val="00694920"/>
    <w:rsid w:val="006956C0"/>
    <w:rsid w:val="006962F0"/>
    <w:rsid w:val="006B5171"/>
    <w:rsid w:val="006C1363"/>
    <w:rsid w:val="006C4928"/>
    <w:rsid w:val="006D12F7"/>
    <w:rsid w:val="00704B09"/>
    <w:rsid w:val="007213AA"/>
    <w:rsid w:val="00722DF6"/>
    <w:rsid w:val="00736A22"/>
    <w:rsid w:val="00743232"/>
    <w:rsid w:val="00760CEE"/>
    <w:rsid w:val="0076516E"/>
    <w:rsid w:val="0078157A"/>
    <w:rsid w:val="007859A6"/>
    <w:rsid w:val="00785A3B"/>
    <w:rsid w:val="007A3911"/>
    <w:rsid w:val="007B05BB"/>
    <w:rsid w:val="007C5C20"/>
    <w:rsid w:val="007F2F3A"/>
    <w:rsid w:val="008360A9"/>
    <w:rsid w:val="00842239"/>
    <w:rsid w:val="00843D1D"/>
    <w:rsid w:val="008476CD"/>
    <w:rsid w:val="0086403F"/>
    <w:rsid w:val="008853B4"/>
    <w:rsid w:val="00890B1C"/>
    <w:rsid w:val="0089211C"/>
    <w:rsid w:val="00894756"/>
    <w:rsid w:val="008974E7"/>
    <w:rsid w:val="008A1009"/>
    <w:rsid w:val="008D1873"/>
    <w:rsid w:val="008D7F17"/>
    <w:rsid w:val="008E0090"/>
    <w:rsid w:val="008E5CF8"/>
    <w:rsid w:val="008F2586"/>
    <w:rsid w:val="008F6080"/>
    <w:rsid w:val="009029C4"/>
    <w:rsid w:val="00922AA5"/>
    <w:rsid w:val="009341FC"/>
    <w:rsid w:val="00952985"/>
    <w:rsid w:val="00960B0B"/>
    <w:rsid w:val="00994275"/>
    <w:rsid w:val="009A550F"/>
    <w:rsid w:val="009E6AC2"/>
    <w:rsid w:val="009E7CD3"/>
    <w:rsid w:val="00A52FAB"/>
    <w:rsid w:val="00A640B3"/>
    <w:rsid w:val="00A64D6B"/>
    <w:rsid w:val="00AB4DBE"/>
    <w:rsid w:val="00AE30AF"/>
    <w:rsid w:val="00AE358E"/>
    <w:rsid w:val="00AE61C9"/>
    <w:rsid w:val="00B0154E"/>
    <w:rsid w:val="00B01C30"/>
    <w:rsid w:val="00B422DE"/>
    <w:rsid w:val="00B445C7"/>
    <w:rsid w:val="00B516C7"/>
    <w:rsid w:val="00B54946"/>
    <w:rsid w:val="00B7171F"/>
    <w:rsid w:val="00B73618"/>
    <w:rsid w:val="00B777F6"/>
    <w:rsid w:val="00B83105"/>
    <w:rsid w:val="00B9733C"/>
    <w:rsid w:val="00B97CA1"/>
    <w:rsid w:val="00BC4EF5"/>
    <w:rsid w:val="00BD1FE6"/>
    <w:rsid w:val="00BD35A0"/>
    <w:rsid w:val="00BF183D"/>
    <w:rsid w:val="00C01C28"/>
    <w:rsid w:val="00C067E6"/>
    <w:rsid w:val="00C14498"/>
    <w:rsid w:val="00C15DF3"/>
    <w:rsid w:val="00C17AC4"/>
    <w:rsid w:val="00C50ECD"/>
    <w:rsid w:val="00C567F3"/>
    <w:rsid w:val="00C648A2"/>
    <w:rsid w:val="00C8219D"/>
    <w:rsid w:val="00C9361D"/>
    <w:rsid w:val="00C97E6B"/>
    <w:rsid w:val="00CC7C50"/>
    <w:rsid w:val="00CE1FE8"/>
    <w:rsid w:val="00D0258B"/>
    <w:rsid w:val="00D2529C"/>
    <w:rsid w:val="00D37880"/>
    <w:rsid w:val="00D45D69"/>
    <w:rsid w:val="00D5725D"/>
    <w:rsid w:val="00D73CAD"/>
    <w:rsid w:val="00DA1C68"/>
    <w:rsid w:val="00DA7F1D"/>
    <w:rsid w:val="00DB1D55"/>
    <w:rsid w:val="00DB5AF0"/>
    <w:rsid w:val="00DD0250"/>
    <w:rsid w:val="00DD45CC"/>
    <w:rsid w:val="00E1057C"/>
    <w:rsid w:val="00E17FD0"/>
    <w:rsid w:val="00E2031B"/>
    <w:rsid w:val="00E33F00"/>
    <w:rsid w:val="00E4000B"/>
    <w:rsid w:val="00E751EE"/>
    <w:rsid w:val="00E84162"/>
    <w:rsid w:val="00E867E7"/>
    <w:rsid w:val="00EB2DD5"/>
    <w:rsid w:val="00EC307A"/>
    <w:rsid w:val="00ED6DEC"/>
    <w:rsid w:val="00EE36A6"/>
    <w:rsid w:val="00F04B3F"/>
    <w:rsid w:val="00F0530E"/>
    <w:rsid w:val="00F100DB"/>
    <w:rsid w:val="00F15602"/>
    <w:rsid w:val="00F178C2"/>
    <w:rsid w:val="00F42005"/>
    <w:rsid w:val="00F54261"/>
    <w:rsid w:val="00F76EE3"/>
    <w:rsid w:val="00FA03D2"/>
    <w:rsid w:val="00FA2F10"/>
    <w:rsid w:val="00FB0E2F"/>
    <w:rsid w:val="00FB3BA5"/>
    <w:rsid w:val="00FC6785"/>
    <w:rsid w:val="00FE2A81"/>
    <w:rsid w:val="00FE6855"/>
    <w:rsid w:val="00FF1990"/>
    <w:rsid w:val="06D6EA79"/>
    <w:rsid w:val="08380E56"/>
    <w:rsid w:val="09ABA692"/>
    <w:rsid w:val="0D8BEC3A"/>
    <w:rsid w:val="0E7F17B5"/>
    <w:rsid w:val="0EDDAB47"/>
    <w:rsid w:val="0FBF4690"/>
    <w:rsid w:val="0FC96FD2"/>
    <w:rsid w:val="12DE04B1"/>
    <w:rsid w:val="12EADED2"/>
    <w:rsid w:val="163F9E9A"/>
    <w:rsid w:val="18DC1291"/>
    <w:rsid w:val="1C7A5FC9"/>
    <w:rsid w:val="2126A755"/>
    <w:rsid w:val="2479DD6D"/>
    <w:rsid w:val="266069E6"/>
    <w:rsid w:val="268F128D"/>
    <w:rsid w:val="297F9F5C"/>
    <w:rsid w:val="2A4ADEB6"/>
    <w:rsid w:val="2D6A5435"/>
    <w:rsid w:val="31D1C534"/>
    <w:rsid w:val="388F74CE"/>
    <w:rsid w:val="3C3FD595"/>
    <w:rsid w:val="3C534210"/>
    <w:rsid w:val="3CF2FE4C"/>
    <w:rsid w:val="3DEF1271"/>
    <w:rsid w:val="405422A8"/>
    <w:rsid w:val="4126B333"/>
    <w:rsid w:val="4851CDAD"/>
    <w:rsid w:val="4931C518"/>
    <w:rsid w:val="4E4EF287"/>
    <w:rsid w:val="5049398E"/>
    <w:rsid w:val="50A46856"/>
    <w:rsid w:val="53D096FB"/>
    <w:rsid w:val="551DAB19"/>
    <w:rsid w:val="59C13457"/>
    <w:rsid w:val="64F09EF5"/>
    <w:rsid w:val="6565361F"/>
    <w:rsid w:val="6708F406"/>
    <w:rsid w:val="689485AF"/>
    <w:rsid w:val="69C4231B"/>
    <w:rsid w:val="6BE58A83"/>
    <w:rsid w:val="7092D757"/>
    <w:rsid w:val="72223F98"/>
    <w:rsid w:val="724BA6AD"/>
    <w:rsid w:val="73813866"/>
    <w:rsid w:val="73CE4EB1"/>
    <w:rsid w:val="73E7770E"/>
    <w:rsid w:val="74783E81"/>
    <w:rsid w:val="7A0B9A85"/>
    <w:rsid w:val="7B48A712"/>
    <w:rsid w:val="7B4FA8FB"/>
    <w:rsid w:val="7BF288F3"/>
    <w:rsid w:val="7D974463"/>
    <w:rsid w:val="7D9AF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CABBCD"/>
  <w15:chartTrackingRefBased/>
  <w15:docId w15:val="{48225989-5F0E-4ADA-9231-F3A04E96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E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3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99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5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75E9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75E9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75E9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2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5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8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8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8157A"/>
  </w:style>
  <w:style w:type="character" w:customStyle="1" w:styleId="eop">
    <w:name w:val="eop"/>
    <w:basedOn w:val="DefaultParagraphFont"/>
    <w:rsid w:val="0078157A"/>
  </w:style>
  <w:style w:type="character" w:customStyle="1" w:styleId="Heading2Char">
    <w:name w:val="Heading 2 Char"/>
    <w:basedOn w:val="DefaultParagraphFont"/>
    <w:link w:val="Heading2"/>
    <w:uiPriority w:val="9"/>
    <w:rsid w:val="00C97E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03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903AC"/>
    <w:pPr>
      <w:spacing w:after="100"/>
      <w:ind w:left="440"/>
    </w:pPr>
  </w:style>
  <w:style w:type="paragraph" w:customStyle="1" w:styleId="Default">
    <w:name w:val="Default"/>
    <w:rsid w:val="00D2529C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403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5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298"/>
  </w:style>
  <w:style w:type="paragraph" w:styleId="Footer">
    <w:name w:val="footer"/>
    <w:basedOn w:val="Normal"/>
    <w:link w:val="FooterChar"/>
    <w:uiPriority w:val="99"/>
    <w:unhideWhenUsed/>
    <w:rsid w:val="00375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05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2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1" ma:contentTypeDescription="Create a new document." ma:contentTypeScope="" ma:versionID="11b627510415c01571335e00ec636b32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8d6af5b4230f329a8114e7ba36458bb3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704D-173C-4F17-8279-09F3689DF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DF8EF-B651-438A-94B6-5EC1727BD35F}">
  <ds:schemaRefs>
    <ds:schemaRef ds:uri="892ea499-f99d-42b0-bf13-847613df9c98"/>
    <ds:schemaRef ds:uri="9358cb57-a827-4278-82f8-b5b2a77f679b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9B376B0-2E4B-4F02-9DA3-4FC52CAE4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2BD1D1-7DAB-441B-A72A-93C4113F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6464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Graney</dc:creator>
  <cp:keywords/>
  <dc:description/>
  <cp:lastModifiedBy>Carolyn Minto</cp:lastModifiedBy>
  <cp:revision>2</cp:revision>
  <dcterms:created xsi:type="dcterms:W3CDTF">2021-03-09T10:31:00Z</dcterms:created>
  <dcterms:modified xsi:type="dcterms:W3CDTF">2021-03-09T10:31:00Z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</Properties>
</file>