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5994368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147"/>
        <w:jc w:val="right"/>
      </w:pPr>
      <w:r>
        <w:rPr/>
        <w:t>27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4"/>
        </w:rPr>
        <w:t> </w:t>
      </w:r>
      <w:r>
        <w:rPr/>
        <w:t>12.3.0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User,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SNOMED</w:t>
      </w:r>
      <w:r>
        <w:rPr>
          <w:spacing w:val="-1"/>
        </w:rPr>
        <w:t> </w:t>
      </w:r>
      <w:r>
        <w:rPr/>
        <w:t>CT</w:t>
      </w:r>
      <w:r>
        <w:rPr>
          <w:spacing w:val="-1"/>
        </w:rPr>
        <w:t> </w:t>
      </w:r>
      <w:r>
        <w:rPr/>
        <w:t>Updates</w:t>
      </w:r>
    </w:p>
    <w:p>
      <w:pPr>
        <w:pStyle w:val="BodyText"/>
        <w:rPr>
          <w:b/>
        </w:rPr>
      </w:pPr>
    </w:p>
    <w:p>
      <w:pPr>
        <w:pStyle w:val="BodyText"/>
        <w:ind w:left="113" w:right="599"/>
      </w:pPr>
      <w:r>
        <w:rPr/>
        <w:t>In November we received a file of SNOMED updates to make to some concepts mainly at</w:t>
      </w:r>
      <w:r>
        <w:rPr>
          <w:spacing w:val="-64"/>
        </w:rPr>
        <w:t> </w:t>
      </w:r>
      <w:r>
        <w:rPr/>
        <w:t>Form and Ingredient levels. A handful of changes are also to be made to some Route of</w:t>
      </w:r>
      <w:r>
        <w:rPr>
          <w:spacing w:val="1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measure,</w:t>
      </w:r>
      <w:r>
        <w:rPr>
          <w:spacing w:val="-2"/>
        </w:rPr>
        <w:t> </w:t>
      </w:r>
      <w:r>
        <w:rPr/>
        <w:t>VMP</w:t>
      </w:r>
      <w:r>
        <w:rPr>
          <w:spacing w:val="-1"/>
        </w:rPr>
        <w:t> </w:t>
      </w:r>
      <w:r>
        <w:rPr/>
        <w:t>and VTM</w:t>
      </w:r>
      <w:r>
        <w:rPr>
          <w:spacing w:val="-1"/>
        </w:rPr>
        <w:t> </w:t>
      </w:r>
      <w:r>
        <w:rPr/>
        <w:t>concepts too.</w:t>
      </w:r>
    </w:p>
    <w:p>
      <w:pPr>
        <w:pStyle w:val="BodyText"/>
        <w:ind w:left="113"/>
      </w:pPr>
      <w:r>
        <w:rPr/>
        <w:t>We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 these</w:t>
      </w:r>
      <w:r>
        <w:rPr>
          <w:spacing w:val="-3"/>
        </w:rPr>
        <w:t> </w:t>
      </w:r>
      <w:r>
        <w:rPr/>
        <w:t>updates</w:t>
      </w:r>
      <w:r>
        <w:rPr>
          <w:spacing w:val="-4"/>
        </w:rPr>
        <w:t> </w:t>
      </w:r>
      <w:r>
        <w:rPr/>
        <w:t>mid-January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1"/>
        <w:ind w:left="113" w:right="2052"/>
      </w:pPr>
      <w:r>
        <w:rPr/>
        <w:t>If you require some more insight in advance of these updates, please email:</w:t>
      </w:r>
      <w:r>
        <w:rPr>
          <w:spacing w:val="-64"/>
        </w:rPr>
        <w:t> </w:t>
      </w:r>
      <w:hyperlink r:id="rId9">
        <w:r>
          <w:rPr>
            <w:color w:val="0000FF"/>
            <w:u w:val="single" w:color="0000FF"/>
          </w:rPr>
          <w:t>nhsbsa.dmdenquiries@nhs.net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spacing w:before="92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VMPP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Tariff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Attribute</w:t>
      </w:r>
    </w:p>
    <w:p>
      <w:pPr>
        <w:pStyle w:val="BodyText"/>
        <w:rPr>
          <w:b/>
        </w:rPr>
      </w:pPr>
    </w:p>
    <w:p>
      <w:pPr>
        <w:pStyle w:val="BodyText"/>
        <w:ind w:left="113" w:right="466"/>
      </w:pPr>
      <w:r>
        <w:rPr/>
        <w:t>As per the NHS dm+d Technical Specification of Data Files document (</w:t>
      </w:r>
      <w:hyperlink r:id="rId10">
        <w:r>
          <w:rPr>
            <w:color w:val="0000FF"/>
            <w:u w:val="single" w:color="0000FF"/>
          </w:rPr>
          <w:t>Technical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  <w:u w:val="single" w:color="0000FF"/>
          </w:rPr>
          <w:t>Specification of Data Files for the Primary Care Drug Dictionary (nhsbsa.nhs.uk)</w:t>
        </w:r>
      </w:hyperlink>
      <w:r>
        <w:rPr/>
        <w:t>), the Drug</w:t>
      </w:r>
      <w:r>
        <w:rPr>
          <w:spacing w:val="-64"/>
        </w:rPr>
        <w:t> </w:t>
      </w:r>
      <w:r>
        <w:rPr/>
        <w:t>Tariff Price field (and previous price) can be up to a maximum of 6 (six) digits. We have a</w:t>
      </w:r>
      <w:r>
        <w:rPr>
          <w:spacing w:val="1"/>
        </w:rPr>
        <w:t> </w:t>
      </w:r>
      <w:r>
        <w:rPr/>
        <w:t>VMP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dm+d</w:t>
      </w:r>
      <w:r>
        <w:rPr>
          <w:spacing w:val="-3"/>
        </w:rPr>
        <w:t> </w:t>
      </w:r>
      <w:r>
        <w:rPr/>
        <w:t>‘Chenodeoxycholic</w:t>
      </w:r>
      <w:r>
        <w:rPr>
          <w:spacing w:val="-3"/>
        </w:rPr>
        <w:t> </w:t>
      </w:r>
      <w:r>
        <w:rPr/>
        <w:t>acid</w:t>
      </w:r>
      <w:r>
        <w:rPr>
          <w:spacing w:val="-4"/>
        </w:rPr>
        <w:t> </w:t>
      </w:r>
      <w:r>
        <w:rPr/>
        <w:t>250mg</w:t>
      </w:r>
      <w:r>
        <w:rPr>
          <w:spacing w:val="-3"/>
        </w:rPr>
        <w:t> </w:t>
      </w:r>
      <w:r>
        <w:rPr/>
        <w:t>capsules’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digits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VMPP</w:t>
      </w:r>
      <w:r>
        <w:rPr>
          <w:spacing w:val="-63"/>
        </w:rPr>
        <w:t> </w:t>
      </w:r>
      <w:r>
        <w:rPr/>
        <w:t>level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spacing w:before="1"/>
        <w:ind w:left="113" w:right="599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advance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early</w:t>
      </w:r>
      <w:r>
        <w:rPr>
          <w:spacing w:val="-3"/>
        </w:rPr>
        <w:t> </w:t>
      </w:r>
      <w:r>
        <w:rPr/>
        <w:t>March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fix</w:t>
      </w:r>
      <w:r>
        <w:rPr>
          <w:spacing w:val="-1"/>
        </w:rPr>
        <w:t> </w:t>
      </w:r>
      <w:r>
        <w:rPr/>
        <w:t>to</w:t>
      </w:r>
      <w:r>
        <w:rPr>
          <w:spacing w:val="-64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Drug</w:t>
      </w:r>
      <w:r>
        <w:rPr>
          <w:spacing w:val="-1"/>
        </w:rPr>
        <w:t> </w:t>
      </w:r>
      <w:r>
        <w:rPr/>
        <w:t>Tariff price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6"/>
        </w:rPr>
        <w:t> </w:t>
      </w:r>
      <w:r>
        <w:rPr/>
        <w:t>maximum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(eight) digits.</w:t>
      </w:r>
    </w:p>
    <w:p>
      <w:pPr>
        <w:spacing w:after="0"/>
        <w:sectPr>
          <w:type w:val="continuous"/>
          <w:pgSz w:w="11910" w:h="16850"/>
          <w:pgMar w:top="240" w:bottom="280" w:left="1020" w:right="660"/>
        </w:sectPr>
      </w:pPr>
    </w:p>
    <w:p>
      <w:pPr>
        <w:pStyle w:val="Heading1"/>
      </w:pPr>
      <w:r>
        <w:rPr/>
        <w:t>dm+d Issues</w:t>
      </w:r>
      <w:r>
        <w:rPr>
          <w:spacing w:val="-2"/>
        </w:rPr>
        <w:t> </w:t>
      </w:r>
      <w:r>
        <w:rPr/>
        <w:t>Log Updated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918"/>
      </w:pPr>
      <w:r>
        <w:rPr/>
        <w:t>This has been updated and can be found via the following link: </w:t>
      </w:r>
      <w:hyperlink r:id="rId11">
        <w:r>
          <w:rPr>
            <w:color w:val="0000FF"/>
            <w:u w:val="single" w:color="0000FF"/>
          </w:rPr>
          <w:t>Dictionary of medicines</w:t>
        </w:r>
      </w:hyperlink>
      <w:r>
        <w:rPr>
          <w:color w:val="0000FF"/>
          <w:spacing w:val="-64"/>
        </w:rPr>
        <w:t> </w:t>
      </w:r>
      <w:hyperlink r:id="rId11"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devices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(dm+d)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NHSBSA</w:t>
        </w:r>
        <w:r>
          <w:rPr>
            <w:color w:val="0000FF"/>
            <w:spacing w:val="3"/>
          </w:rPr>
          <w:t> </w:t>
        </w:r>
      </w:hyperlink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‘Contact</w:t>
      </w:r>
      <w:r>
        <w:rPr>
          <w:spacing w:val="-3"/>
        </w:rPr>
        <w:t> </w:t>
      </w:r>
      <w:r>
        <w:rPr/>
        <w:t>dm+d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raise an</w:t>
      </w:r>
      <w:r>
        <w:rPr>
          <w:spacing w:val="-3"/>
        </w:rPr>
        <w:t> </w:t>
      </w:r>
      <w:r>
        <w:rPr/>
        <w:t>issue’.</w:t>
      </w:r>
    </w:p>
    <w:p>
      <w:pPr>
        <w:pStyle w:val="BodyText"/>
        <w:ind w:left="113" w:right="466"/>
      </w:pPr>
      <w:r>
        <w:rPr/>
        <w:t>The</w:t>
      </w:r>
      <w:r>
        <w:rPr>
          <w:spacing w:val="-2"/>
        </w:rPr>
        <w:t> </w:t>
      </w:r>
      <w:r>
        <w:rPr/>
        <w:t>log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/>
        <w:t>updated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issue</w:t>
      </w:r>
      <w:r>
        <w:rPr>
          <w:spacing w:val="-3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mismatch in</w:t>
      </w:r>
      <w:r>
        <w:rPr>
          <w:spacing w:val="-4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between</w:t>
      </w:r>
      <w:r>
        <w:rPr>
          <w:spacing w:val="-64"/>
        </w:rPr>
        <w:t> </w:t>
      </w:r>
      <w:r>
        <w:rPr/>
        <w:t>VMP Iohexol 755mg/ml (Iodine 350mg/ml) solution for injection 100ml plastic bottles that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authored in</w:t>
      </w:r>
      <w:r>
        <w:rPr>
          <w:spacing w:val="-2"/>
        </w:rPr>
        <w:t> </w:t>
      </w:r>
      <w:r>
        <w:rPr/>
        <w:t>2005.</w:t>
      </w:r>
    </w:p>
    <w:p>
      <w:pPr>
        <w:pStyle w:val="BodyText"/>
        <w:ind w:left="113" w:right="466"/>
      </w:pPr>
      <w:r>
        <w:rPr/>
        <w:t>This</w:t>
      </w:r>
      <w:r>
        <w:rPr>
          <w:spacing w:val="-3"/>
        </w:rPr>
        <w:t> </w:t>
      </w:r>
      <w:r>
        <w:rPr/>
        <w:t>issue</w:t>
      </w:r>
      <w:r>
        <w:rPr>
          <w:spacing w:val="-1"/>
        </w:rPr>
        <w:t> </w:t>
      </w:r>
      <w:r>
        <w:rPr/>
        <w:t>revealed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had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historical</w:t>
      </w:r>
      <w:r>
        <w:rPr>
          <w:spacing w:val="-2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inconsistency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64"/>
        </w:rPr>
        <w:t> </w:t>
      </w:r>
      <w:r>
        <w:rPr/>
        <w:t>VMP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iodine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 strength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VMP</w:t>
      </w:r>
      <w:r>
        <w:rPr>
          <w:spacing w:val="-1"/>
        </w:rPr>
        <w:t> </w:t>
      </w:r>
      <w:r>
        <w:rPr/>
        <w:t>ingredient</w:t>
      </w:r>
      <w:r>
        <w:rPr>
          <w:spacing w:val="-2"/>
        </w:rPr>
        <w:t> </w:t>
      </w:r>
      <w:r>
        <w:rPr/>
        <w:t>details</w:t>
      </w:r>
      <w:r>
        <w:rPr>
          <w:spacing w:val="-1"/>
        </w:rPr>
        <w:t> </w:t>
      </w:r>
      <w:r>
        <w:rPr/>
        <w:t>field.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113" w:right="0" w:firstLine="0"/>
        <w:jc w:val="left"/>
        <w:rPr>
          <w:b/>
          <w:sz w:val="24"/>
        </w:rPr>
      </w:pPr>
      <w:r>
        <w:rPr>
          <w:b/>
          <w:color w:val="232323"/>
          <w:sz w:val="24"/>
        </w:rPr>
        <w:t>VMP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name</w:t>
      </w:r>
      <w:r>
        <w:rPr>
          <w:b/>
          <w:color w:val="232323"/>
          <w:spacing w:val="-2"/>
          <w:sz w:val="24"/>
        </w:rPr>
        <w:t> </w:t>
      </w:r>
      <w:r>
        <w:rPr>
          <w:b/>
          <w:color w:val="232323"/>
          <w:sz w:val="24"/>
        </w:rPr>
        <w:t>change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for Senna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7.5mg/5ml oral solution</w:t>
      </w:r>
      <w:r>
        <w:rPr>
          <w:b/>
          <w:color w:val="232323"/>
          <w:spacing w:val="-4"/>
          <w:sz w:val="24"/>
        </w:rPr>
        <w:t> </w:t>
      </w:r>
      <w:r>
        <w:rPr>
          <w:b/>
          <w:color w:val="232323"/>
          <w:sz w:val="24"/>
        </w:rPr>
        <w:t>sugar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free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12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5"/>
        <w:ind w:left="113" w:right="558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 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spacing w:before="250"/>
        <w:ind w:left="113" w:right="466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minimise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transient</w:t>
      </w:r>
      <w:r>
        <w:rPr>
          <w:spacing w:val="-3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synchronicity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prescribing</w:t>
      </w:r>
      <w:r>
        <w:rPr>
          <w:spacing w:val="-2"/>
        </w:rPr>
        <w:t> </w:t>
      </w:r>
      <w:r>
        <w:rPr/>
        <w:t>and</w:t>
      </w:r>
      <w:r>
        <w:rPr>
          <w:spacing w:val="-64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affected.</w:t>
      </w:r>
    </w:p>
    <w:p>
      <w:pPr>
        <w:spacing w:after="0"/>
        <w:sectPr>
          <w:pgSz w:w="11910" w:h="16850"/>
          <w:pgMar w:top="1060" w:bottom="280" w:left="1020" w:right="660"/>
        </w:sectPr>
      </w:pPr>
    </w:p>
    <w:p>
      <w:pPr>
        <w:pStyle w:val="Heading1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10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9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64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Advance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Notice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Invalidations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3"/>
        <w:ind w:left="113" w:right="1132"/>
      </w:pPr>
      <w:r>
        <w:rPr/>
        <w:t>The following concepts will be invalidated mid-February. They have been reauthored</w:t>
      </w:r>
      <w:r>
        <w:rPr>
          <w:spacing w:val="-64"/>
        </w:rPr>
        <w:t> </w:t>
      </w:r>
      <w:r>
        <w:rPr/>
        <w:t>under</w:t>
      </w:r>
      <w:r>
        <w:rPr>
          <w:spacing w:val="-1"/>
        </w:rPr>
        <w:t> </w:t>
      </w:r>
      <w:r>
        <w:rPr/>
        <w:t>a new VMP.</w:t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 Invalid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1,000units/drop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34878111000001103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40329711000001106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57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40052911000001103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40326211000001108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34865211000001106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40326311000001100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40053011000001106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40328311000001101</w:t>
            </w:r>
          </w:p>
        </w:tc>
      </w:tr>
      <w:tr>
        <w:trPr>
          <w:trHeight w:val="458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40053111000001107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40328411000001108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34865311000001103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40328511000001107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34865411000001105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40328611000001106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323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hyperlink" Target="https://www.sps.nhs.uk/articles/sennosides-new-labelling-requirements/" TargetMode="Externa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nhsbsa.nhs.uk/pharmacies-gp-practices-and-appliance-contractors/dictionary-medicines-and-devices-dmd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s://www.nhsbsa.nhs.uk/sites/default/files/2017-02/Technical_Specification_of_data_files_R2_v3.1_May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sbsa.dmdenquiries@nhs.ne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068B0-B89D-4E33-931F-337A5AABAFA0}"/>
</file>

<file path=customXml/itemProps2.xml><?xml version="1.0" encoding="utf-8"?>
<ds:datastoreItem xmlns:ds="http://schemas.openxmlformats.org/officeDocument/2006/customXml" ds:itemID="{6202D9E2-F163-454D-8460-797207ECBFC7}"/>
</file>

<file path=customXml/itemProps3.xml><?xml version="1.0" encoding="utf-8"?>
<ds:datastoreItem xmlns:ds="http://schemas.openxmlformats.org/officeDocument/2006/customXml" ds:itemID="{7CF99240-EC81-4BAE-A1C9-2B537385B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2022-01-05T13:23:03Z</dcterms:created>
  <dcterms:modified xsi:type="dcterms:W3CDTF">2022-01-05T13:23:03Z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