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0D8D" w14:textId="77777777" w:rsidR="00E547A7" w:rsidRDefault="001606AC">
      <w:pPr>
        <w:spacing w:after="0" w:line="259" w:lineRule="auto"/>
        <w:ind w:left="0" w:right="0" w:firstLine="0"/>
      </w:pPr>
      <w:r>
        <w:rPr>
          <w:sz w:val="22"/>
        </w:rPr>
        <w:t xml:space="preserve"> </w:t>
      </w:r>
    </w:p>
    <w:p w14:paraId="73E4ACF1" w14:textId="77777777" w:rsidR="00E547A7" w:rsidRDefault="001606AC">
      <w:pPr>
        <w:spacing w:after="20" w:line="259" w:lineRule="auto"/>
        <w:ind w:left="0" w:right="0" w:firstLine="0"/>
        <w:jc w:val="right"/>
      </w:pPr>
      <w:r>
        <w:rPr>
          <w:noProof/>
        </w:rPr>
        <w:drawing>
          <wp:inline distT="0" distB="0" distL="0" distR="0" wp14:anchorId="387E478D" wp14:editId="5F8BB55A">
            <wp:extent cx="7090919" cy="143510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8"/>
                    <a:stretch>
                      <a:fillRect/>
                    </a:stretch>
                  </pic:blipFill>
                  <pic:spPr>
                    <a:xfrm>
                      <a:off x="0" y="0"/>
                      <a:ext cx="7090919" cy="1435100"/>
                    </a:xfrm>
                    <a:prstGeom prst="rect">
                      <a:avLst/>
                    </a:prstGeom>
                  </pic:spPr>
                </pic:pic>
              </a:graphicData>
            </a:graphic>
          </wp:inline>
        </w:drawing>
      </w:r>
      <w:r>
        <w:rPr>
          <w:rFonts w:ascii="Times New Roman" w:eastAsia="Times New Roman" w:hAnsi="Times New Roman" w:cs="Times New Roman"/>
          <w:sz w:val="20"/>
        </w:rPr>
        <w:t xml:space="preserve"> </w:t>
      </w:r>
    </w:p>
    <w:p w14:paraId="6703A377" w14:textId="77777777" w:rsidR="002344FE" w:rsidRPr="002344FE" w:rsidRDefault="002344FE" w:rsidP="002344FE">
      <w:pPr>
        <w:spacing w:before="100" w:beforeAutospacing="1" w:after="100" w:afterAutospacing="1"/>
        <w:rPr>
          <w:b/>
          <w:bCs/>
          <w:color w:val="auto"/>
          <w:sz w:val="36"/>
          <w:szCs w:val="36"/>
          <w:u w:val="single"/>
        </w:rPr>
      </w:pPr>
      <w:r w:rsidRPr="002344FE">
        <w:rPr>
          <w:b/>
          <w:bCs/>
          <w:color w:val="auto"/>
          <w:sz w:val="36"/>
          <w:szCs w:val="36"/>
          <w:u w:val="single"/>
        </w:rPr>
        <w:t>Naming Convention Changes in ePACT2 Dashboards, Reports and Bespoke Analysis</w:t>
      </w:r>
    </w:p>
    <w:p w14:paraId="11A2E759" w14:textId="77777777" w:rsidR="002344FE" w:rsidRPr="002344FE" w:rsidRDefault="002344FE" w:rsidP="002344FE">
      <w:pPr>
        <w:spacing w:before="100" w:beforeAutospacing="1" w:after="100" w:afterAutospacing="1"/>
        <w:rPr>
          <w:color w:val="auto"/>
          <w:szCs w:val="24"/>
        </w:rPr>
      </w:pPr>
      <w:r w:rsidRPr="002344FE">
        <w:rPr>
          <w:color w:val="auto"/>
          <w:szCs w:val="24"/>
        </w:rPr>
        <w:t xml:space="preserve">From the 1st of July the naming convention for certain organisations within the ePACT2 system will be changing. Headings in the dashboards and reports will be amended to fit the new naming convention. </w:t>
      </w:r>
    </w:p>
    <w:p w14:paraId="3191F003" w14:textId="77777777" w:rsidR="002344FE" w:rsidRPr="002344FE" w:rsidRDefault="002344FE" w:rsidP="002344FE">
      <w:pPr>
        <w:spacing w:before="100" w:beforeAutospacing="1" w:after="100" w:afterAutospacing="1"/>
        <w:rPr>
          <w:color w:val="auto"/>
          <w:szCs w:val="24"/>
        </w:rPr>
      </w:pPr>
      <w:r w:rsidRPr="002344FE">
        <w:rPr>
          <w:color w:val="auto"/>
          <w:szCs w:val="24"/>
        </w:rPr>
        <w:t xml:space="preserve">STP’s (Sustainability and Transformation Partnerships) will be renamed as </w:t>
      </w:r>
      <w:r w:rsidRPr="002344FE">
        <w:rPr>
          <w:b/>
          <w:bCs/>
          <w:color w:val="auto"/>
          <w:szCs w:val="24"/>
        </w:rPr>
        <w:t xml:space="preserve">ICB’s (Integrated Care Boards) </w:t>
      </w:r>
      <w:proofErr w:type="gramStart"/>
      <w:r w:rsidRPr="002344FE">
        <w:rPr>
          <w:color w:val="auto"/>
          <w:szCs w:val="24"/>
        </w:rPr>
        <w:t>e.g.</w:t>
      </w:r>
      <w:proofErr w:type="gramEnd"/>
      <w:r w:rsidRPr="002344FE">
        <w:rPr>
          <w:color w:val="auto"/>
          <w:szCs w:val="24"/>
        </w:rPr>
        <w:t xml:space="preserve"> W YORKSHIRE &amp; HARROGATE H&amp;C P/SHIP STP will be changing to NHS WEST YORKSHIRE INTEGRATED CARE BOARD</w:t>
      </w:r>
    </w:p>
    <w:p w14:paraId="46B18326" w14:textId="77777777" w:rsidR="002344FE" w:rsidRPr="002344FE" w:rsidRDefault="002344FE" w:rsidP="002344FE">
      <w:pPr>
        <w:spacing w:before="100" w:beforeAutospacing="1" w:after="100" w:afterAutospacing="1"/>
        <w:rPr>
          <w:color w:val="auto"/>
          <w:szCs w:val="24"/>
        </w:rPr>
      </w:pPr>
      <w:r w:rsidRPr="002344FE">
        <w:rPr>
          <w:color w:val="auto"/>
          <w:szCs w:val="24"/>
        </w:rPr>
        <w:t xml:space="preserve">CCG’s (Clinical Commissioning Groups) will be renamed as </w:t>
      </w:r>
      <w:r w:rsidRPr="002344FE">
        <w:rPr>
          <w:b/>
          <w:bCs/>
          <w:color w:val="auto"/>
          <w:szCs w:val="24"/>
        </w:rPr>
        <w:t>SICBL’s (Sub Integrated Care Board Locations)</w:t>
      </w:r>
      <w:r w:rsidRPr="002344FE">
        <w:rPr>
          <w:color w:val="auto"/>
          <w:szCs w:val="24"/>
        </w:rPr>
        <w:t xml:space="preserve"> </w:t>
      </w:r>
      <w:proofErr w:type="gramStart"/>
      <w:r w:rsidRPr="002344FE">
        <w:rPr>
          <w:color w:val="auto"/>
          <w:szCs w:val="24"/>
        </w:rPr>
        <w:t>e.g.</w:t>
      </w:r>
      <w:proofErr w:type="gramEnd"/>
      <w:r w:rsidRPr="002344FE">
        <w:rPr>
          <w:color w:val="auto"/>
          <w:szCs w:val="24"/>
        </w:rPr>
        <w:t xml:space="preserve"> KIRKLEES CCG will be changing to SICBL of NHS WEST YORKSHIRE ICB X2C4Y. </w:t>
      </w:r>
    </w:p>
    <w:p w14:paraId="23011D67" w14:textId="77777777" w:rsidR="002344FE" w:rsidRPr="002344FE" w:rsidRDefault="002344FE" w:rsidP="002344FE">
      <w:pPr>
        <w:spacing w:before="100" w:beforeAutospacing="1" w:after="100" w:afterAutospacing="1"/>
        <w:rPr>
          <w:color w:val="auto"/>
          <w:szCs w:val="24"/>
        </w:rPr>
      </w:pPr>
      <w:r w:rsidRPr="002344FE">
        <w:rPr>
          <w:color w:val="auto"/>
          <w:szCs w:val="24"/>
        </w:rPr>
        <w:t>Organisation codes are not changed, and you will need to be aware of codes when running both ICB and SICBL data.</w:t>
      </w:r>
    </w:p>
    <w:p w14:paraId="7CD1AEAA" w14:textId="77777777" w:rsidR="002344FE" w:rsidRPr="002344FE" w:rsidRDefault="002344FE" w:rsidP="002344FE">
      <w:pPr>
        <w:spacing w:before="100" w:beforeAutospacing="1" w:after="100" w:afterAutospacing="1"/>
        <w:rPr>
          <w:color w:val="auto"/>
          <w:szCs w:val="24"/>
        </w:rPr>
      </w:pPr>
      <w:r w:rsidRPr="002344FE">
        <w:rPr>
          <w:color w:val="auto"/>
          <w:szCs w:val="24"/>
        </w:rPr>
        <w:t xml:space="preserve">This will be the only reporting structure within the current and historical view unless the CCG has closed prior to 1 July 2022, in which case it will reflect the closed CCG name. </w:t>
      </w:r>
    </w:p>
    <w:p w14:paraId="13269D15" w14:textId="77777777" w:rsidR="002344FE" w:rsidRPr="002344FE" w:rsidRDefault="002344FE" w:rsidP="002344FE">
      <w:pPr>
        <w:spacing w:before="100" w:beforeAutospacing="1" w:after="100" w:afterAutospacing="1"/>
        <w:rPr>
          <w:color w:val="auto"/>
          <w:szCs w:val="24"/>
        </w:rPr>
      </w:pPr>
      <w:r w:rsidRPr="002344FE">
        <w:rPr>
          <w:color w:val="auto"/>
          <w:szCs w:val="24"/>
        </w:rPr>
        <w:t xml:space="preserve">Similar 10 views will continue to be reflected in our dashboards and reporting up to and including Jun22 data, however NHS </w:t>
      </w:r>
      <w:proofErr w:type="spellStart"/>
      <w:r w:rsidRPr="002344FE">
        <w:rPr>
          <w:color w:val="auto"/>
          <w:szCs w:val="24"/>
        </w:rPr>
        <w:t>RightCare</w:t>
      </w:r>
      <w:proofErr w:type="spellEnd"/>
      <w:r w:rsidRPr="002344FE">
        <w:rPr>
          <w:color w:val="auto"/>
          <w:szCs w:val="24"/>
        </w:rPr>
        <w:t xml:space="preserve"> are no longer maintaining a Similar 10 profile and no Similar 10 views will apply to our data from July 22 data onwards.</w:t>
      </w:r>
    </w:p>
    <w:p w14:paraId="7A9F9D24" w14:textId="7C1E5F5E" w:rsidR="002344FE" w:rsidRPr="00493FA2" w:rsidRDefault="002344FE" w:rsidP="002344FE">
      <w:pPr>
        <w:spacing w:before="100" w:beforeAutospacing="1" w:after="100" w:afterAutospacing="1"/>
        <w:rPr>
          <w:color w:val="auto"/>
          <w:szCs w:val="24"/>
        </w:rPr>
      </w:pPr>
      <w:r w:rsidRPr="002344FE">
        <w:rPr>
          <w:color w:val="auto"/>
          <w:szCs w:val="24"/>
        </w:rPr>
        <w:t>From 1 July 2022 the system will continue to reflect the STP/CCG structure until the boundary changes for these new organisations comes into effect once July 2022 dispensing data is published.</w:t>
      </w:r>
    </w:p>
    <w:p w14:paraId="343D86B2" w14:textId="77777777" w:rsidR="00493FA2" w:rsidRPr="002344FE" w:rsidRDefault="00493FA2" w:rsidP="002344FE">
      <w:pPr>
        <w:spacing w:before="100" w:beforeAutospacing="1" w:after="100" w:afterAutospacing="1"/>
        <w:rPr>
          <w:color w:val="auto"/>
          <w:sz w:val="36"/>
          <w:szCs w:val="36"/>
        </w:rPr>
      </w:pPr>
    </w:p>
    <w:p w14:paraId="585C5E52" w14:textId="77777777" w:rsidR="002344FE" w:rsidRPr="002344FE" w:rsidRDefault="002344FE" w:rsidP="002344FE">
      <w:pPr>
        <w:spacing w:before="100" w:beforeAutospacing="1" w:after="100" w:afterAutospacing="1"/>
        <w:rPr>
          <w:b/>
          <w:bCs/>
          <w:color w:val="auto"/>
          <w:sz w:val="36"/>
          <w:szCs w:val="36"/>
          <w:u w:val="single"/>
        </w:rPr>
      </w:pPr>
      <w:r w:rsidRPr="002344FE">
        <w:rPr>
          <w:b/>
          <w:bCs/>
          <w:color w:val="auto"/>
          <w:sz w:val="36"/>
          <w:szCs w:val="36"/>
          <w:u w:val="single"/>
        </w:rPr>
        <w:t>CCG Flag within ePACT2</w:t>
      </w:r>
    </w:p>
    <w:p w14:paraId="6A9B4D86" w14:textId="77777777" w:rsidR="002344FE" w:rsidRPr="002344FE" w:rsidRDefault="002344FE" w:rsidP="002344FE">
      <w:pPr>
        <w:spacing w:before="100" w:beforeAutospacing="1" w:after="100" w:afterAutospacing="1"/>
        <w:rPr>
          <w:color w:val="auto"/>
          <w:szCs w:val="24"/>
        </w:rPr>
      </w:pPr>
      <w:r w:rsidRPr="002344FE">
        <w:rPr>
          <w:color w:val="auto"/>
          <w:szCs w:val="24"/>
        </w:rPr>
        <w:t>CCG Flags and HS CCG Flags will be renamed to SICBL and HS SICBL effective 1 July 2022 to reflect the change from CCGs to SICBL’s.</w:t>
      </w:r>
    </w:p>
    <w:p w14:paraId="62F9F06F" w14:textId="77777777" w:rsidR="002344FE" w:rsidRPr="002344FE" w:rsidRDefault="002344FE" w:rsidP="002344FE">
      <w:pPr>
        <w:spacing w:before="100" w:beforeAutospacing="1" w:after="100" w:afterAutospacing="1"/>
        <w:rPr>
          <w:color w:val="auto"/>
          <w:szCs w:val="24"/>
        </w:rPr>
      </w:pPr>
      <w:r w:rsidRPr="002344FE">
        <w:rPr>
          <w:color w:val="auto"/>
          <w:szCs w:val="24"/>
        </w:rPr>
        <w:t xml:space="preserve">These flags are in the following subject areas within the ePACT2 analysis </w:t>
      </w:r>
      <w:proofErr w:type="gramStart"/>
      <w:r w:rsidRPr="002344FE">
        <w:rPr>
          <w:color w:val="auto"/>
          <w:szCs w:val="24"/>
        </w:rPr>
        <w:t>tool</w:t>
      </w:r>
      <w:proofErr w:type="gramEnd"/>
    </w:p>
    <w:p w14:paraId="2989BB9A" w14:textId="77777777" w:rsidR="002344FE" w:rsidRPr="002344FE" w:rsidRDefault="002344FE" w:rsidP="002344FE">
      <w:pPr>
        <w:spacing w:before="100" w:beforeAutospacing="1" w:after="100" w:afterAutospacing="1"/>
        <w:rPr>
          <w:color w:val="auto"/>
          <w:szCs w:val="24"/>
        </w:rPr>
      </w:pPr>
      <w:r w:rsidRPr="002344FE">
        <w:rPr>
          <w:color w:val="auto"/>
          <w:szCs w:val="24"/>
        </w:rPr>
        <w:t>·</w:t>
      </w:r>
      <w:r w:rsidRPr="002344FE">
        <w:rPr>
          <w:color w:val="auto"/>
          <w:szCs w:val="24"/>
        </w:rPr>
        <w:tab/>
        <w:t>All Prescribing Organisations, Organisation Attributes</w:t>
      </w:r>
    </w:p>
    <w:p w14:paraId="23EEBE4A" w14:textId="77777777" w:rsidR="002344FE" w:rsidRPr="002344FE" w:rsidRDefault="002344FE" w:rsidP="002344FE">
      <w:pPr>
        <w:spacing w:before="100" w:beforeAutospacing="1" w:after="100" w:afterAutospacing="1"/>
        <w:rPr>
          <w:color w:val="auto"/>
          <w:szCs w:val="24"/>
        </w:rPr>
      </w:pPr>
      <w:r w:rsidRPr="002344FE">
        <w:rPr>
          <w:color w:val="auto"/>
          <w:szCs w:val="24"/>
        </w:rPr>
        <w:lastRenderedPageBreak/>
        <w:t>·</w:t>
      </w:r>
      <w:r w:rsidRPr="002344FE">
        <w:rPr>
          <w:color w:val="auto"/>
          <w:szCs w:val="24"/>
        </w:rPr>
        <w:tab/>
        <w:t>England Prescribing Organisations, England Prescribing Organisation Attributes</w:t>
      </w:r>
    </w:p>
    <w:p w14:paraId="1906F154" w14:textId="77777777" w:rsidR="002344FE" w:rsidRPr="002344FE" w:rsidRDefault="002344FE" w:rsidP="002344FE">
      <w:pPr>
        <w:spacing w:before="100" w:beforeAutospacing="1" w:after="100" w:afterAutospacing="1"/>
        <w:rPr>
          <w:color w:val="auto"/>
          <w:szCs w:val="24"/>
        </w:rPr>
      </w:pPr>
      <w:r w:rsidRPr="002344FE">
        <w:rPr>
          <w:color w:val="auto"/>
          <w:szCs w:val="24"/>
        </w:rPr>
        <w:t>·</w:t>
      </w:r>
      <w:r w:rsidRPr="002344FE">
        <w:rPr>
          <w:color w:val="auto"/>
          <w:szCs w:val="24"/>
        </w:rPr>
        <w:tab/>
        <w:t>HS All Prescribing, HS Organisations Attributes</w:t>
      </w:r>
    </w:p>
    <w:p w14:paraId="4DAC1100" w14:textId="49DF7080" w:rsidR="002344FE" w:rsidRPr="002344FE" w:rsidRDefault="002344FE" w:rsidP="002344FE">
      <w:pPr>
        <w:spacing w:before="100" w:beforeAutospacing="1" w:after="100" w:afterAutospacing="1"/>
        <w:rPr>
          <w:color w:val="auto"/>
          <w:sz w:val="22"/>
        </w:rPr>
      </w:pPr>
      <w:r w:rsidRPr="002344FE">
        <w:rPr>
          <w:color w:val="auto"/>
          <w:szCs w:val="24"/>
        </w:rPr>
        <w:t>·</w:t>
      </w:r>
      <w:r w:rsidRPr="002344FE">
        <w:rPr>
          <w:color w:val="auto"/>
          <w:szCs w:val="24"/>
        </w:rPr>
        <w:tab/>
        <w:t>HS England Prescribing Organisations, HS England Prescribing Organisation Attributes</w:t>
      </w:r>
    </w:p>
    <w:p w14:paraId="5D15069D" w14:textId="77777777" w:rsidR="002344FE" w:rsidRPr="002344FE" w:rsidRDefault="002344FE" w:rsidP="002344FE">
      <w:pPr>
        <w:spacing w:before="100" w:beforeAutospacing="1" w:after="100" w:afterAutospacing="1"/>
        <w:rPr>
          <w:color w:val="auto"/>
          <w:sz w:val="22"/>
        </w:rPr>
      </w:pPr>
    </w:p>
    <w:p w14:paraId="0AAB982B" w14:textId="77777777" w:rsidR="002344FE" w:rsidRPr="002344FE" w:rsidRDefault="002344FE" w:rsidP="002344FE">
      <w:pPr>
        <w:spacing w:before="100" w:beforeAutospacing="1" w:after="100" w:afterAutospacing="1"/>
        <w:rPr>
          <w:b/>
          <w:bCs/>
          <w:color w:val="auto"/>
          <w:sz w:val="36"/>
          <w:szCs w:val="36"/>
          <w:u w:val="single"/>
        </w:rPr>
      </w:pPr>
      <w:r w:rsidRPr="002344FE">
        <w:rPr>
          <w:b/>
          <w:bCs/>
          <w:color w:val="auto"/>
          <w:sz w:val="36"/>
          <w:szCs w:val="36"/>
          <w:u w:val="single"/>
        </w:rPr>
        <w:t>Effective Date of Boundary Changes</w:t>
      </w:r>
    </w:p>
    <w:p w14:paraId="73F96902" w14:textId="77777777" w:rsidR="002344FE" w:rsidRPr="002344FE" w:rsidRDefault="002344FE" w:rsidP="002344FE">
      <w:pPr>
        <w:spacing w:before="100" w:beforeAutospacing="1" w:after="100" w:afterAutospacing="1"/>
        <w:rPr>
          <w:color w:val="auto"/>
          <w:szCs w:val="24"/>
        </w:rPr>
      </w:pPr>
      <w:r w:rsidRPr="002344FE">
        <w:rPr>
          <w:color w:val="auto"/>
          <w:szCs w:val="24"/>
        </w:rPr>
        <w:t xml:space="preserve">The boundary changes will be applied to the new organisational structure within the system in the upload of July 2022 prescribing data. This refresh will take place approximately 2 weeks into September 2022 as is the usual timeframe (generally 6 weeks after the end of the prescribing/dispensing month). </w:t>
      </w:r>
    </w:p>
    <w:p w14:paraId="423E6531" w14:textId="77777777" w:rsidR="002344FE" w:rsidRPr="002344FE" w:rsidRDefault="002344FE" w:rsidP="002344FE">
      <w:pPr>
        <w:spacing w:before="100" w:beforeAutospacing="1" w:after="100" w:afterAutospacing="1"/>
        <w:rPr>
          <w:color w:val="auto"/>
          <w:szCs w:val="24"/>
        </w:rPr>
      </w:pPr>
      <w:r w:rsidRPr="002344FE">
        <w:rPr>
          <w:color w:val="auto"/>
          <w:szCs w:val="24"/>
        </w:rPr>
        <w:t>Therefore, any reporting undertaken for July 2022 prescribing data and onwards will reflect the new ICB’s (Integrated Care Boards – formally STPs) within their new boundaries, as well as the new SICBL’S (Sub Integrated Care Board Locations – formally CCGs) within their new boundaries.</w:t>
      </w:r>
    </w:p>
    <w:p w14:paraId="6EBCDF31" w14:textId="77777777" w:rsidR="002344FE" w:rsidRPr="002344FE" w:rsidRDefault="002344FE" w:rsidP="002344FE">
      <w:pPr>
        <w:spacing w:before="100" w:beforeAutospacing="1" w:after="100" w:afterAutospacing="1"/>
        <w:rPr>
          <w:color w:val="auto"/>
          <w:sz w:val="22"/>
        </w:rPr>
      </w:pPr>
    </w:p>
    <w:p w14:paraId="5ECB4533" w14:textId="77777777" w:rsidR="002344FE" w:rsidRPr="002344FE" w:rsidRDefault="002344FE" w:rsidP="002344FE">
      <w:pPr>
        <w:spacing w:before="100" w:beforeAutospacing="1" w:after="100" w:afterAutospacing="1"/>
        <w:rPr>
          <w:b/>
          <w:bCs/>
          <w:color w:val="auto"/>
          <w:sz w:val="36"/>
          <w:szCs w:val="36"/>
          <w:u w:val="single"/>
        </w:rPr>
      </w:pPr>
      <w:r w:rsidRPr="002344FE">
        <w:rPr>
          <w:b/>
          <w:bCs/>
          <w:color w:val="auto"/>
          <w:sz w:val="36"/>
          <w:szCs w:val="36"/>
          <w:u w:val="single"/>
        </w:rPr>
        <w:t xml:space="preserve">Access Changes to </w:t>
      </w:r>
      <w:proofErr w:type="spellStart"/>
      <w:r w:rsidRPr="002344FE">
        <w:rPr>
          <w:b/>
          <w:bCs/>
          <w:color w:val="auto"/>
          <w:sz w:val="36"/>
          <w:szCs w:val="36"/>
          <w:u w:val="single"/>
        </w:rPr>
        <w:t>a Users</w:t>
      </w:r>
      <w:proofErr w:type="spellEnd"/>
      <w:r w:rsidRPr="002344FE">
        <w:rPr>
          <w:b/>
          <w:bCs/>
          <w:color w:val="auto"/>
          <w:sz w:val="36"/>
          <w:szCs w:val="36"/>
          <w:u w:val="single"/>
        </w:rPr>
        <w:t xml:space="preserve"> Organisation</w:t>
      </w:r>
    </w:p>
    <w:p w14:paraId="372A8CAB" w14:textId="075B78C2" w:rsidR="002344FE" w:rsidRPr="002344FE" w:rsidRDefault="002344FE" w:rsidP="002344FE">
      <w:pPr>
        <w:spacing w:before="100" w:beforeAutospacing="1" w:after="100" w:afterAutospacing="1"/>
        <w:rPr>
          <w:color w:val="auto"/>
          <w:szCs w:val="24"/>
        </w:rPr>
      </w:pPr>
      <w:r w:rsidRPr="002344FE">
        <w:rPr>
          <w:color w:val="auto"/>
          <w:szCs w:val="24"/>
        </w:rPr>
        <w:t>With the upcoming changes to the NHS structure and the introduction of ICBs, the organisation that users are registered under may be changing and access rights will need to</w:t>
      </w:r>
      <w:r w:rsidR="00385B59">
        <w:rPr>
          <w:color w:val="auto"/>
          <w:szCs w:val="24"/>
        </w:rPr>
        <w:t xml:space="preserve"> be</w:t>
      </w:r>
      <w:r w:rsidRPr="002344FE">
        <w:rPr>
          <w:color w:val="auto"/>
          <w:szCs w:val="24"/>
        </w:rPr>
        <w:t xml:space="preserve"> considered.</w:t>
      </w:r>
    </w:p>
    <w:p w14:paraId="76635F79" w14:textId="77777777" w:rsidR="002344FE" w:rsidRPr="002344FE" w:rsidRDefault="002344FE" w:rsidP="002344FE">
      <w:pPr>
        <w:spacing w:before="100" w:beforeAutospacing="1" w:after="100" w:afterAutospacing="1"/>
        <w:rPr>
          <w:color w:val="auto"/>
          <w:szCs w:val="24"/>
        </w:rPr>
      </w:pPr>
      <w:r w:rsidRPr="002344FE">
        <w:rPr>
          <w:color w:val="auto"/>
          <w:szCs w:val="24"/>
        </w:rPr>
        <w:t>If the organisation you work for is changing, please get in touch with our registration team to ensure you are registered for access to ePACT2 under the correct organisation.</w:t>
      </w:r>
    </w:p>
    <w:p w14:paraId="5D529F9D" w14:textId="77777777" w:rsidR="002344FE" w:rsidRPr="002344FE" w:rsidRDefault="002344FE" w:rsidP="002344FE">
      <w:pPr>
        <w:spacing w:before="100" w:beforeAutospacing="1" w:after="100" w:afterAutospacing="1"/>
        <w:rPr>
          <w:color w:val="auto"/>
          <w:szCs w:val="24"/>
        </w:rPr>
      </w:pPr>
      <w:r w:rsidRPr="002344FE">
        <w:rPr>
          <w:color w:val="auto"/>
          <w:szCs w:val="24"/>
        </w:rPr>
        <w:t>If for any reason your email address is also changing, please don't forget to let the registration team know.</w:t>
      </w:r>
    </w:p>
    <w:p w14:paraId="45C23136" w14:textId="426389AE" w:rsidR="002344FE" w:rsidRPr="002344FE" w:rsidRDefault="002344FE" w:rsidP="002344FE">
      <w:pPr>
        <w:spacing w:before="100" w:beforeAutospacing="1" w:after="100" w:afterAutospacing="1"/>
        <w:rPr>
          <w:color w:val="auto"/>
          <w:szCs w:val="24"/>
        </w:rPr>
      </w:pPr>
      <w:r w:rsidRPr="002344FE">
        <w:rPr>
          <w:color w:val="auto"/>
          <w:szCs w:val="24"/>
        </w:rPr>
        <w:t xml:space="preserve">The registration team can be contacted at </w:t>
      </w:r>
      <w:hyperlink r:id="rId9" w:history="1">
        <w:r w:rsidR="00385B59" w:rsidRPr="00CF5C75">
          <w:rPr>
            <w:rStyle w:val="Hyperlink"/>
          </w:rPr>
          <w:t>DataServicesSupport@nhsbsa.nhs.uk</w:t>
        </w:r>
      </w:hyperlink>
      <w:r w:rsidR="00385B59">
        <w:t xml:space="preserve">. </w:t>
      </w:r>
    </w:p>
    <w:p w14:paraId="45E6C307" w14:textId="77777777" w:rsidR="002344FE" w:rsidRPr="002344FE" w:rsidRDefault="002344FE" w:rsidP="002344FE">
      <w:pPr>
        <w:spacing w:before="100" w:beforeAutospacing="1" w:after="100" w:afterAutospacing="1"/>
        <w:rPr>
          <w:color w:val="auto"/>
          <w:sz w:val="22"/>
        </w:rPr>
      </w:pPr>
    </w:p>
    <w:p w14:paraId="40D4B84A" w14:textId="77777777" w:rsidR="002344FE" w:rsidRPr="002344FE" w:rsidRDefault="002344FE" w:rsidP="002344FE">
      <w:pPr>
        <w:spacing w:before="100" w:beforeAutospacing="1" w:after="100" w:afterAutospacing="1"/>
        <w:rPr>
          <w:b/>
          <w:bCs/>
          <w:color w:val="auto"/>
          <w:sz w:val="36"/>
          <w:szCs w:val="36"/>
          <w:u w:val="single"/>
        </w:rPr>
      </w:pPr>
      <w:r w:rsidRPr="002344FE">
        <w:rPr>
          <w:b/>
          <w:bCs/>
          <w:color w:val="auto"/>
          <w:sz w:val="36"/>
          <w:szCs w:val="36"/>
          <w:u w:val="single"/>
        </w:rPr>
        <w:t>Bespoke Analysis</w:t>
      </w:r>
    </w:p>
    <w:p w14:paraId="3BAEB311" w14:textId="77777777" w:rsidR="002344FE" w:rsidRPr="002344FE" w:rsidRDefault="002344FE" w:rsidP="002344FE">
      <w:pPr>
        <w:spacing w:before="100" w:beforeAutospacing="1" w:after="100" w:afterAutospacing="1"/>
        <w:rPr>
          <w:color w:val="auto"/>
          <w:szCs w:val="24"/>
        </w:rPr>
      </w:pPr>
      <w:r w:rsidRPr="002344FE">
        <w:rPr>
          <w:color w:val="auto"/>
          <w:szCs w:val="24"/>
        </w:rPr>
        <w:t>The change to the organisational structure means that columns and filters using the old naming convention within ePACT2 will have to be replaced in all bespoke analysis.</w:t>
      </w:r>
    </w:p>
    <w:p w14:paraId="38187841" w14:textId="77777777" w:rsidR="002344FE" w:rsidRPr="002344FE" w:rsidRDefault="002344FE" w:rsidP="002344FE">
      <w:pPr>
        <w:spacing w:before="100" w:beforeAutospacing="1" w:after="100" w:afterAutospacing="1"/>
        <w:rPr>
          <w:color w:val="auto"/>
          <w:szCs w:val="24"/>
        </w:rPr>
      </w:pPr>
      <w:r w:rsidRPr="002344FE">
        <w:rPr>
          <w:color w:val="auto"/>
          <w:szCs w:val="24"/>
        </w:rPr>
        <w:t>To assist with the changes, we will be giving users a three-month period from 1 July – 1 October 2022 to change the columns and filters in their saved analysis. During this time, the columns and filters using the old naming convention will continue to work but will need to be replaced by 1 October 2022.</w:t>
      </w:r>
    </w:p>
    <w:p w14:paraId="1DCA30BA" w14:textId="77777777" w:rsidR="002344FE" w:rsidRPr="002344FE" w:rsidRDefault="002344FE" w:rsidP="002344FE">
      <w:pPr>
        <w:spacing w:before="100" w:beforeAutospacing="1" w:after="100" w:afterAutospacing="1"/>
        <w:rPr>
          <w:color w:val="auto"/>
          <w:szCs w:val="24"/>
        </w:rPr>
      </w:pPr>
      <w:r w:rsidRPr="002344FE">
        <w:rPr>
          <w:color w:val="auto"/>
          <w:szCs w:val="24"/>
        </w:rPr>
        <w:lastRenderedPageBreak/>
        <w:t>Please be aware that any saved analysis or filters within the shared area of ePACT2 will also need to be updated within this period.</w:t>
      </w:r>
    </w:p>
    <w:p w14:paraId="70BC249C" w14:textId="326FA621" w:rsidR="002344FE" w:rsidRPr="002344FE" w:rsidRDefault="002344FE" w:rsidP="002344FE">
      <w:pPr>
        <w:spacing w:before="100" w:beforeAutospacing="1" w:after="100" w:afterAutospacing="1"/>
        <w:rPr>
          <w:color w:val="auto"/>
          <w:szCs w:val="24"/>
        </w:rPr>
      </w:pPr>
      <w:r w:rsidRPr="002344FE">
        <w:rPr>
          <w:color w:val="auto"/>
          <w:szCs w:val="24"/>
        </w:rPr>
        <w:t xml:space="preserve">If you require any assistance or have any questions, please get in touch with us at </w:t>
      </w:r>
      <w:hyperlink r:id="rId10" w:history="1">
        <w:r w:rsidR="00385B59" w:rsidRPr="00CF5C75">
          <w:rPr>
            <w:rStyle w:val="Hyperlink"/>
          </w:rPr>
          <w:t>DataServicesSupport@nhsbsa.nhs.uk</w:t>
        </w:r>
      </w:hyperlink>
      <w:r w:rsidR="00385B59">
        <w:t xml:space="preserve">. </w:t>
      </w:r>
    </w:p>
    <w:p w14:paraId="56A563C5" w14:textId="64C1F83F" w:rsidR="001B6C49" w:rsidRPr="003B4567" w:rsidRDefault="001B6C49" w:rsidP="001B6C49">
      <w:pPr>
        <w:spacing w:before="100" w:beforeAutospacing="1" w:after="100" w:afterAutospacing="1"/>
        <w:rPr>
          <w:color w:val="auto"/>
          <w:sz w:val="22"/>
        </w:rPr>
      </w:pPr>
    </w:p>
    <w:p w14:paraId="6947EDE9" w14:textId="6BE81F29" w:rsidR="00DA44F7" w:rsidRPr="004F0CF2" w:rsidRDefault="00DA44F7" w:rsidP="00DA44F7">
      <w:pPr>
        <w:rPr>
          <w:color w:val="FF0000"/>
          <w:sz w:val="22"/>
          <w:lang w:eastAsia="en-US"/>
        </w:rPr>
      </w:pPr>
    </w:p>
    <w:p w14:paraId="7B27E30A" w14:textId="77777777" w:rsidR="00DA44F7" w:rsidRPr="004F0CF2" w:rsidRDefault="00DA44F7" w:rsidP="00BF0568">
      <w:pPr>
        <w:rPr>
          <w:sz w:val="22"/>
          <w:lang w:eastAsia="en-US"/>
        </w:rPr>
      </w:pPr>
    </w:p>
    <w:p w14:paraId="445F9E44" w14:textId="65E4835C" w:rsidR="00E547A7" w:rsidRPr="00F145DF" w:rsidRDefault="00E547A7" w:rsidP="002F7A8B">
      <w:pPr>
        <w:pStyle w:val="Heading1"/>
        <w:ind w:left="0" w:firstLine="893"/>
        <w:rPr>
          <w:sz w:val="22"/>
          <w:highlight w:val="yellow"/>
        </w:rPr>
      </w:pPr>
      <w:bookmarkStart w:id="0" w:name="_Hlk68623731"/>
    </w:p>
    <w:bookmarkEnd w:id="0"/>
    <w:p w14:paraId="44F05B3E" w14:textId="52F8BB2A" w:rsidR="008145FC" w:rsidRDefault="008145FC">
      <w:pPr>
        <w:spacing w:after="122" w:line="259" w:lineRule="auto"/>
        <w:ind w:left="0" w:right="0" w:firstLine="0"/>
        <w:rPr>
          <w:sz w:val="19"/>
        </w:rPr>
      </w:pPr>
    </w:p>
    <w:p w14:paraId="08E42B33" w14:textId="3459F9C7" w:rsidR="003A4FD0" w:rsidRDefault="003A4FD0">
      <w:pPr>
        <w:spacing w:after="122" w:line="259" w:lineRule="auto"/>
        <w:ind w:left="0" w:right="0" w:firstLine="0"/>
        <w:rPr>
          <w:sz w:val="19"/>
        </w:rPr>
      </w:pPr>
    </w:p>
    <w:p w14:paraId="7AD00E3F" w14:textId="77777777" w:rsidR="003A4FD0" w:rsidRDefault="003A4FD0">
      <w:pPr>
        <w:spacing w:after="122" w:line="259" w:lineRule="auto"/>
        <w:ind w:left="0" w:right="0" w:firstLine="0"/>
      </w:pPr>
    </w:p>
    <w:sectPr w:rsidR="003A4FD0">
      <w:pgSz w:w="11899" w:h="16850"/>
      <w:pgMar w:top="727" w:right="332" w:bottom="719"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09AF"/>
    <w:multiLevelType w:val="hybridMultilevel"/>
    <w:tmpl w:val="3F224522"/>
    <w:lvl w:ilvl="0" w:tplc="8A205358">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ED082">
      <w:start w:val="1"/>
      <w:numFmt w:val="bullet"/>
      <w:lvlText w:val="o"/>
      <w:lvlJc w:val="left"/>
      <w:pPr>
        <w:ind w:left="2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F48750">
      <w:start w:val="1"/>
      <w:numFmt w:val="bullet"/>
      <w:lvlText w:val="▪"/>
      <w:lvlJc w:val="left"/>
      <w:pPr>
        <w:ind w:left="3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0E1D3C">
      <w:start w:val="1"/>
      <w:numFmt w:val="bullet"/>
      <w:lvlText w:val="•"/>
      <w:lvlJc w:val="left"/>
      <w:pPr>
        <w:ind w:left="3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80A970">
      <w:start w:val="1"/>
      <w:numFmt w:val="bullet"/>
      <w:lvlText w:val="o"/>
      <w:lvlJc w:val="left"/>
      <w:pPr>
        <w:ind w:left="4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BC33F0">
      <w:start w:val="1"/>
      <w:numFmt w:val="bullet"/>
      <w:lvlText w:val="▪"/>
      <w:lvlJc w:val="left"/>
      <w:pPr>
        <w:ind w:left="5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44AB58">
      <w:start w:val="1"/>
      <w:numFmt w:val="bullet"/>
      <w:lvlText w:val="•"/>
      <w:lvlJc w:val="left"/>
      <w:pPr>
        <w:ind w:left="5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3AAF82">
      <w:start w:val="1"/>
      <w:numFmt w:val="bullet"/>
      <w:lvlText w:val="o"/>
      <w:lvlJc w:val="left"/>
      <w:pPr>
        <w:ind w:left="6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DAAADE">
      <w:start w:val="1"/>
      <w:numFmt w:val="bullet"/>
      <w:lvlText w:val="▪"/>
      <w:lvlJc w:val="left"/>
      <w:pPr>
        <w:ind w:left="7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B9319B"/>
    <w:multiLevelType w:val="hybridMultilevel"/>
    <w:tmpl w:val="8642FE60"/>
    <w:lvl w:ilvl="0" w:tplc="5354165E">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2AD8E4">
      <w:start w:val="1"/>
      <w:numFmt w:val="bullet"/>
      <w:lvlText w:val="o"/>
      <w:lvlJc w:val="left"/>
      <w:pPr>
        <w:ind w:left="2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8C9A24">
      <w:start w:val="1"/>
      <w:numFmt w:val="bullet"/>
      <w:lvlText w:val="▪"/>
      <w:lvlJc w:val="left"/>
      <w:pPr>
        <w:ind w:left="3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72608E">
      <w:start w:val="1"/>
      <w:numFmt w:val="bullet"/>
      <w:lvlText w:val="•"/>
      <w:lvlJc w:val="left"/>
      <w:pPr>
        <w:ind w:left="3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0CEF82">
      <w:start w:val="1"/>
      <w:numFmt w:val="bullet"/>
      <w:lvlText w:val="o"/>
      <w:lvlJc w:val="left"/>
      <w:pPr>
        <w:ind w:left="4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0A85D2">
      <w:start w:val="1"/>
      <w:numFmt w:val="bullet"/>
      <w:lvlText w:val="▪"/>
      <w:lvlJc w:val="left"/>
      <w:pPr>
        <w:ind w:left="5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A1A80">
      <w:start w:val="1"/>
      <w:numFmt w:val="bullet"/>
      <w:lvlText w:val="•"/>
      <w:lvlJc w:val="left"/>
      <w:pPr>
        <w:ind w:left="5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420DB4">
      <w:start w:val="1"/>
      <w:numFmt w:val="bullet"/>
      <w:lvlText w:val="o"/>
      <w:lvlJc w:val="left"/>
      <w:pPr>
        <w:ind w:left="6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10DBB8">
      <w:start w:val="1"/>
      <w:numFmt w:val="bullet"/>
      <w:lvlText w:val="▪"/>
      <w:lvlJc w:val="left"/>
      <w:pPr>
        <w:ind w:left="7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DF71A3"/>
    <w:multiLevelType w:val="hybridMultilevel"/>
    <w:tmpl w:val="7FDEEF98"/>
    <w:lvl w:ilvl="0" w:tplc="08090001">
      <w:start w:val="1"/>
      <w:numFmt w:val="bullet"/>
      <w:lvlText w:val=""/>
      <w:lvlJc w:val="left"/>
      <w:pPr>
        <w:ind w:left="1613" w:hanging="360"/>
      </w:pPr>
      <w:rPr>
        <w:rFonts w:ascii="Symbol" w:hAnsi="Symbol"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num w:numId="1" w16cid:durableId="1480464321">
    <w:abstractNumId w:val="0"/>
  </w:num>
  <w:num w:numId="2" w16cid:durableId="634070205">
    <w:abstractNumId w:val="1"/>
  </w:num>
  <w:num w:numId="3" w16cid:durableId="593444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A7"/>
    <w:rsid w:val="00011E18"/>
    <w:rsid w:val="00050CE0"/>
    <w:rsid w:val="00070CF6"/>
    <w:rsid w:val="000725D5"/>
    <w:rsid w:val="0008397E"/>
    <w:rsid w:val="000A2B19"/>
    <w:rsid w:val="000A6049"/>
    <w:rsid w:val="000B1735"/>
    <w:rsid w:val="000B4E5B"/>
    <w:rsid w:val="000C0BB6"/>
    <w:rsid w:val="000C4AC5"/>
    <w:rsid w:val="000E4F11"/>
    <w:rsid w:val="000F5F53"/>
    <w:rsid w:val="000F72FB"/>
    <w:rsid w:val="001606AC"/>
    <w:rsid w:val="00173D21"/>
    <w:rsid w:val="0018572A"/>
    <w:rsid w:val="001A2E5A"/>
    <w:rsid w:val="001A3019"/>
    <w:rsid w:val="001B6C49"/>
    <w:rsid w:val="001E30BB"/>
    <w:rsid w:val="0023274C"/>
    <w:rsid w:val="002344FE"/>
    <w:rsid w:val="00262F3A"/>
    <w:rsid w:val="002707F6"/>
    <w:rsid w:val="002A059E"/>
    <w:rsid w:val="002E55B8"/>
    <w:rsid w:val="002F7A8B"/>
    <w:rsid w:val="0031086F"/>
    <w:rsid w:val="003269A7"/>
    <w:rsid w:val="00332231"/>
    <w:rsid w:val="0034571D"/>
    <w:rsid w:val="00350666"/>
    <w:rsid w:val="00362375"/>
    <w:rsid w:val="00385B59"/>
    <w:rsid w:val="003A1194"/>
    <w:rsid w:val="003A4FD0"/>
    <w:rsid w:val="003B4567"/>
    <w:rsid w:val="003C6E9B"/>
    <w:rsid w:val="003D17EF"/>
    <w:rsid w:val="003F5B5B"/>
    <w:rsid w:val="004478B3"/>
    <w:rsid w:val="00487F79"/>
    <w:rsid w:val="00493FA2"/>
    <w:rsid w:val="004D3E96"/>
    <w:rsid w:val="004F0CF2"/>
    <w:rsid w:val="00503040"/>
    <w:rsid w:val="0051178C"/>
    <w:rsid w:val="00551BFB"/>
    <w:rsid w:val="00570EF9"/>
    <w:rsid w:val="00574523"/>
    <w:rsid w:val="005B1F64"/>
    <w:rsid w:val="005C5354"/>
    <w:rsid w:val="005D3132"/>
    <w:rsid w:val="005D76D6"/>
    <w:rsid w:val="005F0FEC"/>
    <w:rsid w:val="00607422"/>
    <w:rsid w:val="00607646"/>
    <w:rsid w:val="00613CEE"/>
    <w:rsid w:val="00630888"/>
    <w:rsid w:val="006517BD"/>
    <w:rsid w:val="0065629A"/>
    <w:rsid w:val="006B6B38"/>
    <w:rsid w:val="006D2235"/>
    <w:rsid w:val="006F2187"/>
    <w:rsid w:val="006F58F7"/>
    <w:rsid w:val="006F705F"/>
    <w:rsid w:val="007062B7"/>
    <w:rsid w:val="007205D3"/>
    <w:rsid w:val="007329AA"/>
    <w:rsid w:val="00747877"/>
    <w:rsid w:val="007507DF"/>
    <w:rsid w:val="0075243E"/>
    <w:rsid w:val="0079233E"/>
    <w:rsid w:val="007A13E9"/>
    <w:rsid w:val="007D2E4F"/>
    <w:rsid w:val="00801456"/>
    <w:rsid w:val="0080685F"/>
    <w:rsid w:val="008145FC"/>
    <w:rsid w:val="00823271"/>
    <w:rsid w:val="00860981"/>
    <w:rsid w:val="0087292E"/>
    <w:rsid w:val="008748A1"/>
    <w:rsid w:val="00890AE0"/>
    <w:rsid w:val="008B467A"/>
    <w:rsid w:val="008D3444"/>
    <w:rsid w:val="008D6FBF"/>
    <w:rsid w:val="008E4BBB"/>
    <w:rsid w:val="00905051"/>
    <w:rsid w:val="00931F61"/>
    <w:rsid w:val="0097268B"/>
    <w:rsid w:val="00972D44"/>
    <w:rsid w:val="0099199E"/>
    <w:rsid w:val="009A0AF7"/>
    <w:rsid w:val="009C783E"/>
    <w:rsid w:val="009D40A4"/>
    <w:rsid w:val="009F51CE"/>
    <w:rsid w:val="00A0703E"/>
    <w:rsid w:val="00A207DD"/>
    <w:rsid w:val="00A26866"/>
    <w:rsid w:val="00A32C37"/>
    <w:rsid w:val="00A54F13"/>
    <w:rsid w:val="00A65DF9"/>
    <w:rsid w:val="00AB649D"/>
    <w:rsid w:val="00AC0BAF"/>
    <w:rsid w:val="00AC5C4D"/>
    <w:rsid w:val="00AE3D4B"/>
    <w:rsid w:val="00B42615"/>
    <w:rsid w:val="00B56F86"/>
    <w:rsid w:val="00BA271E"/>
    <w:rsid w:val="00BB5187"/>
    <w:rsid w:val="00BC28BE"/>
    <w:rsid w:val="00BC2EEB"/>
    <w:rsid w:val="00BF0568"/>
    <w:rsid w:val="00C06DD2"/>
    <w:rsid w:val="00C11D83"/>
    <w:rsid w:val="00C57FC8"/>
    <w:rsid w:val="00C61F61"/>
    <w:rsid w:val="00C61FA3"/>
    <w:rsid w:val="00CA773A"/>
    <w:rsid w:val="00CB5103"/>
    <w:rsid w:val="00CC4AE1"/>
    <w:rsid w:val="00D02323"/>
    <w:rsid w:val="00D526E6"/>
    <w:rsid w:val="00D532A1"/>
    <w:rsid w:val="00D56EC3"/>
    <w:rsid w:val="00D6037E"/>
    <w:rsid w:val="00DA44F7"/>
    <w:rsid w:val="00DA6832"/>
    <w:rsid w:val="00DB652A"/>
    <w:rsid w:val="00DE730A"/>
    <w:rsid w:val="00E05FB6"/>
    <w:rsid w:val="00E06669"/>
    <w:rsid w:val="00E20E34"/>
    <w:rsid w:val="00E547A7"/>
    <w:rsid w:val="00E679D2"/>
    <w:rsid w:val="00E67F8D"/>
    <w:rsid w:val="00E853E0"/>
    <w:rsid w:val="00EB4861"/>
    <w:rsid w:val="00ED0EB6"/>
    <w:rsid w:val="00EE5D43"/>
    <w:rsid w:val="00EF671D"/>
    <w:rsid w:val="00F145DF"/>
    <w:rsid w:val="00F343BA"/>
    <w:rsid w:val="00F50D22"/>
    <w:rsid w:val="00F6698A"/>
    <w:rsid w:val="00F845B4"/>
    <w:rsid w:val="00F9538B"/>
    <w:rsid w:val="00FC1973"/>
    <w:rsid w:val="00FC6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A1D2"/>
  <w15:docId w15:val="{0A06B7BB-F127-4028-A8D8-6246E914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903" w:right="791"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3"/>
      <w:ind w:left="903"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8748A1"/>
    <w:pPr>
      <w:ind w:left="720"/>
      <w:contextualSpacing/>
    </w:pPr>
  </w:style>
  <w:style w:type="character" w:styleId="Hyperlink">
    <w:name w:val="Hyperlink"/>
    <w:basedOn w:val="DefaultParagraphFont"/>
    <w:uiPriority w:val="99"/>
    <w:unhideWhenUsed/>
    <w:rsid w:val="00AC5C4D"/>
    <w:rPr>
      <w:color w:val="0563C1" w:themeColor="hyperlink"/>
      <w:u w:val="single"/>
    </w:rPr>
  </w:style>
  <w:style w:type="character" w:styleId="UnresolvedMention">
    <w:name w:val="Unresolved Mention"/>
    <w:basedOn w:val="DefaultParagraphFont"/>
    <w:uiPriority w:val="99"/>
    <w:semiHidden/>
    <w:unhideWhenUsed/>
    <w:rsid w:val="00AC5C4D"/>
    <w:rPr>
      <w:color w:val="605E5C"/>
      <w:shd w:val="clear" w:color="auto" w:fill="E1DFDD"/>
    </w:rPr>
  </w:style>
  <w:style w:type="character" w:styleId="CommentReference">
    <w:name w:val="annotation reference"/>
    <w:basedOn w:val="DefaultParagraphFont"/>
    <w:uiPriority w:val="99"/>
    <w:semiHidden/>
    <w:unhideWhenUsed/>
    <w:rsid w:val="000C0BB6"/>
    <w:rPr>
      <w:sz w:val="16"/>
      <w:szCs w:val="16"/>
    </w:rPr>
  </w:style>
  <w:style w:type="paragraph" w:styleId="CommentText">
    <w:name w:val="annotation text"/>
    <w:basedOn w:val="Normal"/>
    <w:link w:val="CommentTextChar"/>
    <w:uiPriority w:val="99"/>
    <w:semiHidden/>
    <w:unhideWhenUsed/>
    <w:rsid w:val="000C0BB6"/>
    <w:pPr>
      <w:spacing w:line="240" w:lineRule="auto"/>
    </w:pPr>
    <w:rPr>
      <w:sz w:val="20"/>
      <w:szCs w:val="20"/>
    </w:rPr>
  </w:style>
  <w:style w:type="character" w:customStyle="1" w:styleId="CommentTextChar">
    <w:name w:val="Comment Text Char"/>
    <w:basedOn w:val="DefaultParagraphFont"/>
    <w:link w:val="CommentText"/>
    <w:uiPriority w:val="99"/>
    <w:semiHidden/>
    <w:rsid w:val="000C0BB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C0BB6"/>
    <w:rPr>
      <w:b/>
      <w:bCs/>
    </w:rPr>
  </w:style>
  <w:style w:type="character" w:customStyle="1" w:styleId="CommentSubjectChar">
    <w:name w:val="Comment Subject Char"/>
    <w:basedOn w:val="CommentTextChar"/>
    <w:link w:val="CommentSubject"/>
    <w:uiPriority w:val="99"/>
    <w:semiHidden/>
    <w:rsid w:val="000C0BB6"/>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3C6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670">
      <w:bodyDiv w:val="1"/>
      <w:marLeft w:val="0"/>
      <w:marRight w:val="0"/>
      <w:marTop w:val="0"/>
      <w:marBottom w:val="0"/>
      <w:divBdr>
        <w:top w:val="none" w:sz="0" w:space="0" w:color="auto"/>
        <w:left w:val="none" w:sz="0" w:space="0" w:color="auto"/>
        <w:bottom w:val="none" w:sz="0" w:space="0" w:color="auto"/>
        <w:right w:val="none" w:sz="0" w:space="0" w:color="auto"/>
      </w:divBdr>
    </w:div>
    <w:div w:id="1344478686">
      <w:bodyDiv w:val="1"/>
      <w:marLeft w:val="0"/>
      <w:marRight w:val="0"/>
      <w:marTop w:val="0"/>
      <w:marBottom w:val="0"/>
      <w:divBdr>
        <w:top w:val="none" w:sz="0" w:space="0" w:color="auto"/>
        <w:left w:val="none" w:sz="0" w:space="0" w:color="auto"/>
        <w:bottom w:val="none" w:sz="0" w:space="0" w:color="auto"/>
        <w:right w:val="none" w:sz="0" w:space="0" w:color="auto"/>
      </w:divBdr>
    </w:div>
    <w:div w:id="1361970747">
      <w:bodyDiv w:val="1"/>
      <w:marLeft w:val="0"/>
      <w:marRight w:val="0"/>
      <w:marTop w:val="0"/>
      <w:marBottom w:val="0"/>
      <w:divBdr>
        <w:top w:val="none" w:sz="0" w:space="0" w:color="auto"/>
        <w:left w:val="none" w:sz="0" w:space="0" w:color="auto"/>
        <w:bottom w:val="none" w:sz="0" w:space="0" w:color="auto"/>
        <w:right w:val="none" w:sz="0" w:space="0" w:color="auto"/>
      </w:divBdr>
    </w:div>
    <w:div w:id="157195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taServicesSupport@nhsbsa.nhs.uk" TargetMode="External"/><Relationship Id="rId4" Type="http://schemas.openxmlformats.org/officeDocument/2006/relationships/numbering" Target="numbering.xml"/><Relationship Id="rId9" Type="http://schemas.openxmlformats.org/officeDocument/2006/relationships/hyperlink" Target="mailto:DataServicesSupport@nhsbs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1" ma:contentTypeDescription="Create a new document." ma:contentTypeScope="" ma:versionID="41429724c1bae684b409c85c34ce1a88">
  <xsd:schema xmlns:xsd="http://www.w3.org/2001/XMLSchema" xmlns:xs="http://www.w3.org/2001/XMLSchema" xmlns:p="http://schemas.microsoft.com/office/2006/metadata/properties" xmlns:ns2="91b86cd2-d370-4f57-9db8-681c4fb37596" xmlns:ns3="563bd847-283f-48dc-9444-f54c9e765c55" targetNamespace="http://schemas.microsoft.com/office/2006/metadata/properties" ma:root="true" ma:fieldsID="84d5fbeee8a5ddd6b7bec4915b8b0c90" ns2:_="" ns3:_="">
    <xsd:import namespace="91b86cd2-d370-4f57-9db8-681c4fb37596"/>
    <xsd:import namespace="563bd847-283f-48dc-9444-f54c9e765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63bd847-283f-48dc-9444-f54c9e765c55">
      <UserInfo>
        <DisplayName>Paul Westrip</DisplayName>
        <AccountId>75</AccountId>
        <AccountType/>
      </UserInfo>
      <UserInfo>
        <DisplayName>Ann Adamson</DisplayName>
        <AccountId>32</AccountId>
        <AccountType/>
      </UserInfo>
      <UserInfo>
        <DisplayName>Ann Conlin</DisplayName>
        <AccountId>51</AccountId>
        <AccountType/>
      </UserInfo>
      <UserInfo>
        <DisplayName>Ben Holmes</DisplayName>
        <AccountId>61</AccountId>
        <AccountType/>
      </UserInfo>
      <UserInfo>
        <DisplayName>Carol McAuley</DisplayName>
        <AccountId>72</AccountId>
        <AccountType/>
      </UserInfo>
      <UserInfo>
        <DisplayName>Debra Sampson</DisplayName>
        <AccountId>63</AccountId>
        <AccountType/>
      </UserInfo>
      <UserInfo>
        <DisplayName>John Kirkup</DisplayName>
        <AccountId>37</AccountId>
        <AccountType/>
      </UserInfo>
      <UserInfo>
        <DisplayName>Sandra Mitchell</DisplayName>
        <AccountId>52</AccountId>
        <AccountType/>
      </UserInfo>
    </SharedWithUsers>
  </documentManagement>
</p:properties>
</file>

<file path=customXml/itemProps1.xml><?xml version="1.0" encoding="utf-8"?>
<ds:datastoreItem xmlns:ds="http://schemas.openxmlformats.org/officeDocument/2006/customXml" ds:itemID="{A66B96FA-7829-4E07-ADB5-CB65BF05865E}">
  <ds:schemaRefs>
    <ds:schemaRef ds:uri="http://schemas.microsoft.com/sharepoint/v3/contenttype/forms"/>
  </ds:schemaRefs>
</ds:datastoreItem>
</file>

<file path=customXml/itemProps2.xml><?xml version="1.0" encoding="utf-8"?>
<ds:datastoreItem xmlns:ds="http://schemas.openxmlformats.org/officeDocument/2006/customXml" ds:itemID="{F35AE771-BFBD-455C-8CA8-51749679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86cd2-d370-4f57-9db8-681c4fb37596"/>
    <ds:schemaRef ds:uri="563bd847-283f-48dc-9444-f54c9e765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170D2-5A56-4F2E-A124-5CBD9B43D8E8}">
  <ds:schemaRefs>
    <ds:schemaRef ds:uri="http://schemas.microsoft.com/office/2006/metadata/properties"/>
    <ds:schemaRef ds:uri="http://schemas.microsoft.com/office/infopath/2007/PartnerControls"/>
    <ds:schemaRef ds:uri="563bd847-283f-48dc-9444-f54c9e765c5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(V2)</dc:title>
  <dc:subject/>
  <dc:creator>Margaret Jones</dc:creator>
  <cp:keywords/>
  <cp:lastModifiedBy>Kate Nordstrom</cp:lastModifiedBy>
  <cp:revision>2</cp:revision>
  <dcterms:created xsi:type="dcterms:W3CDTF">2023-03-17T12:37:00Z</dcterms:created>
  <dcterms:modified xsi:type="dcterms:W3CDTF">2023-03-17T12:37:00Z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ies>
</file>