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D63E" w14:textId="38F54F27" w:rsidR="009C473B" w:rsidRDefault="00B94E92" w:rsidP="00E60CBC">
      <w:pPr>
        <w:rPr>
          <w:rFonts w:ascii="Arial" w:hAnsi="Arial" w:cs="Arial"/>
          <w:b/>
          <w:bCs/>
          <w:color w:val="2F5496" w:themeColor="accent1" w:themeShade="BF"/>
          <w:sz w:val="32"/>
          <w:szCs w:val="32"/>
        </w:rPr>
      </w:pPr>
      <w:r>
        <w:rPr>
          <w:noProof/>
        </w:rPr>
        <w:drawing>
          <wp:anchor distT="0" distB="0" distL="114300" distR="114300" simplePos="0" relativeHeight="251658240" behindDoc="1" locked="0" layoutInCell="1" allowOverlap="1" wp14:anchorId="3F043E58" wp14:editId="49A7FAF7">
            <wp:simplePos x="0" y="0"/>
            <wp:positionH relativeFrom="page">
              <wp:align>right</wp:align>
            </wp:positionH>
            <wp:positionV relativeFrom="paragraph">
              <wp:posOffset>-723900</wp:posOffset>
            </wp:positionV>
            <wp:extent cx="10692000" cy="1803193"/>
            <wp:effectExtent l="0" t="0" r="0" b="6985"/>
            <wp:wrapNone/>
            <wp:docPr id="149919009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190096"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2000" cy="1803193"/>
                    </a:xfrm>
                    <a:prstGeom prst="rect">
                      <a:avLst/>
                    </a:prstGeom>
                  </pic:spPr>
                </pic:pic>
              </a:graphicData>
            </a:graphic>
            <wp14:sizeRelH relativeFrom="page">
              <wp14:pctWidth>0</wp14:pctWidth>
            </wp14:sizeRelH>
            <wp14:sizeRelV relativeFrom="page">
              <wp14:pctHeight>0</wp14:pctHeight>
            </wp14:sizeRelV>
          </wp:anchor>
        </w:drawing>
      </w:r>
    </w:p>
    <w:p w14:paraId="0C0A2628" w14:textId="2699B7EF" w:rsidR="004E5B71" w:rsidRDefault="004E5B71" w:rsidP="00E60CBC">
      <w:pPr>
        <w:rPr>
          <w:rFonts w:ascii="Arial" w:hAnsi="Arial" w:cs="Arial"/>
          <w:b/>
          <w:bCs/>
          <w:color w:val="2F5496" w:themeColor="accent1" w:themeShade="BF"/>
          <w:sz w:val="28"/>
          <w:szCs w:val="28"/>
        </w:rPr>
      </w:pPr>
    </w:p>
    <w:p w14:paraId="546E66CF" w14:textId="77777777" w:rsidR="00677A54" w:rsidRDefault="00677A54" w:rsidP="00677A54">
      <w:pPr>
        <w:spacing w:after="0"/>
        <w:rPr>
          <w:rFonts w:ascii="Arial" w:hAnsi="Arial" w:cs="Arial"/>
          <w:b/>
          <w:bCs/>
          <w:color w:val="0070C0"/>
          <w:sz w:val="44"/>
          <w:szCs w:val="44"/>
        </w:rPr>
      </w:pPr>
    </w:p>
    <w:p w14:paraId="105E3F1E" w14:textId="2B681EB2" w:rsidR="00B94E92" w:rsidRPr="00B94E92" w:rsidRDefault="00B94E92" w:rsidP="00677A54">
      <w:pPr>
        <w:spacing w:after="0"/>
        <w:rPr>
          <w:rFonts w:ascii="Arial" w:hAnsi="Arial" w:cs="Arial"/>
          <w:b/>
          <w:bCs/>
          <w:color w:val="0070C0"/>
          <w:sz w:val="48"/>
          <w:szCs w:val="48"/>
        </w:rPr>
      </w:pPr>
      <w:r w:rsidRPr="00B94E92">
        <w:rPr>
          <w:rFonts w:ascii="Arial" w:hAnsi="Arial" w:cs="Arial"/>
          <w:b/>
          <w:bCs/>
          <w:color w:val="0070C0"/>
          <w:sz w:val="48"/>
          <w:szCs w:val="48"/>
        </w:rPr>
        <w:t>Provider Assurance Dental (PAD)</w:t>
      </w:r>
    </w:p>
    <w:p w14:paraId="5C8A60E3" w14:textId="77777777" w:rsidR="00677A54" w:rsidRDefault="00677A54" w:rsidP="00B94E92">
      <w:pPr>
        <w:spacing w:after="0"/>
        <w:rPr>
          <w:rFonts w:ascii="Arial" w:hAnsi="Arial" w:cs="Arial"/>
          <w:b/>
          <w:bCs/>
          <w:color w:val="0070C0"/>
          <w:sz w:val="28"/>
          <w:szCs w:val="28"/>
        </w:rPr>
      </w:pPr>
    </w:p>
    <w:p w14:paraId="0AA80E09" w14:textId="1D18D404" w:rsidR="00B94E92" w:rsidRPr="00B94E92" w:rsidRDefault="00B94E92" w:rsidP="00B94E92">
      <w:pPr>
        <w:spacing w:after="0"/>
        <w:rPr>
          <w:rFonts w:ascii="Arial" w:hAnsi="Arial" w:cs="Arial"/>
          <w:b/>
          <w:bCs/>
          <w:color w:val="0070C0"/>
          <w:sz w:val="28"/>
          <w:szCs w:val="28"/>
        </w:rPr>
      </w:pPr>
      <w:r w:rsidRPr="00B94E92">
        <w:rPr>
          <w:rFonts w:ascii="Arial" w:hAnsi="Arial" w:cs="Arial"/>
          <w:b/>
          <w:bCs/>
          <w:color w:val="0070C0"/>
          <w:sz w:val="28"/>
          <w:szCs w:val="28"/>
        </w:rPr>
        <w:t>2023/24 Year End (YE) reconciliation</w:t>
      </w:r>
    </w:p>
    <w:p w14:paraId="7D40033D" w14:textId="29BC79C2" w:rsidR="00B94E92" w:rsidRDefault="00B94E92" w:rsidP="00B94E92">
      <w:pPr>
        <w:spacing w:after="0"/>
        <w:rPr>
          <w:rFonts w:ascii="Arial" w:hAnsi="Arial" w:cs="Arial"/>
          <w:b/>
          <w:bCs/>
          <w:color w:val="0070C0"/>
          <w:sz w:val="28"/>
          <w:szCs w:val="28"/>
        </w:rPr>
      </w:pPr>
      <w:r w:rsidRPr="00B94E92">
        <w:rPr>
          <w:rFonts w:ascii="Arial" w:hAnsi="Arial" w:cs="Arial"/>
          <w:b/>
          <w:bCs/>
          <w:color w:val="0070C0"/>
          <w:sz w:val="28"/>
          <w:szCs w:val="28"/>
        </w:rPr>
        <w:t>Operational plan</w:t>
      </w:r>
    </w:p>
    <w:p w14:paraId="6BA1138A" w14:textId="77777777" w:rsidR="00677A54" w:rsidRDefault="00677A54" w:rsidP="00B94E92">
      <w:pPr>
        <w:spacing w:after="0"/>
        <w:rPr>
          <w:rFonts w:ascii="Arial" w:hAnsi="Arial" w:cs="Arial"/>
          <w:b/>
          <w:bCs/>
          <w:color w:val="0070C0"/>
          <w:sz w:val="28"/>
          <w:szCs w:val="28"/>
        </w:rPr>
      </w:pP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1032"/>
        <w:gridCol w:w="5171"/>
        <w:gridCol w:w="1032"/>
        <w:gridCol w:w="5230"/>
      </w:tblGrid>
      <w:tr w:rsidR="0066357A" w:rsidRPr="00B35037" w14:paraId="3C73D4D7" w14:textId="77777777" w:rsidTr="00FD44D5">
        <w:tc>
          <w:tcPr>
            <w:tcW w:w="2020" w:type="dxa"/>
            <w:vMerge w:val="restart"/>
            <w:shd w:val="clear" w:color="auto" w:fill="DEEAF6" w:themeFill="accent5" w:themeFillTint="33"/>
          </w:tcPr>
          <w:p w14:paraId="44ED9A7C" w14:textId="2308F143" w:rsidR="0066357A" w:rsidRDefault="0066357A" w:rsidP="000F260A">
            <w:pPr>
              <w:tabs>
                <w:tab w:val="left" w:pos="1417"/>
              </w:tabs>
              <w:rPr>
                <w:rFonts w:ascii="Arial" w:hAnsi="Arial" w:cs="Arial"/>
                <w:b/>
                <w:color w:val="0070C0"/>
                <w:sz w:val="32"/>
                <w:szCs w:val="32"/>
              </w:rPr>
            </w:pPr>
            <w:r w:rsidRPr="00E75125">
              <w:rPr>
                <w:rFonts w:ascii="Arial" w:hAnsi="Arial" w:cs="Arial"/>
                <w:b/>
                <w:color w:val="0070C0"/>
                <w:sz w:val="32"/>
                <w:szCs w:val="32"/>
              </w:rPr>
              <w:t xml:space="preserve">April – </w:t>
            </w:r>
          </w:p>
          <w:p w14:paraId="342727AD" w14:textId="5C690B91" w:rsidR="0066357A" w:rsidRPr="00B35037" w:rsidRDefault="0066357A" w:rsidP="000F260A">
            <w:pPr>
              <w:tabs>
                <w:tab w:val="left" w:pos="1417"/>
              </w:tabs>
              <w:rPr>
                <w:rFonts w:ascii="Arial" w:hAnsi="Arial" w:cs="Arial"/>
                <w:b/>
                <w:sz w:val="32"/>
                <w:szCs w:val="32"/>
              </w:rPr>
            </w:pPr>
            <w:r w:rsidRPr="00E75125">
              <w:rPr>
                <w:rFonts w:ascii="Arial" w:hAnsi="Arial" w:cs="Arial"/>
                <w:b/>
                <w:color w:val="0070C0"/>
                <w:sz w:val="32"/>
                <w:szCs w:val="32"/>
              </w:rPr>
              <w:t>May 2024</w:t>
            </w:r>
          </w:p>
        </w:tc>
        <w:tc>
          <w:tcPr>
            <w:tcW w:w="1032" w:type="dxa"/>
          </w:tcPr>
          <w:p w14:paraId="5D29EF23" w14:textId="40B2C21A" w:rsidR="0066357A" w:rsidRPr="00B35037" w:rsidRDefault="00103D7A" w:rsidP="000F260A">
            <w:pPr>
              <w:tabs>
                <w:tab w:val="left" w:pos="1417"/>
              </w:tabs>
              <w:rPr>
                <w:rFonts w:ascii="Arial" w:hAnsi="Arial" w:cs="Arial"/>
                <w:sz w:val="24"/>
                <w:szCs w:val="24"/>
              </w:rPr>
            </w:pPr>
            <w:r>
              <w:rPr>
                <w:rFonts w:ascii="Arial" w:hAnsi="Arial" w:cs="Arial"/>
                <w:b/>
                <w:noProof/>
                <w:color w:val="0070C0"/>
                <w:sz w:val="32"/>
                <w:szCs w:val="32"/>
              </w:rPr>
              <w:drawing>
                <wp:inline distT="0" distB="0" distL="0" distR="0" wp14:anchorId="24CD3397" wp14:editId="6F410104">
                  <wp:extent cx="518615" cy="518615"/>
                  <wp:effectExtent l="0" t="0" r="0" b="0"/>
                  <wp:docPr id="293028125" name="Graphic 2"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28125" name="Graphic 293028125" descr="Play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2198" cy="522198"/>
                          </a:xfrm>
                          <a:prstGeom prst="rect">
                            <a:avLst/>
                          </a:prstGeom>
                        </pic:spPr>
                      </pic:pic>
                    </a:graphicData>
                  </a:graphic>
                </wp:inline>
              </w:drawing>
            </w:r>
          </w:p>
        </w:tc>
        <w:tc>
          <w:tcPr>
            <w:tcW w:w="5171" w:type="dxa"/>
          </w:tcPr>
          <w:p w14:paraId="03A8C61B" w14:textId="77777777" w:rsidR="00112FE5" w:rsidRDefault="00112FE5" w:rsidP="003532EE">
            <w:pPr>
              <w:tabs>
                <w:tab w:val="left" w:pos="1417"/>
              </w:tabs>
              <w:rPr>
                <w:rFonts w:ascii="Arial" w:hAnsi="Arial" w:cs="Arial"/>
                <w:b/>
                <w:bCs/>
                <w:color w:val="0070C0"/>
                <w:sz w:val="24"/>
                <w:szCs w:val="24"/>
              </w:rPr>
            </w:pPr>
          </w:p>
          <w:p w14:paraId="2AC4F168" w14:textId="6AF63DAB" w:rsidR="0066357A" w:rsidRPr="00B35037" w:rsidRDefault="0066357A" w:rsidP="003532EE">
            <w:pPr>
              <w:tabs>
                <w:tab w:val="left" w:pos="1417"/>
              </w:tabs>
              <w:rPr>
                <w:rFonts w:ascii="Arial" w:hAnsi="Arial" w:cs="Arial"/>
                <w:b/>
                <w:bCs/>
                <w:color w:val="0070C0"/>
                <w:sz w:val="24"/>
                <w:szCs w:val="24"/>
              </w:rPr>
            </w:pPr>
            <w:r w:rsidRPr="003532EE">
              <w:rPr>
                <w:rFonts w:ascii="Arial" w:hAnsi="Arial" w:cs="Arial"/>
                <w:b/>
                <w:bCs/>
                <w:color w:val="0070C0"/>
                <w:sz w:val="24"/>
                <w:szCs w:val="24"/>
              </w:rPr>
              <w:t xml:space="preserve">Early Repayment Scheme for YE financial recovery 23/24 </w:t>
            </w:r>
          </w:p>
          <w:p w14:paraId="47F03ED7" w14:textId="77777777" w:rsidR="0066357A" w:rsidRPr="003532EE" w:rsidRDefault="0066357A" w:rsidP="003532EE">
            <w:pPr>
              <w:tabs>
                <w:tab w:val="left" w:pos="1417"/>
              </w:tabs>
              <w:rPr>
                <w:rFonts w:ascii="Arial" w:hAnsi="Arial" w:cs="Arial"/>
                <w:b/>
                <w:bCs/>
                <w:sz w:val="24"/>
                <w:szCs w:val="24"/>
                <w:u w:val="single"/>
              </w:rPr>
            </w:pPr>
          </w:p>
          <w:p w14:paraId="606DDEF2" w14:textId="77777777" w:rsidR="0066357A" w:rsidRPr="003532EE" w:rsidRDefault="0066357A" w:rsidP="003532EE">
            <w:pPr>
              <w:tabs>
                <w:tab w:val="left" w:pos="1417"/>
              </w:tabs>
              <w:rPr>
                <w:rFonts w:ascii="Arial" w:hAnsi="Arial" w:cs="Arial"/>
                <w:sz w:val="24"/>
                <w:szCs w:val="24"/>
              </w:rPr>
            </w:pPr>
            <w:r w:rsidRPr="003532EE">
              <w:rPr>
                <w:rFonts w:ascii="Arial" w:hAnsi="Arial" w:cs="Arial"/>
                <w:sz w:val="24"/>
                <w:szCs w:val="24"/>
              </w:rPr>
              <w:t xml:space="preserve">The agreement made between commissioner and contractor into the Early Repayment Scheme for financial recovery for YE 2324 provides the contractor the opportunity to spread the recovery over a longer </w:t>
            </w:r>
            <w:proofErr w:type="gramStart"/>
            <w:r w:rsidRPr="003532EE">
              <w:rPr>
                <w:rFonts w:ascii="Arial" w:hAnsi="Arial" w:cs="Arial"/>
                <w:sz w:val="24"/>
                <w:szCs w:val="24"/>
              </w:rPr>
              <w:t>time period</w:t>
            </w:r>
            <w:proofErr w:type="gramEnd"/>
            <w:r w:rsidRPr="003532EE">
              <w:rPr>
                <w:rFonts w:ascii="Arial" w:hAnsi="Arial" w:cs="Arial"/>
                <w:sz w:val="24"/>
                <w:szCs w:val="24"/>
              </w:rPr>
              <w:t xml:space="preserve"> (max 8 months) instead of the standard 3 months instalments following the YE reconciliation letter publication.  </w:t>
            </w:r>
          </w:p>
          <w:p w14:paraId="720EE4A5" w14:textId="77777777" w:rsidR="0066357A" w:rsidRPr="003532EE" w:rsidRDefault="0066357A" w:rsidP="003532EE">
            <w:pPr>
              <w:tabs>
                <w:tab w:val="left" w:pos="1417"/>
              </w:tabs>
              <w:rPr>
                <w:rFonts w:ascii="Arial" w:hAnsi="Arial" w:cs="Arial"/>
                <w:sz w:val="24"/>
                <w:szCs w:val="24"/>
              </w:rPr>
            </w:pPr>
          </w:p>
          <w:p w14:paraId="2CC80302" w14:textId="137A629E" w:rsidR="0066357A" w:rsidRPr="00B35037" w:rsidRDefault="0066357A" w:rsidP="000F260A">
            <w:pPr>
              <w:tabs>
                <w:tab w:val="left" w:pos="1417"/>
              </w:tabs>
              <w:rPr>
                <w:rFonts w:ascii="Arial" w:hAnsi="Arial" w:cs="Arial"/>
                <w:sz w:val="24"/>
                <w:szCs w:val="24"/>
              </w:rPr>
            </w:pPr>
            <w:r w:rsidRPr="003532EE">
              <w:rPr>
                <w:rFonts w:ascii="Arial" w:hAnsi="Arial" w:cs="Arial"/>
                <w:sz w:val="24"/>
                <w:szCs w:val="24"/>
              </w:rPr>
              <w:t xml:space="preserve">Prior to the April Compass schedule cut off (1 May 2024 payment date), following instructions from commissioners, PAD will enter the agreed instalments into Compass. These instalments will be based on a projection of the year end position from the March schedule and this plan will remain in place until the July 2024 Compass schedule </w:t>
            </w:r>
            <w:r w:rsidRPr="003532EE">
              <w:rPr>
                <w:rFonts w:ascii="Arial" w:hAnsi="Arial" w:cs="Arial"/>
                <w:sz w:val="24"/>
                <w:szCs w:val="24"/>
              </w:rPr>
              <w:lastRenderedPageBreak/>
              <w:t>(1 August 2024 payment date). PAD will undertake YE calculations in June and the difference between the projected YE position and the final YE 23/24 position will be amended and balanced by entering the remaining adjustments based on the original payment plan in the August Compass schedule (1 September payment).</w:t>
            </w:r>
          </w:p>
        </w:tc>
        <w:tc>
          <w:tcPr>
            <w:tcW w:w="1032" w:type="dxa"/>
          </w:tcPr>
          <w:p w14:paraId="10282FC8" w14:textId="459344F5" w:rsidR="0066357A" w:rsidRPr="00B35037" w:rsidRDefault="00103D7A" w:rsidP="000F260A">
            <w:pPr>
              <w:tabs>
                <w:tab w:val="left" w:pos="1417"/>
              </w:tabs>
              <w:rPr>
                <w:rFonts w:ascii="Arial" w:hAnsi="Arial" w:cs="Arial"/>
                <w:sz w:val="24"/>
                <w:szCs w:val="24"/>
              </w:rPr>
            </w:pPr>
            <w:r>
              <w:rPr>
                <w:rFonts w:ascii="Arial" w:hAnsi="Arial" w:cs="Arial"/>
                <w:b/>
                <w:noProof/>
                <w:color w:val="0070C0"/>
                <w:sz w:val="32"/>
                <w:szCs w:val="32"/>
              </w:rPr>
              <w:lastRenderedPageBreak/>
              <w:drawing>
                <wp:inline distT="0" distB="0" distL="0" distR="0" wp14:anchorId="3DC9412C" wp14:editId="6CD60A7A">
                  <wp:extent cx="518615" cy="518615"/>
                  <wp:effectExtent l="0" t="0" r="0" b="0"/>
                  <wp:docPr id="1936740399" name="Graphic 2"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28125" name="Graphic 293028125" descr="Play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2198" cy="522198"/>
                          </a:xfrm>
                          <a:prstGeom prst="rect">
                            <a:avLst/>
                          </a:prstGeom>
                        </pic:spPr>
                      </pic:pic>
                    </a:graphicData>
                  </a:graphic>
                </wp:inline>
              </w:drawing>
            </w:r>
          </w:p>
        </w:tc>
        <w:tc>
          <w:tcPr>
            <w:tcW w:w="5230" w:type="dxa"/>
          </w:tcPr>
          <w:p w14:paraId="20161CBF" w14:textId="77777777" w:rsidR="00112FE5" w:rsidRDefault="00112FE5" w:rsidP="00C17A71">
            <w:pPr>
              <w:tabs>
                <w:tab w:val="left" w:pos="1417"/>
              </w:tabs>
              <w:rPr>
                <w:rFonts w:ascii="Arial" w:hAnsi="Arial" w:cs="Arial"/>
                <w:b/>
                <w:bCs/>
                <w:color w:val="0070C0"/>
                <w:sz w:val="24"/>
                <w:szCs w:val="24"/>
              </w:rPr>
            </w:pPr>
          </w:p>
          <w:p w14:paraId="4E1C2252" w14:textId="7CC4AC62" w:rsidR="0066357A" w:rsidRPr="00B35037" w:rsidRDefault="0066357A" w:rsidP="00C17A71">
            <w:pPr>
              <w:tabs>
                <w:tab w:val="left" w:pos="1417"/>
              </w:tabs>
              <w:rPr>
                <w:rFonts w:ascii="Arial" w:hAnsi="Arial" w:cs="Arial"/>
                <w:b/>
                <w:bCs/>
                <w:color w:val="0070C0"/>
                <w:sz w:val="24"/>
                <w:szCs w:val="24"/>
              </w:rPr>
            </w:pPr>
            <w:r w:rsidRPr="00C17A71">
              <w:rPr>
                <w:rFonts w:ascii="Arial" w:hAnsi="Arial" w:cs="Arial"/>
                <w:b/>
                <w:bCs/>
                <w:color w:val="0070C0"/>
                <w:sz w:val="24"/>
                <w:szCs w:val="24"/>
              </w:rPr>
              <w:t xml:space="preserve">Force Majeure/Exceptional Events  </w:t>
            </w:r>
          </w:p>
          <w:p w14:paraId="46AAEE84" w14:textId="77777777" w:rsidR="0066357A" w:rsidRPr="00C17A71" w:rsidRDefault="0066357A" w:rsidP="00C17A71">
            <w:pPr>
              <w:tabs>
                <w:tab w:val="left" w:pos="1417"/>
              </w:tabs>
              <w:rPr>
                <w:rFonts w:ascii="Arial" w:hAnsi="Arial" w:cs="Arial"/>
                <w:b/>
                <w:bCs/>
                <w:sz w:val="24"/>
                <w:szCs w:val="24"/>
                <w:u w:val="single"/>
              </w:rPr>
            </w:pPr>
          </w:p>
          <w:p w14:paraId="285D6FD8" w14:textId="77777777" w:rsidR="0066357A" w:rsidRPr="00B35037" w:rsidRDefault="0066357A" w:rsidP="00C17A71">
            <w:pPr>
              <w:tabs>
                <w:tab w:val="left" w:pos="1417"/>
              </w:tabs>
              <w:rPr>
                <w:rFonts w:ascii="Arial" w:hAnsi="Arial" w:cs="Arial"/>
                <w:sz w:val="24"/>
                <w:szCs w:val="24"/>
              </w:rPr>
            </w:pPr>
            <w:r w:rsidRPr="00C17A71">
              <w:rPr>
                <w:rFonts w:ascii="Arial" w:hAnsi="Arial" w:cs="Arial"/>
                <w:sz w:val="24"/>
                <w:szCs w:val="24"/>
              </w:rPr>
              <w:t>In accordance with the Policy Book for Primary Dental Services, occasionally there are unforeseen circumstances that a contractor may experience which may have a detrimental effect on the delivery of contract activity.</w:t>
            </w:r>
          </w:p>
          <w:p w14:paraId="5AB3BDDA" w14:textId="77777777" w:rsidR="0066357A" w:rsidRPr="00C17A71" w:rsidRDefault="0066357A" w:rsidP="00C17A71">
            <w:pPr>
              <w:tabs>
                <w:tab w:val="left" w:pos="1417"/>
              </w:tabs>
              <w:rPr>
                <w:rFonts w:ascii="Arial" w:hAnsi="Arial" w:cs="Arial"/>
                <w:b/>
                <w:bCs/>
                <w:sz w:val="24"/>
                <w:szCs w:val="24"/>
                <w:u w:val="single"/>
              </w:rPr>
            </w:pPr>
          </w:p>
          <w:p w14:paraId="239872F5" w14:textId="77777777" w:rsidR="0066357A" w:rsidRPr="00B35037" w:rsidRDefault="0066357A" w:rsidP="00C17A71">
            <w:pPr>
              <w:tabs>
                <w:tab w:val="left" w:pos="1417"/>
              </w:tabs>
              <w:rPr>
                <w:rFonts w:ascii="Arial" w:hAnsi="Arial" w:cs="Arial"/>
                <w:sz w:val="24"/>
                <w:szCs w:val="24"/>
              </w:rPr>
            </w:pPr>
            <w:r w:rsidRPr="00C17A71">
              <w:rPr>
                <w:rFonts w:ascii="Arial" w:hAnsi="Arial" w:cs="Arial"/>
                <w:sz w:val="24"/>
                <w:szCs w:val="24"/>
              </w:rPr>
              <w:t xml:space="preserve">Where a contractor has notified their commissioner that a Force Majeure/Exceptional Event has occurred within the financial year, this will be noted on the categorisation return as a Category 2 contract. </w:t>
            </w:r>
          </w:p>
          <w:p w14:paraId="2A7F0F9D" w14:textId="77777777" w:rsidR="0066357A" w:rsidRPr="00C17A71" w:rsidRDefault="0066357A" w:rsidP="00C17A71">
            <w:pPr>
              <w:tabs>
                <w:tab w:val="left" w:pos="1417"/>
              </w:tabs>
              <w:rPr>
                <w:rFonts w:ascii="Arial" w:hAnsi="Arial" w:cs="Arial"/>
                <w:sz w:val="24"/>
                <w:szCs w:val="24"/>
              </w:rPr>
            </w:pPr>
          </w:p>
          <w:p w14:paraId="2A7EF167" w14:textId="77777777" w:rsidR="0066357A" w:rsidRPr="00C17A71" w:rsidRDefault="0066357A" w:rsidP="00C17A71">
            <w:pPr>
              <w:tabs>
                <w:tab w:val="left" w:pos="1417"/>
              </w:tabs>
              <w:rPr>
                <w:rFonts w:ascii="Arial" w:hAnsi="Arial" w:cs="Arial"/>
                <w:sz w:val="24"/>
                <w:szCs w:val="24"/>
              </w:rPr>
            </w:pPr>
            <w:r w:rsidRPr="00C17A71">
              <w:rPr>
                <w:rFonts w:ascii="Arial" w:hAnsi="Arial" w:cs="Arial"/>
                <w:sz w:val="24"/>
                <w:szCs w:val="24"/>
              </w:rPr>
              <w:t>PAD will send a full application form to contractor and request supporting evidence be supplied. Once received, application and supporting evidence to be sent to RT for consideration.</w:t>
            </w:r>
          </w:p>
          <w:p w14:paraId="70BDCD24" w14:textId="77777777" w:rsidR="0066357A" w:rsidRPr="00B35037" w:rsidRDefault="0066357A" w:rsidP="000F260A">
            <w:pPr>
              <w:tabs>
                <w:tab w:val="left" w:pos="1417"/>
              </w:tabs>
              <w:rPr>
                <w:rFonts w:ascii="Arial" w:hAnsi="Arial" w:cs="Arial"/>
                <w:sz w:val="24"/>
                <w:szCs w:val="24"/>
              </w:rPr>
            </w:pPr>
          </w:p>
        </w:tc>
      </w:tr>
      <w:tr w:rsidR="0066357A" w:rsidRPr="00B35037" w14:paraId="38BEF627" w14:textId="77777777" w:rsidTr="00FD44D5">
        <w:tc>
          <w:tcPr>
            <w:tcW w:w="2020" w:type="dxa"/>
            <w:vMerge/>
            <w:shd w:val="clear" w:color="auto" w:fill="DEEAF6" w:themeFill="accent5" w:themeFillTint="33"/>
          </w:tcPr>
          <w:p w14:paraId="262FE377" w14:textId="77777777" w:rsidR="0066357A" w:rsidRPr="00E75125" w:rsidRDefault="0066357A" w:rsidP="000F260A">
            <w:pPr>
              <w:tabs>
                <w:tab w:val="left" w:pos="1417"/>
              </w:tabs>
              <w:rPr>
                <w:rFonts w:ascii="Arial" w:hAnsi="Arial" w:cs="Arial"/>
                <w:b/>
                <w:color w:val="0070C0"/>
                <w:sz w:val="32"/>
                <w:szCs w:val="32"/>
              </w:rPr>
            </w:pPr>
          </w:p>
        </w:tc>
        <w:tc>
          <w:tcPr>
            <w:tcW w:w="1032" w:type="dxa"/>
          </w:tcPr>
          <w:p w14:paraId="16361B0F" w14:textId="77777777" w:rsidR="0066357A" w:rsidRDefault="0066357A" w:rsidP="000F260A">
            <w:pPr>
              <w:tabs>
                <w:tab w:val="left" w:pos="1417"/>
              </w:tabs>
              <w:rPr>
                <w:rFonts w:ascii="Arial" w:hAnsi="Arial" w:cs="Arial"/>
                <w:b/>
                <w:noProof/>
                <w:color w:val="0070C0"/>
                <w:sz w:val="32"/>
                <w:szCs w:val="32"/>
              </w:rPr>
            </w:pPr>
          </w:p>
        </w:tc>
        <w:tc>
          <w:tcPr>
            <w:tcW w:w="5171" w:type="dxa"/>
          </w:tcPr>
          <w:p w14:paraId="34B8C539" w14:textId="77777777" w:rsidR="0066357A" w:rsidRPr="003532EE" w:rsidRDefault="0066357A" w:rsidP="003532EE">
            <w:pPr>
              <w:tabs>
                <w:tab w:val="left" w:pos="1417"/>
              </w:tabs>
              <w:rPr>
                <w:rFonts w:ascii="Arial" w:hAnsi="Arial" w:cs="Arial"/>
                <w:b/>
                <w:bCs/>
                <w:color w:val="0070C0"/>
                <w:sz w:val="24"/>
                <w:szCs w:val="24"/>
              </w:rPr>
            </w:pPr>
          </w:p>
        </w:tc>
        <w:tc>
          <w:tcPr>
            <w:tcW w:w="1032" w:type="dxa"/>
          </w:tcPr>
          <w:p w14:paraId="2F72ED15" w14:textId="77777777" w:rsidR="0066357A" w:rsidRPr="00B35037" w:rsidRDefault="0066357A" w:rsidP="000F260A">
            <w:pPr>
              <w:tabs>
                <w:tab w:val="left" w:pos="1417"/>
              </w:tabs>
              <w:rPr>
                <w:rFonts w:ascii="Arial" w:hAnsi="Arial" w:cs="Arial"/>
                <w:sz w:val="24"/>
                <w:szCs w:val="24"/>
              </w:rPr>
            </w:pPr>
          </w:p>
        </w:tc>
        <w:tc>
          <w:tcPr>
            <w:tcW w:w="5230" w:type="dxa"/>
          </w:tcPr>
          <w:p w14:paraId="66FDFC25" w14:textId="77777777" w:rsidR="0066357A" w:rsidRPr="00C17A71" w:rsidRDefault="0066357A" w:rsidP="00C17A71">
            <w:pPr>
              <w:tabs>
                <w:tab w:val="left" w:pos="1417"/>
              </w:tabs>
              <w:rPr>
                <w:rFonts w:ascii="Arial" w:hAnsi="Arial" w:cs="Arial"/>
                <w:b/>
                <w:bCs/>
                <w:color w:val="0070C0"/>
                <w:sz w:val="24"/>
                <w:szCs w:val="24"/>
              </w:rPr>
            </w:pPr>
          </w:p>
        </w:tc>
      </w:tr>
      <w:tr w:rsidR="0066357A" w:rsidRPr="00B35037" w14:paraId="6B1BB6BC" w14:textId="77777777" w:rsidTr="0069256E">
        <w:tc>
          <w:tcPr>
            <w:tcW w:w="2020" w:type="dxa"/>
            <w:vMerge/>
            <w:shd w:val="clear" w:color="auto" w:fill="DEEAF6" w:themeFill="accent5" w:themeFillTint="33"/>
          </w:tcPr>
          <w:p w14:paraId="552FE251" w14:textId="77777777" w:rsidR="0066357A" w:rsidRPr="00E75125" w:rsidRDefault="0066357A" w:rsidP="000F260A">
            <w:pPr>
              <w:tabs>
                <w:tab w:val="left" w:pos="1417"/>
              </w:tabs>
              <w:rPr>
                <w:rFonts w:ascii="Arial" w:hAnsi="Arial" w:cs="Arial"/>
                <w:b/>
                <w:color w:val="0070C0"/>
                <w:sz w:val="32"/>
                <w:szCs w:val="32"/>
              </w:rPr>
            </w:pPr>
          </w:p>
        </w:tc>
        <w:tc>
          <w:tcPr>
            <w:tcW w:w="1032" w:type="dxa"/>
          </w:tcPr>
          <w:p w14:paraId="290A2F52" w14:textId="2ACA22C5" w:rsidR="0066357A" w:rsidRDefault="00112FE5" w:rsidP="000F260A">
            <w:pPr>
              <w:tabs>
                <w:tab w:val="left" w:pos="1417"/>
              </w:tabs>
              <w:rPr>
                <w:rFonts w:ascii="Arial" w:hAnsi="Arial" w:cs="Arial"/>
                <w:b/>
                <w:noProof/>
                <w:color w:val="0070C0"/>
                <w:sz w:val="32"/>
                <w:szCs w:val="32"/>
              </w:rPr>
            </w:pPr>
            <w:r>
              <w:rPr>
                <w:rFonts w:ascii="Arial" w:hAnsi="Arial" w:cs="Arial"/>
                <w:b/>
                <w:noProof/>
                <w:color w:val="0070C0"/>
                <w:sz w:val="32"/>
                <w:szCs w:val="32"/>
              </w:rPr>
              <w:drawing>
                <wp:inline distT="0" distB="0" distL="0" distR="0" wp14:anchorId="27A4BB95" wp14:editId="75BCF8B3">
                  <wp:extent cx="518615" cy="518615"/>
                  <wp:effectExtent l="0" t="0" r="0" b="0"/>
                  <wp:docPr id="918374788" name="Graphic 2"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28125" name="Graphic 293028125" descr="Play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2198" cy="522198"/>
                          </a:xfrm>
                          <a:prstGeom prst="rect">
                            <a:avLst/>
                          </a:prstGeom>
                        </pic:spPr>
                      </pic:pic>
                    </a:graphicData>
                  </a:graphic>
                </wp:inline>
              </w:drawing>
            </w:r>
          </w:p>
        </w:tc>
        <w:tc>
          <w:tcPr>
            <w:tcW w:w="11433" w:type="dxa"/>
            <w:gridSpan w:val="3"/>
          </w:tcPr>
          <w:p w14:paraId="305382CA" w14:textId="77777777" w:rsidR="00EA340D" w:rsidRDefault="00EA340D" w:rsidP="000F1BF3">
            <w:pPr>
              <w:tabs>
                <w:tab w:val="left" w:pos="1417"/>
              </w:tabs>
              <w:rPr>
                <w:rFonts w:ascii="Arial" w:hAnsi="Arial" w:cs="Arial"/>
                <w:b/>
                <w:bCs/>
                <w:color w:val="0070C0"/>
                <w:sz w:val="24"/>
                <w:szCs w:val="24"/>
              </w:rPr>
            </w:pPr>
          </w:p>
          <w:p w14:paraId="655E3323" w14:textId="7380D40A" w:rsidR="0066357A" w:rsidRPr="0066357A" w:rsidRDefault="0066357A" w:rsidP="000F1BF3">
            <w:pPr>
              <w:tabs>
                <w:tab w:val="left" w:pos="1417"/>
              </w:tabs>
              <w:rPr>
                <w:rFonts w:ascii="Arial" w:hAnsi="Arial" w:cs="Arial"/>
                <w:b/>
                <w:bCs/>
                <w:color w:val="0070C0"/>
                <w:sz w:val="24"/>
                <w:szCs w:val="24"/>
              </w:rPr>
            </w:pPr>
            <w:r w:rsidRPr="000F1BF3">
              <w:rPr>
                <w:rFonts w:ascii="Arial" w:hAnsi="Arial" w:cs="Arial"/>
                <w:b/>
                <w:bCs/>
                <w:color w:val="0070C0"/>
                <w:sz w:val="24"/>
                <w:szCs w:val="24"/>
              </w:rPr>
              <w:t xml:space="preserve">Categorisation of contracts </w:t>
            </w:r>
          </w:p>
          <w:p w14:paraId="1BA5C572" w14:textId="77777777" w:rsidR="0066357A" w:rsidRPr="000F1BF3" w:rsidRDefault="0066357A" w:rsidP="000F1BF3">
            <w:pPr>
              <w:tabs>
                <w:tab w:val="left" w:pos="1417"/>
              </w:tabs>
              <w:rPr>
                <w:rFonts w:ascii="Arial" w:hAnsi="Arial" w:cs="Arial"/>
                <w:sz w:val="24"/>
                <w:szCs w:val="24"/>
                <w:u w:val="single"/>
              </w:rPr>
            </w:pPr>
          </w:p>
          <w:p w14:paraId="69DCB355" w14:textId="77777777" w:rsidR="0066357A" w:rsidRDefault="0066357A" w:rsidP="000F1BF3">
            <w:pPr>
              <w:tabs>
                <w:tab w:val="left" w:pos="1417"/>
              </w:tabs>
              <w:rPr>
                <w:rFonts w:ascii="Arial" w:hAnsi="Arial" w:cs="Arial"/>
                <w:sz w:val="24"/>
                <w:szCs w:val="24"/>
              </w:rPr>
            </w:pPr>
            <w:r w:rsidRPr="000F1BF3">
              <w:rPr>
                <w:rFonts w:ascii="Arial" w:hAnsi="Arial" w:cs="Arial"/>
                <w:sz w:val="24"/>
                <w:szCs w:val="24"/>
              </w:rPr>
              <w:t>Throughout April and May work with commissioners is undertaken to categorise each contract that requires a YE reconciliation. Whilst categories are for internal use only, this exercise is key part of the reconciliation process, as it gives commissioners the opportunity to highlight contracts that need a manual reconciliation and to provide all the required information to complete this.</w:t>
            </w:r>
          </w:p>
          <w:p w14:paraId="773D23F9" w14:textId="77777777" w:rsidR="0066357A" w:rsidRPr="000F1BF3" w:rsidRDefault="0066357A" w:rsidP="000F1BF3">
            <w:pPr>
              <w:tabs>
                <w:tab w:val="left" w:pos="1417"/>
              </w:tabs>
              <w:rPr>
                <w:rFonts w:ascii="Arial" w:hAnsi="Arial" w:cs="Arial"/>
                <w:sz w:val="24"/>
                <w:szCs w:val="24"/>
              </w:rPr>
            </w:pPr>
          </w:p>
          <w:p w14:paraId="52D8BA1D" w14:textId="77777777" w:rsidR="0066357A" w:rsidRDefault="0066357A" w:rsidP="000F1BF3">
            <w:pPr>
              <w:tabs>
                <w:tab w:val="left" w:pos="1417"/>
              </w:tabs>
              <w:rPr>
                <w:rFonts w:ascii="Arial" w:hAnsi="Arial" w:cs="Arial"/>
                <w:sz w:val="24"/>
                <w:szCs w:val="24"/>
              </w:rPr>
            </w:pPr>
            <w:r w:rsidRPr="000F1BF3">
              <w:rPr>
                <w:rFonts w:ascii="Arial" w:hAnsi="Arial" w:cs="Arial"/>
                <w:sz w:val="24"/>
                <w:szCs w:val="24"/>
              </w:rPr>
              <w:t>Contracts will be categorised as either 1, 2 or 3 considering the quality of the data held in Compass about the contract’s (and any subcontracts, if appropriate) delivery targets.  Also, any commissioning considerations relating to previous year-end delivery of the contract or on-going considerations.</w:t>
            </w:r>
          </w:p>
          <w:p w14:paraId="54276480" w14:textId="77777777" w:rsidR="0066357A" w:rsidRPr="000F1BF3" w:rsidRDefault="0066357A" w:rsidP="000F1BF3">
            <w:pPr>
              <w:tabs>
                <w:tab w:val="left" w:pos="1417"/>
              </w:tabs>
              <w:rPr>
                <w:rFonts w:ascii="Arial" w:hAnsi="Arial" w:cs="Arial"/>
                <w:sz w:val="24"/>
                <w:szCs w:val="24"/>
              </w:rPr>
            </w:pPr>
          </w:p>
          <w:p w14:paraId="5F68DC80" w14:textId="77777777" w:rsidR="0066357A" w:rsidRDefault="0066357A" w:rsidP="000F1BF3">
            <w:pPr>
              <w:tabs>
                <w:tab w:val="left" w:pos="1417"/>
              </w:tabs>
              <w:rPr>
                <w:rFonts w:ascii="Arial" w:hAnsi="Arial" w:cs="Arial"/>
                <w:sz w:val="24"/>
                <w:szCs w:val="24"/>
              </w:rPr>
            </w:pPr>
            <w:r w:rsidRPr="000F1BF3">
              <w:rPr>
                <w:rFonts w:ascii="Arial" w:hAnsi="Arial" w:cs="Arial"/>
                <w:b/>
                <w:bCs/>
                <w:iCs/>
                <w:sz w:val="24"/>
                <w:szCs w:val="24"/>
              </w:rPr>
              <w:t>Category 1</w:t>
            </w:r>
            <w:r w:rsidRPr="000F1BF3">
              <w:rPr>
                <w:rFonts w:ascii="Arial" w:hAnsi="Arial" w:cs="Arial"/>
                <w:i/>
                <w:sz w:val="24"/>
                <w:szCs w:val="24"/>
              </w:rPr>
              <w:t xml:space="preserve"> – </w:t>
            </w:r>
            <w:r w:rsidRPr="000F1BF3">
              <w:rPr>
                <w:rFonts w:ascii="Arial" w:hAnsi="Arial" w:cs="Arial"/>
                <w:sz w:val="24"/>
                <w:szCs w:val="24"/>
              </w:rPr>
              <w:t>NHSBSA responsible for year-end annual reconciliation where details recorded in Compass are up to date and accurate.</w:t>
            </w:r>
          </w:p>
          <w:p w14:paraId="4CA724A8" w14:textId="77777777" w:rsidR="00FD44D5" w:rsidRPr="000F1BF3" w:rsidRDefault="00FD44D5" w:rsidP="000F1BF3">
            <w:pPr>
              <w:tabs>
                <w:tab w:val="left" w:pos="1417"/>
              </w:tabs>
              <w:rPr>
                <w:rFonts w:ascii="Arial" w:hAnsi="Arial" w:cs="Arial"/>
                <w:i/>
                <w:sz w:val="24"/>
                <w:szCs w:val="24"/>
              </w:rPr>
            </w:pPr>
          </w:p>
          <w:p w14:paraId="54DFFEE7" w14:textId="77777777" w:rsidR="0066357A" w:rsidRDefault="0066357A" w:rsidP="000F1BF3">
            <w:pPr>
              <w:tabs>
                <w:tab w:val="left" w:pos="1417"/>
              </w:tabs>
              <w:rPr>
                <w:rFonts w:ascii="Arial" w:hAnsi="Arial" w:cs="Arial"/>
                <w:sz w:val="24"/>
                <w:szCs w:val="24"/>
              </w:rPr>
            </w:pPr>
            <w:r w:rsidRPr="000F1BF3">
              <w:rPr>
                <w:rFonts w:ascii="Arial" w:hAnsi="Arial" w:cs="Arial"/>
                <w:b/>
                <w:bCs/>
                <w:iCs/>
                <w:sz w:val="24"/>
                <w:szCs w:val="24"/>
              </w:rPr>
              <w:t>Category 2</w:t>
            </w:r>
            <w:r w:rsidRPr="000F1BF3">
              <w:rPr>
                <w:rFonts w:ascii="Arial" w:hAnsi="Arial" w:cs="Arial"/>
                <w:i/>
                <w:sz w:val="24"/>
                <w:szCs w:val="24"/>
              </w:rPr>
              <w:t xml:space="preserve"> - </w:t>
            </w:r>
            <w:r w:rsidRPr="000F1BF3">
              <w:rPr>
                <w:rFonts w:ascii="Arial" w:hAnsi="Arial" w:cs="Arial"/>
                <w:sz w:val="24"/>
                <w:szCs w:val="24"/>
              </w:rPr>
              <w:t>NHSBSA responsible for year-end annual reconciliation where the Commissioner has supplied additional information to NHSBSA.</w:t>
            </w:r>
          </w:p>
          <w:p w14:paraId="0E7AE5A2" w14:textId="77777777" w:rsidR="00FD44D5" w:rsidRPr="000F1BF3" w:rsidRDefault="00FD44D5" w:rsidP="000F1BF3">
            <w:pPr>
              <w:tabs>
                <w:tab w:val="left" w:pos="1417"/>
              </w:tabs>
              <w:rPr>
                <w:rFonts w:ascii="Arial" w:hAnsi="Arial" w:cs="Arial"/>
                <w:i/>
                <w:sz w:val="24"/>
                <w:szCs w:val="24"/>
              </w:rPr>
            </w:pPr>
          </w:p>
          <w:p w14:paraId="3042CD0B" w14:textId="77777777" w:rsidR="0066357A" w:rsidRDefault="0066357A" w:rsidP="000F1BF3">
            <w:pPr>
              <w:tabs>
                <w:tab w:val="left" w:pos="1417"/>
              </w:tabs>
              <w:rPr>
                <w:rFonts w:ascii="Arial" w:hAnsi="Arial" w:cs="Arial"/>
                <w:sz w:val="24"/>
                <w:szCs w:val="24"/>
              </w:rPr>
            </w:pPr>
            <w:r w:rsidRPr="000F1BF3">
              <w:rPr>
                <w:rFonts w:ascii="Arial" w:hAnsi="Arial" w:cs="Arial"/>
                <w:b/>
                <w:bCs/>
                <w:iCs/>
                <w:sz w:val="24"/>
                <w:szCs w:val="24"/>
              </w:rPr>
              <w:t>Category 3</w:t>
            </w:r>
            <w:r w:rsidRPr="000F1BF3">
              <w:rPr>
                <w:rFonts w:ascii="Arial" w:hAnsi="Arial" w:cs="Arial"/>
                <w:i/>
                <w:sz w:val="24"/>
                <w:szCs w:val="24"/>
              </w:rPr>
              <w:t xml:space="preserve"> - </w:t>
            </w:r>
            <w:r w:rsidRPr="000F1BF3">
              <w:rPr>
                <w:rFonts w:ascii="Arial" w:hAnsi="Arial" w:cs="Arial"/>
                <w:sz w:val="24"/>
                <w:szCs w:val="24"/>
              </w:rPr>
              <w:t>Commissioner responsible for the year-end annual reconciliation and confirming delivery position. NHSBSA responsible for checking year-end annual reconciliation has taken place.</w:t>
            </w:r>
          </w:p>
          <w:p w14:paraId="7D93E5E8" w14:textId="77777777" w:rsidR="0066357A" w:rsidRDefault="0066357A" w:rsidP="000F1BF3">
            <w:pPr>
              <w:tabs>
                <w:tab w:val="left" w:pos="1417"/>
              </w:tabs>
              <w:rPr>
                <w:rFonts w:ascii="Arial" w:hAnsi="Arial" w:cs="Arial"/>
                <w:sz w:val="24"/>
                <w:szCs w:val="24"/>
              </w:rPr>
            </w:pPr>
          </w:p>
          <w:p w14:paraId="7317CF83" w14:textId="77777777" w:rsidR="00F56786" w:rsidRDefault="00F56786" w:rsidP="00F56786">
            <w:pPr>
              <w:tabs>
                <w:tab w:val="left" w:pos="1417"/>
              </w:tabs>
              <w:rPr>
                <w:rFonts w:ascii="Arial" w:hAnsi="Arial" w:cs="Arial"/>
                <w:sz w:val="24"/>
                <w:szCs w:val="24"/>
              </w:rPr>
            </w:pPr>
            <w:r w:rsidRPr="00F56786">
              <w:rPr>
                <w:rFonts w:ascii="Arial" w:hAnsi="Arial" w:cs="Arial"/>
                <w:sz w:val="24"/>
                <w:szCs w:val="24"/>
              </w:rPr>
              <w:t xml:space="preserve">Dental commissioners can apply discretion/local decision making through the categorising of contracts. Where a commissioner retains a contract in category 3 for local resolution, it remains the responsibility of the commissioner to complete any actions required to reconcile the contract. </w:t>
            </w:r>
          </w:p>
          <w:p w14:paraId="05496105" w14:textId="3ACAFB2E" w:rsidR="00EA340D" w:rsidRPr="000F1BF3" w:rsidRDefault="00EA340D" w:rsidP="00F56786">
            <w:pPr>
              <w:tabs>
                <w:tab w:val="left" w:pos="1417"/>
              </w:tabs>
              <w:rPr>
                <w:rFonts w:ascii="Arial" w:hAnsi="Arial" w:cs="Arial"/>
                <w:sz w:val="24"/>
                <w:szCs w:val="24"/>
              </w:rPr>
            </w:pPr>
          </w:p>
        </w:tc>
      </w:tr>
    </w:tbl>
    <w:p w14:paraId="7EBB8F77" w14:textId="77777777" w:rsidR="00FB217F" w:rsidRDefault="00FB217F"/>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1032"/>
        <w:gridCol w:w="11433"/>
      </w:tblGrid>
      <w:tr w:rsidR="00112FE5" w:rsidRPr="00B35037" w14:paraId="325E3DD2" w14:textId="77777777" w:rsidTr="0012112F">
        <w:tc>
          <w:tcPr>
            <w:tcW w:w="2020" w:type="dxa"/>
            <w:shd w:val="clear" w:color="auto" w:fill="F2F2F2" w:themeFill="background1" w:themeFillShade="F2"/>
          </w:tcPr>
          <w:p w14:paraId="23F474D9" w14:textId="77777777" w:rsidR="00FD44D5" w:rsidRPr="00FD44D5" w:rsidRDefault="00FD44D5" w:rsidP="000F260A">
            <w:pPr>
              <w:tabs>
                <w:tab w:val="left" w:pos="1417"/>
              </w:tabs>
              <w:rPr>
                <w:rFonts w:ascii="Arial" w:hAnsi="Arial" w:cs="Arial"/>
                <w:b/>
                <w:color w:val="0070C0"/>
                <w:sz w:val="20"/>
                <w:szCs w:val="20"/>
              </w:rPr>
            </w:pPr>
          </w:p>
          <w:p w14:paraId="00AB8919" w14:textId="0AACD859" w:rsidR="00112FE5" w:rsidRPr="00E75125" w:rsidRDefault="00112FE5" w:rsidP="000F260A">
            <w:pPr>
              <w:tabs>
                <w:tab w:val="left" w:pos="1417"/>
              </w:tabs>
              <w:rPr>
                <w:rFonts w:ascii="Arial" w:hAnsi="Arial" w:cs="Arial"/>
                <w:b/>
                <w:color w:val="0070C0"/>
                <w:sz w:val="32"/>
                <w:szCs w:val="32"/>
              </w:rPr>
            </w:pPr>
            <w:r w:rsidRPr="00E75125">
              <w:rPr>
                <w:rFonts w:ascii="Arial" w:hAnsi="Arial" w:cs="Arial"/>
                <w:b/>
                <w:color w:val="0070C0"/>
                <w:sz w:val="32"/>
                <w:szCs w:val="32"/>
              </w:rPr>
              <w:t>May 2024</w:t>
            </w:r>
          </w:p>
        </w:tc>
        <w:tc>
          <w:tcPr>
            <w:tcW w:w="1032" w:type="dxa"/>
            <w:shd w:val="clear" w:color="auto" w:fill="auto"/>
          </w:tcPr>
          <w:p w14:paraId="4FB736BC" w14:textId="10E06157" w:rsidR="00112FE5" w:rsidRDefault="00FD44D5" w:rsidP="000F260A">
            <w:pPr>
              <w:tabs>
                <w:tab w:val="left" w:pos="1417"/>
              </w:tabs>
              <w:rPr>
                <w:rFonts w:ascii="Arial" w:hAnsi="Arial" w:cs="Arial"/>
                <w:b/>
                <w:noProof/>
                <w:color w:val="0070C0"/>
                <w:sz w:val="32"/>
                <w:szCs w:val="32"/>
              </w:rPr>
            </w:pPr>
            <w:r>
              <w:rPr>
                <w:rFonts w:ascii="Arial" w:hAnsi="Arial" w:cs="Arial"/>
                <w:b/>
                <w:noProof/>
                <w:color w:val="0070C0"/>
                <w:sz w:val="32"/>
                <w:szCs w:val="32"/>
              </w:rPr>
              <w:drawing>
                <wp:inline distT="0" distB="0" distL="0" distR="0" wp14:anchorId="0B03082C" wp14:editId="7329225D">
                  <wp:extent cx="518615" cy="518615"/>
                  <wp:effectExtent l="0" t="0" r="0" b="0"/>
                  <wp:docPr id="989108397" name="Graphic 2"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28125" name="Graphic 293028125" descr="Play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2198" cy="522198"/>
                          </a:xfrm>
                          <a:prstGeom prst="rect">
                            <a:avLst/>
                          </a:prstGeom>
                        </pic:spPr>
                      </pic:pic>
                    </a:graphicData>
                  </a:graphic>
                </wp:inline>
              </w:drawing>
            </w:r>
          </w:p>
        </w:tc>
        <w:tc>
          <w:tcPr>
            <w:tcW w:w="11433" w:type="dxa"/>
            <w:shd w:val="clear" w:color="auto" w:fill="auto"/>
          </w:tcPr>
          <w:p w14:paraId="38D17B8F" w14:textId="77777777" w:rsidR="00FD44D5" w:rsidRDefault="00FD44D5" w:rsidP="00FD44D5">
            <w:pPr>
              <w:tabs>
                <w:tab w:val="left" w:pos="1417"/>
              </w:tabs>
              <w:rPr>
                <w:rFonts w:ascii="Arial" w:hAnsi="Arial" w:cs="Arial"/>
                <w:b/>
                <w:bCs/>
                <w:color w:val="0070C0"/>
                <w:sz w:val="24"/>
                <w:szCs w:val="24"/>
                <w:u w:val="single"/>
              </w:rPr>
            </w:pPr>
          </w:p>
          <w:p w14:paraId="57C61363" w14:textId="238823C8" w:rsidR="00FD44D5" w:rsidRPr="00FD44D5" w:rsidRDefault="00FD44D5" w:rsidP="00FD44D5">
            <w:pPr>
              <w:tabs>
                <w:tab w:val="left" w:pos="1417"/>
              </w:tabs>
              <w:rPr>
                <w:rFonts w:ascii="Arial" w:hAnsi="Arial" w:cs="Arial"/>
                <w:b/>
                <w:bCs/>
                <w:color w:val="0070C0"/>
                <w:sz w:val="24"/>
                <w:szCs w:val="24"/>
              </w:rPr>
            </w:pPr>
            <w:r w:rsidRPr="00FD44D5">
              <w:rPr>
                <w:rFonts w:ascii="Arial" w:hAnsi="Arial" w:cs="Arial"/>
                <w:b/>
                <w:bCs/>
                <w:color w:val="0070C0"/>
                <w:sz w:val="24"/>
                <w:szCs w:val="24"/>
              </w:rPr>
              <w:t xml:space="preserve">Force Majeure/Exceptional Events application form deadline   </w:t>
            </w:r>
          </w:p>
          <w:p w14:paraId="167454EE" w14:textId="77777777" w:rsidR="00FD44D5" w:rsidRPr="00FD44D5" w:rsidRDefault="00FD44D5" w:rsidP="00FD44D5">
            <w:pPr>
              <w:tabs>
                <w:tab w:val="left" w:pos="1417"/>
              </w:tabs>
              <w:rPr>
                <w:rFonts w:ascii="Arial" w:hAnsi="Arial" w:cs="Arial"/>
                <w:sz w:val="24"/>
                <w:szCs w:val="24"/>
                <w:u w:val="single"/>
              </w:rPr>
            </w:pPr>
          </w:p>
          <w:p w14:paraId="64E2A6D6" w14:textId="77777777" w:rsidR="00FD44D5" w:rsidRPr="00FD44D5" w:rsidRDefault="00FD44D5" w:rsidP="00FD44D5">
            <w:pPr>
              <w:tabs>
                <w:tab w:val="left" w:pos="1417"/>
              </w:tabs>
              <w:rPr>
                <w:rFonts w:ascii="Arial" w:hAnsi="Arial" w:cs="Arial"/>
                <w:b/>
                <w:bCs/>
                <w:sz w:val="24"/>
                <w:szCs w:val="24"/>
              </w:rPr>
            </w:pPr>
            <w:r w:rsidRPr="00FD44D5">
              <w:rPr>
                <w:rFonts w:ascii="Arial" w:hAnsi="Arial" w:cs="Arial"/>
                <w:b/>
                <w:bCs/>
                <w:sz w:val="24"/>
                <w:szCs w:val="24"/>
              </w:rPr>
              <w:t>This only applies where a contractor has notified their commissioner that a Force Majeure/Exceptional Event has occurred within the 23/24 financial year and an application form for dental relief has been issued by the PAD team.</w:t>
            </w:r>
          </w:p>
          <w:p w14:paraId="70804EC4" w14:textId="77777777" w:rsidR="00FD44D5" w:rsidRPr="00FD44D5" w:rsidRDefault="00FD44D5" w:rsidP="00FD44D5">
            <w:pPr>
              <w:tabs>
                <w:tab w:val="left" w:pos="1417"/>
              </w:tabs>
              <w:rPr>
                <w:rFonts w:ascii="Arial" w:hAnsi="Arial" w:cs="Arial"/>
                <w:sz w:val="24"/>
                <w:szCs w:val="24"/>
              </w:rPr>
            </w:pPr>
          </w:p>
          <w:p w14:paraId="662752D4" w14:textId="0A7FE605" w:rsidR="00FD44D5" w:rsidRDefault="00FD44D5" w:rsidP="00FD44D5">
            <w:pPr>
              <w:tabs>
                <w:tab w:val="left" w:pos="1417"/>
              </w:tabs>
              <w:rPr>
                <w:rFonts w:ascii="Arial" w:hAnsi="Arial" w:cs="Arial"/>
                <w:sz w:val="24"/>
                <w:szCs w:val="24"/>
              </w:rPr>
            </w:pPr>
            <w:r w:rsidRPr="00FD44D5">
              <w:rPr>
                <w:rFonts w:ascii="Arial" w:hAnsi="Arial" w:cs="Arial"/>
                <w:sz w:val="24"/>
                <w:szCs w:val="24"/>
              </w:rPr>
              <w:t>The final deadline for contractors returning all supporting evidence in relation to applications for dental relief is close of business</w:t>
            </w:r>
            <w:r w:rsidR="00533796">
              <w:rPr>
                <w:rFonts w:ascii="Arial" w:hAnsi="Arial" w:cs="Arial"/>
                <w:sz w:val="24"/>
                <w:szCs w:val="24"/>
              </w:rPr>
              <w:t xml:space="preserve"> </w:t>
            </w:r>
            <w:r w:rsidRPr="00FD44D5">
              <w:rPr>
                <w:rFonts w:ascii="Arial" w:hAnsi="Arial" w:cs="Arial"/>
                <w:sz w:val="24"/>
                <w:szCs w:val="24"/>
              </w:rPr>
              <w:t xml:space="preserve">Wednesday 15 May 2024. Following this date your commissioner will review the completed applications to consider. </w:t>
            </w:r>
            <w:proofErr w:type="spellStart"/>
            <w:r w:rsidRPr="00FD44D5">
              <w:rPr>
                <w:rFonts w:ascii="Arial" w:hAnsi="Arial" w:cs="Arial"/>
                <w:sz w:val="24"/>
                <w:szCs w:val="24"/>
              </w:rPr>
              <w:t>Commisioners</w:t>
            </w:r>
            <w:proofErr w:type="spellEnd"/>
            <w:r w:rsidRPr="00FD44D5">
              <w:rPr>
                <w:rFonts w:ascii="Arial" w:hAnsi="Arial" w:cs="Arial"/>
                <w:sz w:val="24"/>
                <w:szCs w:val="24"/>
              </w:rPr>
              <w:t xml:space="preserve"> are to review all application and provide outcomes to PAD to include in the YE reconciliation letters. </w:t>
            </w:r>
          </w:p>
          <w:p w14:paraId="047DE211" w14:textId="77777777" w:rsidR="00FD44D5" w:rsidRPr="00FD44D5" w:rsidRDefault="00FD44D5" w:rsidP="00FD44D5">
            <w:pPr>
              <w:tabs>
                <w:tab w:val="left" w:pos="1417"/>
              </w:tabs>
              <w:rPr>
                <w:rFonts w:ascii="Arial" w:hAnsi="Arial" w:cs="Arial"/>
                <w:sz w:val="24"/>
                <w:szCs w:val="24"/>
              </w:rPr>
            </w:pPr>
          </w:p>
          <w:p w14:paraId="75DC67D4" w14:textId="77777777" w:rsidR="00112FE5" w:rsidRPr="00FD44D5" w:rsidRDefault="00FD44D5" w:rsidP="000F1BF3">
            <w:pPr>
              <w:tabs>
                <w:tab w:val="left" w:pos="1417"/>
              </w:tabs>
              <w:rPr>
                <w:rFonts w:ascii="Arial" w:hAnsi="Arial" w:cs="Arial"/>
                <w:sz w:val="24"/>
                <w:szCs w:val="24"/>
              </w:rPr>
            </w:pPr>
            <w:r w:rsidRPr="00FD44D5">
              <w:rPr>
                <w:rFonts w:ascii="Arial" w:hAnsi="Arial" w:cs="Arial"/>
                <w:sz w:val="24"/>
                <w:szCs w:val="24"/>
              </w:rPr>
              <w:t>The commissioner will have regard to the circumstances listed in Annex 49 of the Policy Book for Primary Dental Services: Appendices.</w:t>
            </w:r>
          </w:p>
          <w:p w14:paraId="42BB9C0C" w14:textId="052B45B9" w:rsidR="00FD44D5" w:rsidRDefault="00FD44D5" w:rsidP="000F1BF3">
            <w:pPr>
              <w:tabs>
                <w:tab w:val="left" w:pos="1417"/>
              </w:tabs>
              <w:rPr>
                <w:rFonts w:ascii="Arial" w:hAnsi="Arial" w:cs="Arial"/>
                <w:b/>
                <w:bCs/>
                <w:color w:val="0070C0"/>
                <w:sz w:val="24"/>
                <w:szCs w:val="24"/>
              </w:rPr>
            </w:pPr>
          </w:p>
        </w:tc>
      </w:tr>
    </w:tbl>
    <w:p w14:paraId="2F8E2A86" w14:textId="77777777" w:rsidR="00FB217F" w:rsidRDefault="00FB217F"/>
    <w:p w14:paraId="2D353620" w14:textId="77777777" w:rsidR="00FB217F" w:rsidRDefault="00FB217F"/>
    <w:p w14:paraId="206EA09F" w14:textId="77777777" w:rsidR="00FB217F" w:rsidRDefault="00FB217F"/>
    <w:p w14:paraId="67CAD089" w14:textId="77777777" w:rsidR="00FB217F" w:rsidRDefault="00FB217F"/>
    <w:p w14:paraId="5712A157" w14:textId="77777777" w:rsidR="00FB217F" w:rsidRDefault="00FB217F"/>
    <w:p w14:paraId="091682B1" w14:textId="77777777" w:rsidR="00FB217F" w:rsidRDefault="00FB217F"/>
    <w:p w14:paraId="0B74E03A" w14:textId="77777777" w:rsidR="00FB217F" w:rsidRDefault="00FB217F"/>
    <w:p w14:paraId="0644E7A6" w14:textId="77777777" w:rsidR="00FB217F" w:rsidRDefault="00FB217F"/>
    <w:p w14:paraId="2EAF372F" w14:textId="77777777" w:rsidR="00FB217F" w:rsidRDefault="00FB217F"/>
    <w:p w14:paraId="6F9A5AC2" w14:textId="77777777" w:rsidR="00FB217F" w:rsidRDefault="00FB217F"/>
    <w:p w14:paraId="6FDB5A44" w14:textId="77777777" w:rsidR="00FB217F" w:rsidRDefault="00FB217F"/>
    <w:p w14:paraId="15A329A8" w14:textId="77777777" w:rsidR="00FB217F" w:rsidRDefault="00FB217F"/>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1032"/>
        <w:gridCol w:w="5171"/>
        <w:gridCol w:w="1032"/>
        <w:gridCol w:w="5230"/>
      </w:tblGrid>
      <w:tr w:rsidR="0069256E" w:rsidRPr="00B35037" w14:paraId="40BE0170" w14:textId="77777777" w:rsidTr="0069256E">
        <w:tc>
          <w:tcPr>
            <w:tcW w:w="2020" w:type="dxa"/>
            <w:vMerge w:val="restart"/>
            <w:shd w:val="clear" w:color="auto" w:fill="DEEAF6" w:themeFill="accent5" w:themeFillTint="33"/>
          </w:tcPr>
          <w:p w14:paraId="79D07202" w14:textId="7B35676A" w:rsidR="0069256E" w:rsidRDefault="0069256E" w:rsidP="006156CA">
            <w:pPr>
              <w:tabs>
                <w:tab w:val="left" w:pos="1417"/>
              </w:tabs>
              <w:rPr>
                <w:rFonts w:ascii="Arial" w:hAnsi="Arial" w:cs="Arial"/>
                <w:b/>
                <w:color w:val="0070C0"/>
                <w:sz w:val="32"/>
                <w:szCs w:val="32"/>
              </w:rPr>
            </w:pPr>
            <w:r>
              <w:rPr>
                <w:rFonts w:ascii="Arial" w:hAnsi="Arial" w:cs="Arial"/>
                <w:b/>
                <w:color w:val="0070C0"/>
                <w:sz w:val="32"/>
                <w:szCs w:val="32"/>
              </w:rPr>
              <w:t xml:space="preserve">June – </w:t>
            </w:r>
          </w:p>
          <w:p w14:paraId="695F0F24" w14:textId="16E8BE12" w:rsidR="0069256E" w:rsidRPr="00B35037" w:rsidRDefault="0069256E" w:rsidP="006156CA">
            <w:pPr>
              <w:tabs>
                <w:tab w:val="left" w:pos="1417"/>
              </w:tabs>
              <w:rPr>
                <w:rFonts w:ascii="Arial" w:hAnsi="Arial" w:cs="Arial"/>
                <w:b/>
                <w:sz w:val="32"/>
                <w:szCs w:val="32"/>
              </w:rPr>
            </w:pPr>
            <w:r>
              <w:rPr>
                <w:rFonts w:ascii="Arial" w:hAnsi="Arial" w:cs="Arial"/>
                <w:b/>
                <w:color w:val="0070C0"/>
                <w:sz w:val="32"/>
                <w:szCs w:val="32"/>
              </w:rPr>
              <w:t>July</w:t>
            </w:r>
            <w:r w:rsidRPr="00E75125">
              <w:rPr>
                <w:rFonts w:ascii="Arial" w:hAnsi="Arial" w:cs="Arial"/>
                <w:b/>
                <w:color w:val="0070C0"/>
                <w:sz w:val="32"/>
                <w:szCs w:val="32"/>
              </w:rPr>
              <w:t xml:space="preserve"> 2024</w:t>
            </w:r>
          </w:p>
        </w:tc>
        <w:tc>
          <w:tcPr>
            <w:tcW w:w="1032" w:type="dxa"/>
          </w:tcPr>
          <w:p w14:paraId="7ED4C0D3" w14:textId="77777777" w:rsidR="0069256E" w:rsidRPr="00B35037" w:rsidRDefault="0069256E" w:rsidP="006156CA">
            <w:pPr>
              <w:tabs>
                <w:tab w:val="left" w:pos="1417"/>
              </w:tabs>
              <w:rPr>
                <w:rFonts w:ascii="Arial" w:hAnsi="Arial" w:cs="Arial"/>
                <w:sz w:val="24"/>
                <w:szCs w:val="24"/>
              </w:rPr>
            </w:pPr>
            <w:r>
              <w:rPr>
                <w:rFonts w:ascii="Arial" w:hAnsi="Arial" w:cs="Arial"/>
                <w:b/>
                <w:noProof/>
                <w:color w:val="0070C0"/>
                <w:sz w:val="32"/>
                <w:szCs w:val="32"/>
              </w:rPr>
              <w:drawing>
                <wp:inline distT="0" distB="0" distL="0" distR="0" wp14:anchorId="5449EF6B" wp14:editId="3372AB85">
                  <wp:extent cx="518615" cy="518615"/>
                  <wp:effectExtent l="0" t="0" r="0" b="0"/>
                  <wp:docPr id="1794959098" name="Graphic 2"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28125" name="Graphic 293028125" descr="Play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2198" cy="522198"/>
                          </a:xfrm>
                          <a:prstGeom prst="rect">
                            <a:avLst/>
                          </a:prstGeom>
                        </pic:spPr>
                      </pic:pic>
                    </a:graphicData>
                  </a:graphic>
                </wp:inline>
              </w:drawing>
            </w:r>
          </w:p>
        </w:tc>
        <w:tc>
          <w:tcPr>
            <w:tcW w:w="5171" w:type="dxa"/>
          </w:tcPr>
          <w:p w14:paraId="42F65C4F" w14:textId="77777777" w:rsidR="0069256E" w:rsidRDefault="0069256E" w:rsidP="006156CA">
            <w:pPr>
              <w:tabs>
                <w:tab w:val="left" w:pos="1417"/>
              </w:tabs>
              <w:rPr>
                <w:rFonts w:ascii="Arial" w:hAnsi="Arial" w:cs="Arial"/>
                <w:b/>
                <w:bCs/>
                <w:color w:val="0070C0"/>
                <w:sz w:val="24"/>
                <w:szCs w:val="24"/>
              </w:rPr>
            </w:pPr>
          </w:p>
          <w:p w14:paraId="11ECBAB8" w14:textId="77777777" w:rsidR="0069256E" w:rsidRPr="009131CC" w:rsidRDefault="0069256E" w:rsidP="009131CC">
            <w:pPr>
              <w:tabs>
                <w:tab w:val="left" w:pos="1417"/>
              </w:tabs>
              <w:rPr>
                <w:rFonts w:ascii="Arial" w:hAnsi="Arial" w:cs="Arial"/>
                <w:b/>
                <w:bCs/>
                <w:color w:val="0070C0"/>
                <w:sz w:val="24"/>
                <w:szCs w:val="24"/>
              </w:rPr>
            </w:pPr>
            <w:r w:rsidRPr="009131CC">
              <w:rPr>
                <w:rFonts w:ascii="Arial" w:hAnsi="Arial" w:cs="Arial"/>
                <w:b/>
                <w:bCs/>
                <w:color w:val="0070C0"/>
                <w:sz w:val="24"/>
                <w:szCs w:val="24"/>
              </w:rPr>
              <w:t xml:space="preserve">YE data available – reconciliation of contracts </w:t>
            </w:r>
          </w:p>
          <w:p w14:paraId="345A856A" w14:textId="77777777" w:rsidR="0069256E" w:rsidRPr="003532EE" w:rsidRDefault="0069256E" w:rsidP="006156CA">
            <w:pPr>
              <w:tabs>
                <w:tab w:val="left" w:pos="1417"/>
              </w:tabs>
              <w:rPr>
                <w:rFonts w:ascii="Arial" w:hAnsi="Arial" w:cs="Arial"/>
                <w:b/>
                <w:bCs/>
                <w:sz w:val="24"/>
                <w:szCs w:val="24"/>
                <w:u w:val="single"/>
              </w:rPr>
            </w:pPr>
          </w:p>
          <w:p w14:paraId="73E36B65" w14:textId="77777777" w:rsidR="0069256E" w:rsidRDefault="0069256E" w:rsidP="00651463">
            <w:pPr>
              <w:tabs>
                <w:tab w:val="left" w:pos="1417"/>
              </w:tabs>
              <w:rPr>
                <w:rFonts w:ascii="Arial" w:hAnsi="Arial" w:cs="Arial"/>
                <w:sz w:val="24"/>
                <w:szCs w:val="24"/>
              </w:rPr>
            </w:pPr>
            <w:r w:rsidRPr="00651463">
              <w:rPr>
                <w:rFonts w:ascii="Arial" w:hAnsi="Arial" w:cs="Arial"/>
                <w:sz w:val="24"/>
                <w:szCs w:val="24"/>
              </w:rPr>
              <w:t xml:space="preserve">During June 2024, the NHSBSA PAD team will manually reconcile any contracts highlighted during the categorisation process where further information was required to complete the year-end reconciliation. </w:t>
            </w:r>
          </w:p>
          <w:p w14:paraId="5CE848B8" w14:textId="77777777" w:rsidR="0069256E" w:rsidRPr="00651463" w:rsidRDefault="0069256E" w:rsidP="00651463">
            <w:pPr>
              <w:tabs>
                <w:tab w:val="left" w:pos="1417"/>
              </w:tabs>
              <w:rPr>
                <w:rFonts w:ascii="Arial" w:hAnsi="Arial" w:cs="Arial"/>
                <w:sz w:val="24"/>
                <w:szCs w:val="24"/>
              </w:rPr>
            </w:pPr>
          </w:p>
          <w:p w14:paraId="48287578" w14:textId="2C989B1F" w:rsidR="0069256E" w:rsidRPr="00B35037" w:rsidRDefault="0069256E" w:rsidP="006156CA">
            <w:pPr>
              <w:tabs>
                <w:tab w:val="left" w:pos="1417"/>
              </w:tabs>
              <w:rPr>
                <w:rFonts w:ascii="Arial" w:hAnsi="Arial" w:cs="Arial"/>
                <w:sz w:val="24"/>
                <w:szCs w:val="24"/>
              </w:rPr>
            </w:pPr>
            <w:r w:rsidRPr="00651463">
              <w:rPr>
                <w:rFonts w:ascii="Arial" w:hAnsi="Arial" w:cs="Arial"/>
                <w:sz w:val="24"/>
                <w:szCs w:val="24"/>
              </w:rPr>
              <w:t>All automated and manual calculations undergo rigorous quality assurance checks by the NHSBSA PAD data analysts before being authorised for inclusion in the YE letter. Commissioners will confirm final sign off prior to the YE letters being published.</w:t>
            </w:r>
          </w:p>
        </w:tc>
        <w:tc>
          <w:tcPr>
            <w:tcW w:w="1032" w:type="dxa"/>
          </w:tcPr>
          <w:p w14:paraId="532F644B" w14:textId="77777777" w:rsidR="0069256E" w:rsidRPr="00B35037" w:rsidRDefault="0069256E" w:rsidP="006156CA">
            <w:pPr>
              <w:tabs>
                <w:tab w:val="left" w:pos="1417"/>
              </w:tabs>
              <w:rPr>
                <w:rFonts w:ascii="Arial" w:hAnsi="Arial" w:cs="Arial"/>
                <w:sz w:val="24"/>
                <w:szCs w:val="24"/>
              </w:rPr>
            </w:pPr>
            <w:r>
              <w:rPr>
                <w:rFonts w:ascii="Arial" w:hAnsi="Arial" w:cs="Arial"/>
                <w:b/>
                <w:noProof/>
                <w:color w:val="0070C0"/>
                <w:sz w:val="32"/>
                <w:szCs w:val="32"/>
              </w:rPr>
              <w:drawing>
                <wp:inline distT="0" distB="0" distL="0" distR="0" wp14:anchorId="512AEA60" wp14:editId="766E55A4">
                  <wp:extent cx="518615" cy="518615"/>
                  <wp:effectExtent l="0" t="0" r="0" b="0"/>
                  <wp:docPr id="1229391257" name="Graphic 2"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28125" name="Graphic 293028125" descr="Play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2198" cy="522198"/>
                          </a:xfrm>
                          <a:prstGeom prst="rect">
                            <a:avLst/>
                          </a:prstGeom>
                        </pic:spPr>
                      </pic:pic>
                    </a:graphicData>
                  </a:graphic>
                </wp:inline>
              </w:drawing>
            </w:r>
          </w:p>
        </w:tc>
        <w:tc>
          <w:tcPr>
            <w:tcW w:w="5230" w:type="dxa"/>
          </w:tcPr>
          <w:p w14:paraId="5C277A12" w14:textId="77777777" w:rsidR="0069256E" w:rsidRDefault="0069256E" w:rsidP="006156CA">
            <w:pPr>
              <w:tabs>
                <w:tab w:val="left" w:pos="1417"/>
              </w:tabs>
              <w:rPr>
                <w:rFonts w:ascii="Arial" w:hAnsi="Arial" w:cs="Arial"/>
                <w:b/>
                <w:bCs/>
                <w:color w:val="0070C0"/>
                <w:sz w:val="24"/>
                <w:szCs w:val="24"/>
              </w:rPr>
            </w:pPr>
          </w:p>
          <w:p w14:paraId="7182E2CC" w14:textId="5C2FA1C5" w:rsidR="0069256E" w:rsidRPr="00AD0C1D" w:rsidRDefault="0069256E" w:rsidP="006156CA">
            <w:pPr>
              <w:tabs>
                <w:tab w:val="left" w:pos="1417"/>
              </w:tabs>
              <w:rPr>
                <w:rFonts w:ascii="Arial" w:hAnsi="Arial" w:cs="Arial"/>
                <w:b/>
                <w:bCs/>
                <w:color w:val="0070C0"/>
                <w:sz w:val="24"/>
                <w:szCs w:val="24"/>
              </w:rPr>
            </w:pPr>
            <w:r w:rsidRPr="00AD0C1D">
              <w:rPr>
                <w:rFonts w:ascii="Arial" w:hAnsi="Arial" w:cs="Arial"/>
                <w:b/>
                <w:bCs/>
                <w:color w:val="0070C0"/>
                <w:sz w:val="24"/>
                <w:szCs w:val="24"/>
              </w:rPr>
              <w:t xml:space="preserve">YE letters published in </w:t>
            </w:r>
            <w:proofErr w:type="gramStart"/>
            <w:r w:rsidRPr="00AD0C1D">
              <w:rPr>
                <w:rFonts w:ascii="Arial" w:hAnsi="Arial" w:cs="Arial"/>
                <w:b/>
                <w:bCs/>
                <w:color w:val="0070C0"/>
                <w:sz w:val="24"/>
                <w:szCs w:val="24"/>
              </w:rPr>
              <w:t>Compass</w:t>
            </w:r>
            <w:proofErr w:type="gramEnd"/>
            <w:r w:rsidRPr="00AD0C1D">
              <w:rPr>
                <w:rFonts w:ascii="Arial" w:hAnsi="Arial" w:cs="Arial"/>
                <w:b/>
                <w:bCs/>
                <w:color w:val="0070C0"/>
                <w:sz w:val="24"/>
                <w:szCs w:val="24"/>
              </w:rPr>
              <w:t xml:space="preserve"> </w:t>
            </w:r>
            <w:r w:rsidRPr="00C17A71">
              <w:rPr>
                <w:rFonts w:ascii="Arial" w:hAnsi="Arial" w:cs="Arial"/>
                <w:b/>
                <w:bCs/>
                <w:color w:val="0070C0"/>
                <w:sz w:val="24"/>
                <w:szCs w:val="24"/>
              </w:rPr>
              <w:t xml:space="preserve"> </w:t>
            </w:r>
          </w:p>
          <w:p w14:paraId="45439948" w14:textId="77777777" w:rsidR="0069256E" w:rsidRPr="00C17A71" w:rsidRDefault="0069256E" w:rsidP="006156CA">
            <w:pPr>
              <w:tabs>
                <w:tab w:val="left" w:pos="1417"/>
              </w:tabs>
              <w:rPr>
                <w:rFonts w:ascii="Arial" w:hAnsi="Arial" w:cs="Arial"/>
                <w:b/>
                <w:bCs/>
                <w:sz w:val="24"/>
                <w:szCs w:val="24"/>
                <w:u w:val="single"/>
              </w:rPr>
            </w:pPr>
          </w:p>
          <w:p w14:paraId="1DF4B837" w14:textId="239460C1" w:rsidR="0069256E" w:rsidRDefault="0069256E" w:rsidP="00847926">
            <w:pPr>
              <w:tabs>
                <w:tab w:val="left" w:pos="1417"/>
              </w:tabs>
              <w:rPr>
                <w:rFonts w:ascii="Arial" w:hAnsi="Arial" w:cs="Arial"/>
                <w:sz w:val="24"/>
                <w:szCs w:val="24"/>
              </w:rPr>
            </w:pPr>
            <w:r w:rsidRPr="00847926">
              <w:rPr>
                <w:rFonts w:ascii="Arial" w:hAnsi="Arial" w:cs="Arial"/>
                <w:sz w:val="24"/>
                <w:szCs w:val="24"/>
              </w:rPr>
              <w:t>W</w:t>
            </w:r>
            <w:r w:rsidR="00533796">
              <w:rPr>
                <w:rFonts w:ascii="Arial" w:hAnsi="Arial" w:cs="Arial"/>
                <w:sz w:val="24"/>
                <w:szCs w:val="24"/>
              </w:rPr>
              <w:t>eek commencing</w:t>
            </w:r>
            <w:r w:rsidRPr="00847926">
              <w:rPr>
                <w:rFonts w:ascii="Arial" w:hAnsi="Arial" w:cs="Arial"/>
                <w:sz w:val="24"/>
                <w:szCs w:val="24"/>
              </w:rPr>
              <w:t xml:space="preserve"> 24 June 2024, all YE letters (except for those being managed by commissioners) are published in Compass. When letters are ready to view, a communication will be sent out to all business owner email addresses held in Compass with instructions detailing how to view the YE letter. </w:t>
            </w:r>
          </w:p>
          <w:p w14:paraId="71B3D810" w14:textId="77777777" w:rsidR="0069256E" w:rsidRPr="00847926" w:rsidRDefault="0069256E" w:rsidP="00847926">
            <w:pPr>
              <w:tabs>
                <w:tab w:val="left" w:pos="1417"/>
              </w:tabs>
              <w:rPr>
                <w:rFonts w:ascii="Arial" w:hAnsi="Arial" w:cs="Arial"/>
                <w:sz w:val="24"/>
                <w:szCs w:val="24"/>
              </w:rPr>
            </w:pPr>
          </w:p>
          <w:p w14:paraId="5AD53779" w14:textId="151CD7EE" w:rsidR="0069256E" w:rsidRPr="00B35037" w:rsidRDefault="0069256E" w:rsidP="006156CA">
            <w:pPr>
              <w:tabs>
                <w:tab w:val="left" w:pos="1417"/>
              </w:tabs>
              <w:rPr>
                <w:rFonts w:ascii="Arial" w:hAnsi="Arial" w:cs="Arial"/>
                <w:sz w:val="24"/>
                <w:szCs w:val="24"/>
              </w:rPr>
            </w:pPr>
            <w:r w:rsidRPr="00847926">
              <w:rPr>
                <w:rFonts w:ascii="Arial" w:hAnsi="Arial" w:cs="Arial"/>
                <w:b/>
                <w:bCs/>
                <w:sz w:val="24"/>
                <w:szCs w:val="24"/>
              </w:rPr>
              <w:t xml:space="preserve">Please make sure all business owner email addresses in Compass are up to date to ensure you receive your communication. Please contact the PAD team at </w:t>
            </w:r>
            <w:hyperlink r:id="rId14" w:history="1">
              <w:r w:rsidRPr="00847926">
                <w:rPr>
                  <w:rStyle w:val="Hyperlink"/>
                  <w:rFonts w:ascii="Arial" w:hAnsi="Arial" w:cs="Arial"/>
                  <w:sz w:val="24"/>
                  <w:szCs w:val="24"/>
                </w:rPr>
                <w:t>nhsbsa.dentalcases@nhsbsa.nhs.uk</w:t>
              </w:r>
            </w:hyperlink>
            <w:r w:rsidRPr="00847926">
              <w:rPr>
                <w:rFonts w:ascii="Arial" w:hAnsi="Arial" w:cs="Arial"/>
                <w:sz w:val="24"/>
                <w:szCs w:val="24"/>
              </w:rPr>
              <w:t xml:space="preserve"> </w:t>
            </w:r>
            <w:r w:rsidRPr="00847926">
              <w:rPr>
                <w:rFonts w:ascii="Arial" w:hAnsi="Arial" w:cs="Arial"/>
                <w:b/>
                <w:bCs/>
                <w:sz w:val="24"/>
                <w:szCs w:val="24"/>
              </w:rPr>
              <w:t>if your email address needs updating.</w:t>
            </w:r>
          </w:p>
        </w:tc>
      </w:tr>
      <w:tr w:rsidR="0069256E" w:rsidRPr="00B35037" w14:paraId="120D9FF6" w14:textId="77777777" w:rsidTr="0069256E">
        <w:tc>
          <w:tcPr>
            <w:tcW w:w="2020" w:type="dxa"/>
            <w:vMerge/>
            <w:shd w:val="clear" w:color="auto" w:fill="DEEAF6" w:themeFill="accent5" w:themeFillTint="33"/>
          </w:tcPr>
          <w:p w14:paraId="3C3AEF3C" w14:textId="77777777" w:rsidR="0069256E" w:rsidRDefault="0069256E" w:rsidP="006156CA">
            <w:pPr>
              <w:tabs>
                <w:tab w:val="left" w:pos="1417"/>
              </w:tabs>
              <w:rPr>
                <w:rFonts w:ascii="Arial" w:hAnsi="Arial" w:cs="Arial"/>
                <w:b/>
                <w:color w:val="0070C0"/>
                <w:sz w:val="32"/>
                <w:szCs w:val="32"/>
              </w:rPr>
            </w:pPr>
          </w:p>
        </w:tc>
        <w:tc>
          <w:tcPr>
            <w:tcW w:w="1032" w:type="dxa"/>
          </w:tcPr>
          <w:p w14:paraId="3BF8A085" w14:textId="77777777" w:rsidR="0069256E" w:rsidRPr="0069256E" w:rsidRDefault="0069256E" w:rsidP="006156CA">
            <w:pPr>
              <w:tabs>
                <w:tab w:val="left" w:pos="1417"/>
              </w:tabs>
              <w:rPr>
                <w:rFonts w:ascii="Arial" w:hAnsi="Arial" w:cs="Arial"/>
                <w:b/>
                <w:noProof/>
                <w:color w:val="0070C0"/>
                <w:sz w:val="8"/>
                <w:szCs w:val="8"/>
              </w:rPr>
            </w:pPr>
          </w:p>
        </w:tc>
        <w:tc>
          <w:tcPr>
            <w:tcW w:w="5171" w:type="dxa"/>
          </w:tcPr>
          <w:p w14:paraId="4C32F258" w14:textId="77777777" w:rsidR="0069256E" w:rsidRPr="0069256E" w:rsidRDefault="0069256E" w:rsidP="006156CA">
            <w:pPr>
              <w:tabs>
                <w:tab w:val="left" w:pos="1417"/>
              </w:tabs>
              <w:rPr>
                <w:rFonts w:ascii="Arial" w:hAnsi="Arial" w:cs="Arial"/>
                <w:b/>
                <w:bCs/>
                <w:color w:val="0070C0"/>
                <w:sz w:val="8"/>
                <w:szCs w:val="8"/>
              </w:rPr>
            </w:pPr>
          </w:p>
        </w:tc>
        <w:tc>
          <w:tcPr>
            <w:tcW w:w="1032" w:type="dxa"/>
          </w:tcPr>
          <w:p w14:paraId="5988069D" w14:textId="77777777" w:rsidR="0069256E" w:rsidRPr="0069256E" w:rsidRDefault="0069256E" w:rsidP="006156CA">
            <w:pPr>
              <w:tabs>
                <w:tab w:val="left" w:pos="1417"/>
              </w:tabs>
              <w:rPr>
                <w:rFonts w:ascii="Arial" w:hAnsi="Arial" w:cs="Arial"/>
                <w:b/>
                <w:noProof/>
                <w:color w:val="0070C0"/>
                <w:sz w:val="8"/>
                <w:szCs w:val="8"/>
              </w:rPr>
            </w:pPr>
          </w:p>
        </w:tc>
        <w:tc>
          <w:tcPr>
            <w:tcW w:w="5230" w:type="dxa"/>
          </w:tcPr>
          <w:p w14:paraId="52729D69" w14:textId="77777777" w:rsidR="0069256E" w:rsidRPr="0069256E" w:rsidRDefault="0069256E" w:rsidP="006156CA">
            <w:pPr>
              <w:tabs>
                <w:tab w:val="left" w:pos="1417"/>
              </w:tabs>
              <w:rPr>
                <w:rFonts w:ascii="Arial" w:hAnsi="Arial" w:cs="Arial"/>
                <w:b/>
                <w:bCs/>
                <w:color w:val="0070C0"/>
                <w:sz w:val="8"/>
                <w:szCs w:val="8"/>
              </w:rPr>
            </w:pPr>
          </w:p>
        </w:tc>
      </w:tr>
      <w:tr w:rsidR="0069256E" w:rsidRPr="00B35037" w14:paraId="6EC822E5" w14:textId="77777777" w:rsidTr="0069256E">
        <w:tc>
          <w:tcPr>
            <w:tcW w:w="2020" w:type="dxa"/>
            <w:vMerge/>
            <w:shd w:val="clear" w:color="auto" w:fill="DEEAF6" w:themeFill="accent5" w:themeFillTint="33"/>
          </w:tcPr>
          <w:p w14:paraId="294E10DD" w14:textId="77777777" w:rsidR="0069256E" w:rsidRDefault="0069256E" w:rsidP="006156CA">
            <w:pPr>
              <w:tabs>
                <w:tab w:val="left" w:pos="1417"/>
              </w:tabs>
              <w:rPr>
                <w:rFonts w:ascii="Arial" w:hAnsi="Arial" w:cs="Arial"/>
                <w:b/>
                <w:color w:val="0070C0"/>
                <w:sz w:val="32"/>
                <w:szCs w:val="32"/>
              </w:rPr>
            </w:pPr>
          </w:p>
        </w:tc>
        <w:tc>
          <w:tcPr>
            <w:tcW w:w="1032" w:type="dxa"/>
          </w:tcPr>
          <w:p w14:paraId="32E9C414" w14:textId="37A82338" w:rsidR="0069256E" w:rsidRDefault="0069256E" w:rsidP="006156CA">
            <w:pPr>
              <w:tabs>
                <w:tab w:val="left" w:pos="1417"/>
              </w:tabs>
              <w:rPr>
                <w:rFonts w:ascii="Arial" w:hAnsi="Arial" w:cs="Arial"/>
                <w:b/>
                <w:noProof/>
                <w:color w:val="0070C0"/>
                <w:sz w:val="32"/>
                <w:szCs w:val="32"/>
              </w:rPr>
            </w:pPr>
            <w:r>
              <w:rPr>
                <w:rFonts w:ascii="Arial" w:hAnsi="Arial" w:cs="Arial"/>
                <w:b/>
                <w:noProof/>
                <w:color w:val="0070C0"/>
                <w:sz w:val="32"/>
                <w:szCs w:val="32"/>
              </w:rPr>
              <w:drawing>
                <wp:inline distT="0" distB="0" distL="0" distR="0" wp14:anchorId="485BDF9A" wp14:editId="079E02FF">
                  <wp:extent cx="518615" cy="518615"/>
                  <wp:effectExtent l="0" t="0" r="0" b="0"/>
                  <wp:docPr id="649268912" name="Graphic 2"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28125" name="Graphic 293028125" descr="Play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2198" cy="522198"/>
                          </a:xfrm>
                          <a:prstGeom prst="rect">
                            <a:avLst/>
                          </a:prstGeom>
                        </pic:spPr>
                      </pic:pic>
                    </a:graphicData>
                  </a:graphic>
                </wp:inline>
              </w:drawing>
            </w:r>
          </w:p>
        </w:tc>
        <w:tc>
          <w:tcPr>
            <w:tcW w:w="11433" w:type="dxa"/>
            <w:gridSpan w:val="3"/>
          </w:tcPr>
          <w:p w14:paraId="440F54C5" w14:textId="77777777" w:rsidR="0069256E" w:rsidRDefault="0069256E" w:rsidP="004342F0">
            <w:pPr>
              <w:tabs>
                <w:tab w:val="left" w:pos="1417"/>
              </w:tabs>
              <w:rPr>
                <w:rFonts w:ascii="Arial" w:hAnsi="Arial" w:cs="Arial"/>
                <w:b/>
                <w:bCs/>
                <w:color w:val="0070C0"/>
                <w:sz w:val="24"/>
                <w:szCs w:val="24"/>
              </w:rPr>
            </w:pPr>
          </w:p>
          <w:p w14:paraId="19103377" w14:textId="673A5658" w:rsidR="0069256E" w:rsidRPr="004342F0" w:rsidRDefault="0069256E" w:rsidP="004342F0">
            <w:pPr>
              <w:tabs>
                <w:tab w:val="left" w:pos="1417"/>
              </w:tabs>
              <w:rPr>
                <w:rFonts w:ascii="Arial" w:hAnsi="Arial" w:cs="Arial"/>
                <w:b/>
                <w:bCs/>
                <w:color w:val="0070C0"/>
                <w:sz w:val="24"/>
                <w:szCs w:val="24"/>
              </w:rPr>
            </w:pPr>
            <w:r w:rsidRPr="004342F0">
              <w:rPr>
                <w:rFonts w:ascii="Arial" w:hAnsi="Arial" w:cs="Arial"/>
                <w:b/>
                <w:bCs/>
                <w:color w:val="0070C0"/>
                <w:sz w:val="24"/>
                <w:szCs w:val="24"/>
              </w:rPr>
              <w:t xml:space="preserve">Query </w:t>
            </w:r>
            <w:proofErr w:type="gramStart"/>
            <w:r w:rsidRPr="004342F0">
              <w:rPr>
                <w:rFonts w:ascii="Arial" w:hAnsi="Arial" w:cs="Arial"/>
                <w:b/>
                <w:bCs/>
                <w:color w:val="0070C0"/>
                <w:sz w:val="24"/>
                <w:szCs w:val="24"/>
              </w:rPr>
              <w:t>management</w:t>
            </w:r>
            <w:proofErr w:type="gramEnd"/>
            <w:r w:rsidRPr="004342F0">
              <w:rPr>
                <w:rFonts w:ascii="Arial" w:hAnsi="Arial" w:cs="Arial"/>
                <w:b/>
                <w:bCs/>
                <w:color w:val="0070C0"/>
                <w:sz w:val="24"/>
                <w:szCs w:val="24"/>
              </w:rPr>
              <w:t xml:space="preserve"> </w:t>
            </w:r>
          </w:p>
          <w:p w14:paraId="6FE94F8B" w14:textId="77777777" w:rsidR="0069256E" w:rsidRPr="004342F0" w:rsidRDefault="0069256E" w:rsidP="004342F0">
            <w:pPr>
              <w:tabs>
                <w:tab w:val="left" w:pos="1417"/>
              </w:tabs>
              <w:rPr>
                <w:rFonts w:ascii="Arial" w:hAnsi="Arial" w:cs="Arial"/>
                <w:b/>
                <w:bCs/>
                <w:color w:val="0070C0"/>
                <w:sz w:val="24"/>
                <w:szCs w:val="24"/>
                <w:u w:val="single"/>
              </w:rPr>
            </w:pPr>
          </w:p>
          <w:p w14:paraId="1D9321C4" w14:textId="77777777" w:rsidR="0069256E" w:rsidRPr="004342F0" w:rsidRDefault="0069256E" w:rsidP="004342F0">
            <w:pPr>
              <w:tabs>
                <w:tab w:val="left" w:pos="1417"/>
              </w:tabs>
              <w:rPr>
                <w:rFonts w:ascii="Arial" w:hAnsi="Arial" w:cs="Arial"/>
                <w:sz w:val="24"/>
                <w:szCs w:val="24"/>
              </w:rPr>
            </w:pPr>
            <w:r w:rsidRPr="004342F0">
              <w:rPr>
                <w:rFonts w:ascii="Arial" w:hAnsi="Arial" w:cs="Arial"/>
                <w:sz w:val="24"/>
                <w:szCs w:val="24"/>
              </w:rPr>
              <w:t xml:space="preserve">All queries from category 1 and 2 contracts form part of the NHSBSA PAD team remit. Commissioners are advised to signpost enquires/queries to the NHSBSA PAD team unless they relate to a category 3 contract. All queries from a contractor will be acknowledged within 3 working days of receipt. </w:t>
            </w:r>
          </w:p>
          <w:p w14:paraId="565BC572" w14:textId="77777777" w:rsidR="0069256E" w:rsidRPr="004342F0" w:rsidRDefault="0069256E" w:rsidP="004342F0">
            <w:pPr>
              <w:tabs>
                <w:tab w:val="left" w:pos="1417"/>
              </w:tabs>
              <w:rPr>
                <w:rFonts w:ascii="Arial" w:hAnsi="Arial" w:cs="Arial"/>
                <w:sz w:val="24"/>
                <w:szCs w:val="24"/>
              </w:rPr>
            </w:pPr>
          </w:p>
          <w:p w14:paraId="30832542" w14:textId="77777777" w:rsidR="0069256E" w:rsidRPr="004342F0" w:rsidRDefault="0069256E" w:rsidP="004342F0">
            <w:pPr>
              <w:tabs>
                <w:tab w:val="left" w:pos="1417"/>
              </w:tabs>
              <w:rPr>
                <w:rFonts w:ascii="Arial" w:hAnsi="Arial" w:cs="Arial"/>
                <w:b/>
                <w:bCs/>
                <w:sz w:val="24"/>
                <w:szCs w:val="24"/>
              </w:rPr>
            </w:pPr>
            <w:r w:rsidRPr="004342F0">
              <w:rPr>
                <w:rFonts w:ascii="Arial" w:hAnsi="Arial" w:cs="Arial"/>
                <w:b/>
                <w:bCs/>
                <w:sz w:val="24"/>
                <w:szCs w:val="24"/>
              </w:rPr>
              <w:t xml:space="preserve">All queries should be submitted by email within 28 days of letter publication to </w:t>
            </w:r>
            <w:hyperlink r:id="rId15" w:history="1">
              <w:r w:rsidRPr="004342F0">
                <w:rPr>
                  <w:rStyle w:val="Hyperlink"/>
                  <w:rFonts w:ascii="Arial" w:hAnsi="Arial" w:cs="Arial"/>
                  <w:b/>
                  <w:bCs/>
                  <w:color w:val="auto"/>
                  <w:sz w:val="24"/>
                  <w:szCs w:val="24"/>
                </w:rPr>
                <w:t>nhsbsa.dentalcases@nhsbsa.nhs.uk</w:t>
              </w:r>
            </w:hyperlink>
          </w:p>
          <w:p w14:paraId="395E3947" w14:textId="77777777" w:rsidR="0069256E" w:rsidRDefault="0069256E" w:rsidP="006156CA">
            <w:pPr>
              <w:tabs>
                <w:tab w:val="left" w:pos="1417"/>
              </w:tabs>
              <w:rPr>
                <w:rFonts w:ascii="Arial" w:hAnsi="Arial" w:cs="Arial"/>
                <w:b/>
                <w:bCs/>
                <w:color w:val="0070C0"/>
                <w:sz w:val="24"/>
                <w:szCs w:val="24"/>
              </w:rPr>
            </w:pPr>
          </w:p>
        </w:tc>
      </w:tr>
    </w:tbl>
    <w:p w14:paraId="4105E13E" w14:textId="77777777" w:rsidR="00FB217F" w:rsidRDefault="00FB217F"/>
    <w:p w14:paraId="2C60F1D8" w14:textId="77777777" w:rsidR="00FB217F" w:rsidRDefault="00FB217F"/>
    <w:tbl>
      <w:tblPr>
        <w:tblStyle w:val="TableGrid"/>
        <w:tblW w:w="14485" w:type="dxa"/>
        <w:tblLook w:val="04A0" w:firstRow="1" w:lastRow="0" w:firstColumn="1" w:lastColumn="0" w:noHBand="0" w:noVBand="1"/>
      </w:tblPr>
      <w:tblGrid>
        <w:gridCol w:w="2020"/>
        <w:gridCol w:w="1032"/>
        <w:gridCol w:w="11433"/>
      </w:tblGrid>
      <w:tr w:rsidR="00FC662C" w14:paraId="59B00491" w14:textId="77777777" w:rsidTr="0012112F">
        <w:tc>
          <w:tcPr>
            <w:tcW w:w="2020" w:type="dxa"/>
            <w:tcBorders>
              <w:top w:val="nil"/>
              <w:left w:val="nil"/>
              <w:bottom w:val="nil"/>
              <w:right w:val="nil"/>
            </w:tcBorders>
            <w:shd w:val="clear" w:color="auto" w:fill="F2F2F2" w:themeFill="background1" w:themeFillShade="F2"/>
          </w:tcPr>
          <w:p w14:paraId="7EFBCAA3" w14:textId="77777777" w:rsidR="00FC662C" w:rsidRPr="00FD44D5" w:rsidRDefault="00FC662C" w:rsidP="006156CA">
            <w:pPr>
              <w:tabs>
                <w:tab w:val="left" w:pos="1417"/>
              </w:tabs>
              <w:rPr>
                <w:rFonts w:ascii="Arial" w:hAnsi="Arial" w:cs="Arial"/>
                <w:b/>
                <w:color w:val="0070C0"/>
                <w:sz w:val="20"/>
                <w:szCs w:val="20"/>
              </w:rPr>
            </w:pPr>
          </w:p>
          <w:p w14:paraId="234FB65A" w14:textId="79FB43CF" w:rsidR="00B2259C" w:rsidRPr="00B2259C" w:rsidRDefault="00B2259C" w:rsidP="00B2259C">
            <w:pPr>
              <w:tabs>
                <w:tab w:val="left" w:pos="1417"/>
              </w:tabs>
              <w:rPr>
                <w:rFonts w:ascii="Arial" w:hAnsi="Arial" w:cs="Arial"/>
                <w:b/>
                <w:bCs/>
                <w:color w:val="0070C0"/>
                <w:sz w:val="32"/>
                <w:szCs w:val="32"/>
              </w:rPr>
            </w:pPr>
            <w:r w:rsidRPr="00B2259C">
              <w:rPr>
                <w:rFonts w:ascii="Arial" w:hAnsi="Arial" w:cs="Arial"/>
                <w:b/>
                <w:bCs/>
                <w:color w:val="0070C0"/>
                <w:sz w:val="32"/>
                <w:szCs w:val="32"/>
              </w:rPr>
              <w:t xml:space="preserve">August </w:t>
            </w:r>
            <w:proofErr w:type="gramStart"/>
            <w:r>
              <w:rPr>
                <w:rFonts w:ascii="Arial" w:hAnsi="Arial" w:cs="Arial"/>
                <w:b/>
                <w:bCs/>
                <w:color w:val="0070C0"/>
                <w:sz w:val="32"/>
                <w:szCs w:val="32"/>
              </w:rPr>
              <w:t xml:space="preserve">- </w:t>
            </w:r>
            <w:r w:rsidRPr="00B2259C">
              <w:rPr>
                <w:rFonts w:ascii="Arial" w:hAnsi="Arial" w:cs="Arial"/>
                <w:b/>
                <w:bCs/>
                <w:color w:val="0070C0"/>
                <w:sz w:val="32"/>
                <w:szCs w:val="32"/>
              </w:rPr>
              <w:t xml:space="preserve"> September</w:t>
            </w:r>
            <w:proofErr w:type="gramEnd"/>
            <w:r w:rsidRPr="00B2259C">
              <w:rPr>
                <w:rFonts w:ascii="Arial" w:hAnsi="Arial" w:cs="Arial"/>
                <w:b/>
                <w:bCs/>
                <w:color w:val="0070C0"/>
                <w:sz w:val="32"/>
                <w:szCs w:val="32"/>
              </w:rPr>
              <w:t xml:space="preserve">  2024</w:t>
            </w:r>
          </w:p>
          <w:p w14:paraId="1C99D7BD" w14:textId="3FE73100" w:rsidR="00FC662C" w:rsidRPr="00E75125" w:rsidRDefault="00FC662C" w:rsidP="006156CA">
            <w:pPr>
              <w:tabs>
                <w:tab w:val="left" w:pos="1417"/>
              </w:tabs>
              <w:rPr>
                <w:rFonts w:ascii="Arial" w:hAnsi="Arial" w:cs="Arial"/>
                <w:b/>
                <w:color w:val="0070C0"/>
                <w:sz w:val="32"/>
                <w:szCs w:val="32"/>
              </w:rPr>
            </w:pPr>
          </w:p>
        </w:tc>
        <w:tc>
          <w:tcPr>
            <w:tcW w:w="1032" w:type="dxa"/>
            <w:tcBorders>
              <w:top w:val="nil"/>
              <w:left w:val="nil"/>
              <w:bottom w:val="nil"/>
              <w:right w:val="nil"/>
            </w:tcBorders>
          </w:tcPr>
          <w:p w14:paraId="54F61F56" w14:textId="77777777" w:rsidR="00FC662C" w:rsidRDefault="00FC662C" w:rsidP="006156CA">
            <w:pPr>
              <w:tabs>
                <w:tab w:val="left" w:pos="1417"/>
              </w:tabs>
              <w:rPr>
                <w:rFonts w:ascii="Arial" w:hAnsi="Arial" w:cs="Arial"/>
                <w:b/>
                <w:noProof/>
                <w:color w:val="0070C0"/>
                <w:sz w:val="32"/>
                <w:szCs w:val="32"/>
              </w:rPr>
            </w:pPr>
            <w:r>
              <w:rPr>
                <w:rFonts w:ascii="Arial" w:hAnsi="Arial" w:cs="Arial"/>
                <w:b/>
                <w:noProof/>
                <w:color w:val="0070C0"/>
                <w:sz w:val="32"/>
                <w:szCs w:val="32"/>
              </w:rPr>
              <w:drawing>
                <wp:inline distT="0" distB="0" distL="0" distR="0" wp14:anchorId="50AC103B" wp14:editId="4DB0B9F6">
                  <wp:extent cx="518615" cy="518615"/>
                  <wp:effectExtent l="0" t="0" r="0" b="0"/>
                  <wp:docPr id="1018007418" name="Graphic 2"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28125" name="Graphic 293028125" descr="Play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2198" cy="522198"/>
                          </a:xfrm>
                          <a:prstGeom prst="rect">
                            <a:avLst/>
                          </a:prstGeom>
                        </pic:spPr>
                      </pic:pic>
                    </a:graphicData>
                  </a:graphic>
                </wp:inline>
              </w:drawing>
            </w:r>
          </w:p>
        </w:tc>
        <w:tc>
          <w:tcPr>
            <w:tcW w:w="11433" w:type="dxa"/>
            <w:tcBorders>
              <w:top w:val="nil"/>
              <w:left w:val="nil"/>
              <w:bottom w:val="nil"/>
              <w:right w:val="nil"/>
            </w:tcBorders>
          </w:tcPr>
          <w:p w14:paraId="011D107F" w14:textId="77777777" w:rsidR="00FC662C" w:rsidRDefault="00FC662C" w:rsidP="006156CA">
            <w:pPr>
              <w:tabs>
                <w:tab w:val="left" w:pos="1417"/>
              </w:tabs>
              <w:rPr>
                <w:rFonts w:ascii="Arial" w:hAnsi="Arial" w:cs="Arial"/>
                <w:b/>
                <w:bCs/>
                <w:color w:val="0070C0"/>
                <w:sz w:val="24"/>
                <w:szCs w:val="24"/>
                <w:u w:val="single"/>
              </w:rPr>
            </w:pPr>
          </w:p>
          <w:p w14:paraId="6ED54A28" w14:textId="77777777" w:rsidR="002D0F6A" w:rsidRPr="002D0F6A" w:rsidRDefault="002D0F6A" w:rsidP="002D0F6A">
            <w:pPr>
              <w:tabs>
                <w:tab w:val="left" w:pos="1417"/>
              </w:tabs>
              <w:rPr>
                <w:rFonts w:ascii="Arial" w:hAnsi="Arial" w:cs="Arial"/>
                <w:b/>
                <w:bCs/>
                <w:color w:val="0070C0"/>
                <w:sz w:val="24"/>
                <w:szCs w:val="24"/>
              </w:rPr>
            </w:pPr>
            <w:r w:rsidRPr="002D0F6A">
              <w:rPr>
                <w:rFonts w:ascii="Arial" w:hAnsi="Arial" w:cs="Arial"/>
                <w:b/>
                <w:bCs/>
                <w:color w:val="0070C0"/>
                <w:sz w:val="24"/>
                <w:szCs w:val="24"/>
              </w:rPr>
              <w:t xml:space="preserve">YE outcomes in Compass </w:t>
            </w:r>
          </w:p>
          <w:p w14:paraId="2038C5C9" w14:textId="77777777" w:rsidR="002D0F6A" w:rsidRPr="002D0F6A" w:rsidRDefault="002D0F6A" w:rsidP="002D0F6A">
            <w:pPr>
              <w:tabs>
                <w:tab w:val="left" w:pos="1417"/>
              </w:tabs>
              <w:rPr>
                <w:rFonts w:ascii="Arial" w:hAnsi="Arial" w:cs="Arial"/>
                <w:sz w:val="24"/>
                <w:szCs w:val="24"/>
                <w:u w:val="single"/>
              </w:rPr>
            </w:pPr>
          </w:p>
          <w:p w14:paraId="078ADB58" w14:textId="43AE3956" w:rsidR="002D0F6A" w:rsidRPr="002D0F6A" w:rsidRDefault="002D0F6A" w:rsidP="002D0F6A">
            <w:pPr>
              <w:tabs>
                <w:tab w:val="left" w:pos="1417"/>
              </w:tabs>
              <w:rPr>
                <w:rFonts w:ascii="Arial" w:hAnsi="Arial" w:cs="Arial"/>
                <w:sz w:val="24"/>
                <w:szCs w:val="24"/>
              </w:rPr>
            </w:pPr>
            <w:r w:rsidRPr="002D0F6A">
              <w:rPr>
                <w:rFonts w:ascii="Arial" w:hAnsi="Arial" w:cs="Arial"/>
                <w:sz w:val="24"/>
                <w:szCs w:val="24"/>
              </w:rPr>
              <w:t xml:space="preserve">All YE financial outcomes will be entered on Compass by Tuesday 20 August 2024 (the Compass cut-off date). </w:t>
            </w:r>
          </w:p>
          <w:p w14:paraId="05BE323C" w14:textId="77777777" w:rsidR="002D0F6A" w:rsidRPr="002D0F6A" w:rsidRDefault="002D0F6A" w:rsidP="002D0F6A">
            <w:pPr>
              <w:tabs>
                <w:tab w:val="left" w:pos="1417"/>
              </w:tabs>
              <w:rPr>
                <w:rFonts w:ascii="Arial" w:hAnsi="Arial" w:cs="Arial"/>
                <w:sz w:val="24"/>
                <w:szCs w:val="24"/>
              </w:rPr>
            </w:pPr>
          </w:p>
          <w:p w14:paraId="750D675A" w14:textId="77777777" w:rsidR="002D0F6A" w:rsidRPr="002D0F6A" w:rsidRDefault="002D0F6A" w:rsidP="002D0F6A">
            <w:pPr>
              <w:tabs>
                <w:tab w:val="left" w:pos="1417"/>
              </w:tabs>
              <w:rPr>
                <w:rFonts w:ascii="Arial" w:hAnsi="Arial" w:cs="Arial"/>
                <w:sz w:val="24"/>
                <w:szCs w:val="24"/>
              </w:rPr>
            </w:pPr>
            <w:r w:rsidRPr="002D0F6A">
              <w:rPr>
                <w:rFonts w:ascii="Arial" w:hAnsi="Arial" w:cs="Arial"/>
                <w:iCs/>
                <w:sz w:val="24"/>
                <w:szCs w:val="24"/>
              </w:rPr>
              <w:t xml:space="preserve">The value of undelivered activity will be recovered in three monthly instalments unless indicated otherwise by </w:t>
            </w:r>
            <w:r w:rsidRPr="002D0F6A">
              <w:rPr>
                <w:rFonts w:ascii="Arial" w:hAnsi="Arial" w:cs="Arial"/>
                <w:sz w:val="24"/>
                <w:szCs w:val="24"/>
              </w:rPr>
              <w:t xml:space="preserve">the commissioner. </w:t>
            </w:r>
            <w:r w:rsidRPr="002D0F6A">
              <w:rPr>
                <w:rFonts w:ascii="Arial" w:hAnsi="Arial" w:cs="Arial"/>
                <w:iCs/>
                <w:sz w:val="24"/>
                <w:szCs w:val="24"/>
              </w:rPr>
              <w:t xml:space="preserve">The contracts YE recovery commences on the Compass payment on 1 </w:t>
            </w:r>
            <w:proofErr w:type="gramStart"/>
            <w:r w:rsidRPr="002D0F6A">
              <w:rPr>
                <w:rFonts w:ascii="Arial" w:hAnsi="Arial" w:cs="Arial"/>
                <w:iCs/>
                <w:sz w:val="24"/>
                <w:szCs w:val="24"/>
              </w:rPr>
              <w:t>September  2024</w:t>
            </w:r>
            <w:proofErr w:type="gramEnd"/>
            <w:r w:rsidRPr="002D0F6A">
              <w:rPr>
                <w:rFonts w:ascii="Arial" w:hAnsi="Arial" w:cs="Arial"/>
                <w:iCs/>
                <w:sz w:val="24"/>
                <w:szCs w:val="24"/>
              </w:rPr>
              <w:t xml:space="preserve"> (August schedule</w:t>
            </w:r>
            <w:r w:rsidRPr="002D0F6A">
              <w:rPr>
                <w:rFonts w:ascii="Arial" w:hAnsi="Arial" w:cs="Arial"/>
                <w:i/>
                <w:sz w:val="24"/>
                <w:szCs w:val="24"/>
              </w:rPr>
              <w:t>)</w:t>
            </w:r>
            <w:r w:rsidRPr="002D0F6A">
              <w:rPr>
                <w:rFonts w:ascii="Arial" w:hAnsi="Arial" w:cs="Arial"/>
                <w:iCs/>
                <w:sz w:val="24"/>
                <w:szCs w:val="24"/>
              </w:rPr>
              <w:t xml:space="preserve">. </w:t>
            </w:r>
            <w:r w:rsidRPr="002D0F6A">
              <w:rPr>
                <w:rFonts w:ascii="Arial" w:hAnsi="Arial" w:cs="Arial"/>
                <w:sz w:val="24"/>
                <w:szCs w:val="24"/>
              </w:rPr>
              <w:t xml:space="preserve">Where early repayments for financial recovery instalments plans are in place, all financial corrections will be adjusted for the remaining instalments to ensure the final amount of YE recovery is </w:t>
            </w:r>
            <w:proofErr w:type="spellStart"/>
            <w:proofErr w:type="gramStart"/>
            <w:r w:rsidRPr="002D0F6A">
              <w:rPr>
                <w:rFonts w:ascii="Arial" w:hAnsi="Arial" w:cs="Arial"/>
                <w:sz w:val="24"/>
                <w:szCs w:val="24"/>
              </w:rPr>
              <w:t>accurate.All</w:t>
            </w:r>
            <w:proofErr w:type="spellEnd"/>
            <w:proofErr w:type="gramEnd"/>
            <w:r w:rsidRPr="002D0F6A">
              <w:rPr>
                <w:rFonts w:ascii="Arial" w:hAnsi="Arial" w:cs="Arial"/>
                <w:sz w:val="24"/>
                <w:szCs w:val="24"/>
              </w:rPr>
              <w:t xml:space="preserve"> financial recovery must be completed by the March 2025 Compass cut-off</w:t>
            </w:r>
            <w:r w:rsidRPr="002D0F6A">
              <w:rPr>
                <w:rFonts w:ascii="Arial" w:hAnsi="Arial" w:cs="Arial"/>
                <w:iCs/>
                <w:sz w:val="24"/>
                <w:szCs w:val="24"/>
              </w:rPr>
              <w:t xml:space="preserve">. Requests to extend this beyond March will need local/regional governance (commissioning and finance) sign off by the </w:t>
            </w:r>
            <w:r w:rsidRPr="002D0F6A">
              <w:rPr>
                <w:rFonts w:ascii="Arial" w:hAnsi="Arial" w:cs="Arial"/>
                <w:sz w:val="24"/>
                <w:szCs w:val="24"/>
              </w:rPr>
              <w:t>commissioner.</w:t>
            </w:r>
          </w:p>
          <w:p w14:paraId="6677F2D9" w14:textId="77777777" w:rsidR="002D0F6A" w:rsidRPr="002D0F6A" w:rsidRDefault="002D0F6A" w:rsidP="002D0F6A">
            <w:pPr>
              <w:tabs>
                <w:tab w:val="left" w:pos="1417"/>
              </w:tabs>
              <w:rPr>
                <w:rFonts w:ascii="Arial" w:hAnsi="Arial" w:cs="Arial"/>
                <w:iCs/>
                <w:sz w:val="24"/>
                <w:szCs w:val="24"/>
              </w:rPr>
            </w:pPr>
          </w:p>
          <w:p w14:paraId="1E42E43B" w14:textId="77777777" w:rsidR="002D0F6A" w:rsidRPr="002D0F6A" w:rsidRDefault="002D0F6A" w:rsidP="002D0F6A">
            <w:pPr>
              <w:tabs>
                <w:tab w:val="left" w:pos="1417"/>
              </w:tabs>
              <w:rPr>
                <w:rFonts w:ascii="Arial" w:hAnsi="Arial" w:cs="Arial"/>
                <w:b/>
                <w:bCs/>
                <w:iCs/>
                <w:color w:val="0070C0"/>
                <w:sz w:val="24"/>
                <w:szCs w:val="24"/>
              </w:rPr>
            </w:pPr>
            <w:r w:rsidRPr="002D0F6A">
              <w:rPr>
                <w:rFonts w:ascii="Arial" w:hAnsi="Arial" w:cs="Arial"/>
                <w:b/>
                <w:bCs/>
                <w:iCs/>
                <w:color w:val="0070C0"/>
                <w:sz w:val="24"/>
                <w:szCs w:val="24"/>
              </w:rPr>
              <w:t>YE underperformance breach notices</w:t>
            </w:r>
          </w:p>
          <w:p w14:paraId="4A21557A" w14:textId="77777777" w:rsidR="002D0F6A" w:rsidRPr="002D0F6A" w:rsidRDefault="002D0F6A" w:rsidP="002D0F6A">
            <w:pPr>
              <w:tabs>
                <w:tab w:val="left" w:pos="1417"/>
              </w:tabs>
              <w:rPr>
                <w:rFonts w:ascii="Arial" w:hAnsi="Arial" w:cs="Arial"/>
                <w:iCs/>
                <w:sz w:val="24"/>
                <w:szCs w:val="24"/>
                <w:u w:val="single"/>
              </w:rPr>
            </w:pPr>
          </w:p>
          <w:p w14:paraId="073A5AB8" w14:textId="77777777" w:rsidR="002D0F6A" w:rsidRPr="002D0F6A" w:rsidRDefault="002D0F6A" w:rsidP="002D0F6A">
            <w:pPr>
              <w:tabs>
                <w:tab w:val="left" w:pos="1417"/>
              </w:tabs>
              <w:rPr>
                <w:rFonts w:ascii="Arial" w:hAnsi="Arial" w:cs="Arial"/>
                <w:sz w:val="24"/>
                <w:szCs w:val="24"/>
              </w:rPr>
            </w:pPr>
            <w:r w:rsidRPr="002D0F6A">
              <w:rPr>
                <w:rFonts w:ascii="Arial" w:hAnsi="Arial" w:cs="Arial"/>
                <w:sz w:val="24"/>
                <w:szCs w:val="24"/>
              </w:rPr>
              <w:t>The NHSBSA PAD team, on behalf of the commissioners, will issue breach notices where contracts have fallen below the required activity thresholds. Where contracts are issued with a breach notice, communication will be sent to the business owner email address held in Compass to advise when the letters are available to view.</w:t>
            </w:r>
          </w:p>
          <w:p w14:paraId="483FFBE9" w14:textId="77777777" w:rsidR="00FC662C" w:rsidRDefault="00FC662C" w:rsidP="006156CA">
            <w:pPr>
              <w:tabs>
                <w:tab w:val="left" w:pos="1417"/>
              </w:tabs>
              <w:rPr>
                <w:rFonts w:ascii="Arial" w:hAnsi="Arial" w:cs="Arial"/>
                <w:b/>
                <w:bCs/>
                <w:color w:val="0070C0"/>
                <w:sz w:val="24"/>
                <w:szCs w:val="24"/>
              </w:rPr>
            </w:pPr>
          </w:p>
        </w:tc>
      </w:tr>
    </w:tbl>
    <w:p w14:paraId="73D2B764" w14:textId="77777777" w:rsidR="00583056" w:rsidRDefault="00583056" w:rsidP="000F260A">
      <w:pPr>
        <w:tabs>
          <w:tab w:val="left" w:pos="1417"/>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4560"/>
      </w:tblGrid>
      <w:tr w:rsidR="005072DD" w:rsidRPr="005072DD" w14:paraId="02AB508E" w14:textId="77777777" w:rsidTr="005072DD">
        <w:tc>
          <w:tcPr>
            <w:tcW w:w="14560" w:type="dxa"/>
            <w:shd w:val="clear" w:color="auto" w:fill="0070C0"/>
          </w:tcPr>
          <w:p w14:paraId="0B42AD91" w14:textId="77777777" w:rsidR="005072DD" w:rsidRPr="005072DD" w:rsidRDefault="005072DD" w:rsidP="005072DD">
            <w:pPr>
              <w:tabs>
                <w:tab w:val="left" w:pos="1417"/>
              </w:tabs>
              <w:rPr>
                <w:rFonts w:ascii="Arial" w:hAnsi="Arial" w:cs="Arial"/>
                <w:b/>
                <w:bCs/>
                <w:color w:val="FFFFFF" w:themeColor="background1"/>
                <w:sz w:val="28"/>
                <w:szCs w:val="28"/>
                <w:u w:val="single"/>
              </w:rPr>
            </w:pPr>
          </w:p>
          <w:p w14:paraId="189FBD90" w14:textId="4C3EB333" w:rsidR="005072DD" w:rsidRPr="005072DD" w:rsidRDefault="005072DD" w:rsidP="005072DD">
            <w:pPr>
              <w:tabs>
                <w:tab w:val="left" w:pos="1417"/>
              </w:tabs>
              <w:rPr>
                <w:rFonts w:ascii="Arial" w:hAnsi="Arial" w:cs="Arial"/>
                <w:b/>
                <w:bCs/>
                <w:color w:val="FFFFFF" w:themeColor="background1"/>
                <w:sz w:val="36"/>
                <w:szCs w:val="36"/>
              </w:rPr>
            </w:pPr>
            <w:r>
              <w:rPr>
                <w:rFonts w:ascii="Arial" w:hAnsi="Arial" w:cs="Arial"/>
                <w:b/>
                <w:bCs/>
                <w:color w:val="FFFFFF" w:themeColor="background1"/>
                <w:sz w:val="28"/>
                <w:szCs w:val="28"/>
              </w:rPr>
              <w:t xml:space="preserve">    </w:t>
            </w:r>
            <w:r w:rsidRPr="005072DD">
              <w:rPr>
                <w:rFonts w:ascii="Arial" w:hAnsi="Arial" w:cs="Arial"/>
                <w:b/>
                <w:bCs/>
                <w:color w:val="FFFFFF" w:themeColor="background1"/>
                <w:sz w:val="36"/>
                <w:szCs w:val="36"/>
              </w:rPr>
              <w:t>Key dates for contractors and commissioners</w:t>
            </w:r>
          </w:p>
          <w:p w14:paraId="375D3072" w14:textId="77777777" w:rsidR="005072DD" w:rsidRPr="005072DD" w:rsidRDefault="005072DD" w:rsidP="005072DD">
            <w:pPr>
              <w:tabs>
                <w:tab w:val="left" w:pos="1417"/>
              </w:tabs>
              <w:rPr>
                <w:rFonts w:ascii="Arial" w:hAnsi="Arial" w:cs="Arial"/>
                <w:b/>
                <w:bCs/>
                <w:color w:val="FFFFFF" w:themeColor="background1"/>
                <w:sz w:val="28"/>
                <w:szCs w:val="28"/>
                <w:u w:val="single"/>
              </w:rPr>
            </w:pPr>
          </w:p>
          <w:p w14:paraId="4338094A" w14:textId="77777777" w:rsidR="005072DD" w:rsidRPr="005072DD" w:rsidRDefault="005072DD" w:rsidP="005072DD">
            <w:pPr>
              <w:numPr>
                <w:ilvl w:val="0"/>
                <w:numId w:val="1"/>
              </w:numPr>
              <w:tabs>
                <w:tab w:val="left" w:pos="1417"/>
              </w:tabs>
              <w:rPr>
                <w:rFonts w:ascii="Arial" w:hAnsi="Arial" w:cs="Arial"/>
                <w:color w:val="FFFFFF" w:themeColor="background1"/>
                <w:sz w:val="28"/>
                <w:szCs w:val="28"/>
              </w:rPr>
            </w:pPr>
            <w:r w:rsidRPr="005072DD">
              <w:rPr>
                <w:rFonts w:ascii="Arial" w:hAnsi="Arial" w:cs="Arial"/>
                <w:color w:val="FFFFFF" w:themeColor="background1"/>
                <w:sz w:val="28"/>
                <w:szCs w:val="28"/>
              </w:rPr>
              <w:t xml:space="preserve">First Early Repayment Scheme for financial recovery 23/24 – </w:t>
            </w:r>
            <w:r w:rsidRPr="005072DD">
              <w:rPr>
                <w:rFonts w:ascii="Arial" w:hAnsi="Arial" w:cs="Arial"/>
                <w:b/>
                <w:bCs/>
                <w:color w:val="FFFFFF" w:themeColor="background1"/>
                <w:sz w:val="28"/>
                <w:szCs w:val="28"/>
              </w:rPr>
              <w:t>May 2024</w:t>
            </w:r>
          </w:p>
          <w:p w14:paraId="57C93CC4" w14:textId="77777777" w:rsidR="005072DD" w:rsidRPr="005072DD" w:rsidRDefault="005072DD" w:rsidP="005072DD">
            <w:pPr>
              <w:numPr>
                <w:ilvl w:val="0"/>
                <w:numId w:val="1"/>
              </w:numPr>
              <w:tabs>
                <w:tab w:val="left" w:pos="1417"/>
              </w:tabs>
              <w:rPr>
                <w:rFonts w:ascii="Arial" w:hAnsi="Arial" w:cs="Arial"/>
                <w:color w:val="FFFFFF" w:themeColor="background1"/>
                <w:sz w:val="28"/>
                <w:szCs w:val="28"/>
              </w:rPr>
            </w:pPr>
            <w:r w:rsidRPr="005072DD">
              <w:rPr>
                <w:rFonts w:ascii="Arial" w:hAnsi="Arial" w:cs="Arial"/>
                <w:color w:val="FFFFFF" w:themeColor="background1"/>
                <w:sz w:val="28"/>
                <w:szCs w:val="28"/>
              </w:rPr>
              <w:t xml:space="preserve">YE letters available in Compass – </w:t>
            </w:r>
            <w:r w:rsidRPr="005072DD">
              <w:rPr>
                <w:rFonts w:ascii="Arial" w:hAnsi="Arial" w:cs="Arial"/>
                <w:b/>
                <w:bCs/>
                <w:color w:val="FFFFFF" w:themeColor="background1"/>
                <w:sz w:val="28"/>
                <w:szCs w:val="28"/>
              </w:rPr>
              <w:t>30</w:t>
            </w:r>
            <w:r w:rsidRPr="005072DD">
              <w:rPr>
                <w:rFonts w:ascii="Arial" w:hAnsi="Arial" w:cs="Arial"/>
                <w:b/>
                <w:bCs/>
                <w:color w:val="FFFFFF" w:themeColor="background1"/>
                <w:sz w:val="28"/>
                <w:szCs w:val="28"/>
                <w:vertAlign w:val="superscript"/>
              </w:rPr>
              <w:t xml:space="preserve"> </w:t>
            </w:r>
            <w:r w:rsidRPr="005072DD">
              <w:rPr>
                <w:rFonts w:ascii="Arial" w:hAnsi="Arial" w:cs="Arial"/>
                <w:b/>
                <w:bCs/>
                <w:color w:val="FFFFFF" w:themeColor="background1"/>
                <w:sz w:val="28"/>
                <w:szCs w:val="28"/>
              </w:rPr>
              <w:t>June 2024</w:t>
            </w:r>
          </w:p>
          <w:p w14:paraId="5E2CFFB9" w14:textId="77777777" w:rsidR="005072DD" w:rsidRPr="005072DD" w:rsidRDefault="005072DD" w:rsidP="005072DD">
            <w:pPr>
              <w:numPr>
                <w:ilvl w:val="0"/>
                <w:numId w:val="1"/>
              </w:numPr>
              <w:tabs>
                <w:tab w:val="left" w:pos="1417"/>
              </w:tabs>
              <w:rPr>
                <w:rFonts w:ascii="Arial" w:hAnsi="Arial" w:cs="Arial"/>
                <w:b/>
                <w:bCs/>
                <w:color w:val="FFFFFF" w:themeColor="background1"/>
                <w:sz w:val="28"/>
                <w:szCs w:val="28"/>
              </w:rPr>
            </w:pPr>
            <w:r w:rsidRPr="005072DD">
              <w:rPr>
                <w:rFonts w:ascii="Arial" w:hAnsi="Arial" w:cs="Arial"/>
                <w:color w:val="FFFFFF" w:themeColor="background1"/>
                <w:sz w:val="28"/>
                <w:szCs w:val="28"/>
              </w:rPr>
              <w:t xml:space="preserve">First instalment for the </w:t>
            </w:r>
            <w:r w:rsidRPr="005072DD">
              <w:rPr>
                <w:rFonts w:ascii="Arial" w:hAnsi="Arial" w:cs="Arial"/>
                <w:iCs/>
                <w:color w:val="FFFFFF" w:themeColor="background1"/>
                <w:sz w:val="28"/>
                <w:szCs w:val="28"/>
              </w:rPr>
              <w:t xml:space="preserve">value of undelivered activity – </w:t>
            </w:r>
            <w:r w:rsidRPr="005072DD">
              <w:rPr>
                <w:rFonts w:ascii="Arial" w:hAnsi="Arial" w:cs="Arial"/>
                <w:b/>
                <w:bCs/>
                <w:iCs/>
                <w:color w:val="FFFFFF" w:themeColor="background1"/>
                <w:sz w:val="28"/>
                <w:szCs w:val="28"/>
              </w:rPr>
              <w:t>1</w:t>
            </w:r>
            <w:r w:rsidRPr="005072DD">
              <w:rPr>
                <w:rFonts w:ascii="Arial" w:hAnsi="Arial" w:cs="Arial"/>
                <w:iCs/>
                <w:color w:val="FFFFFF" w:themeColor="background1"/>
                <w:sz w:val="28"/>
                <w:szCs w:val="28"/>
              </w:rPr>
              <w:t xml:space="preserve"> </w:t>
            </w:r>
            <w:r w:rsidRPr="005072DD">
              <w:rPr>
                <w:rFonts w:ascii="Arial" w:hAnsi="Arial" w:cs="Arial"/>
                <w:b/>
                <w:bCs/>
                <w:iCs/>
                <w:color w:val="FFFFFF" w:themeColor="background1"/>
                <w:sz w:val="28"/>
                <w:szCs w:val="28"/>
              </w:rPr>
              <w:t>September 2024 payment</w:t>
            </w:r>
          </w:p>
          <w:p w14:paraId="7F5B31D9" w14:textId="77777777" w:rsidR="005072DD" w:rsidRPr="005072DD" w:rsidRDefault="005072DD" w:rsidP="005072DD">
            <w:pPr>
              <w:numPr>
                <w:ilvl w:val="0"/>
                <w:numId w:val="1"/>
              </w:numPr>
              <w:tabs>
                <w:tab w:val="left" w:pos="1417"/>
              </w:tabs>
              <w:rPr>
                <w:rFonts w:ascii="Arial" w:hAnsi="Arial" w:cs="Arial"/>
                <w:color w:val="FFFFFF" w:themeColor="background1"/>
                <w:sz w:val="28"/>
                <w:szCs w:val="28"/>
              </w:rPr>
            </w:pPr>
            <w:r w:rsidRPr="005072DD">
              <w:rPr>
                <w:rFonts w:ascii="Arial" w:hAnsi="Arial" w:cs="Arial"/>
                <w:color w:val="FFFFFF" w:themeColor="background1"/>
                <w:sz w:val="28"/>
                <w:szCs w:val="28"/>
              </w:rPr>
              <w:t xml:space="preserve">Issue of YE underperformance breach notices – </w:t>
            </w:r>
            <w:r w:rsidRPr="005072DD">
              <w:rPr>
                <w:rFonts w:ascii="Arial" w:hAnsi="Arial" w:cs="Arial"/>
                <w:b/>
                <w:bCs/>
                <w:color w:val="FFFFFF" w:themeColor="background1"/>
                <w:sz w:val="28"/>
                <w:szCs w:val="28"/>
              </w:rPr>
              <w:t>30 August 2024</w:t>
            </w:r>
          </w:p>
          <w:p w14:paraId="2FDCD6B7" w14:textId="77777777" w:rsidR="005072DD" w:rsidRPr="005072DD" w:rsidRDefault="005072DD" w:rsidP="005072DD">
            <w:pPr>
              <w:tabs>
                <w:tab w:val="left" w:pos="1417"/>
              </w:tabs>
              <w:ind w:left="720"/>
              <w:rPr>
                <w:rFonts w:ascii="Arial" w:hAnsi="Arial" w:cs="Arial"/>
                <w:color w:val="FFFFFF" w:themeColor="background1"/>
                <w:sz w:val="28"/>
                <w:szCs w:val="28"/>
              </w:rPr>
            </w:pPr>
          </w:p>
          <w:p w14:paraId="17F3E52B" w14:textId="77777777" w:rsidR="00583056" w:rsidRPr="005072DD" w:rsidRDefault="00583056" w:rsidP="000F260A">
            <w:pPr>
              <w:tabs>
                <w:tab w:val="left" w:pos="1417"/>
              </w:tabs>
              <w:rPr>
                <w:rFonts w:ascii="Arial" w:hAnsi="Arial" w:cs="Arial"/>
                <w:color w:val="FFFFFF" w:themeColor="background1"/>
              </w:rPr>
            </w:pPr>
          </w:p>
        </w:tc>
      </w:tr>
    </w:tbl>
    <w:p w14:paraId="23CDCA59" w14:textId="77777777" w:rsidR="00583056" w:rsidRPr="000F260A" w:rsidRDefault="00583056" w:rsidP="000F260A">
      <w:pPr>
        <w:tabs>
          <w:tab w:val="left" w:pos="1417"/>
        </w:tabs>
        <w:rPr>
          <w:rFonts w:ascii="Arial" w:hAnsi="Arial" w:cs="Arial"/>
        </w:rPr>
      </w:pPr>
    </w:p>
    <w:sectPr w:rsidR="00583056" w:rsidRPr="000F260A" w:rsidSect="00EA340D">
      <w:footerReference w:type="default" r:id="rId16"/>
      <w:pgSz w:w="16838" w:h="11906" w:orient="landscape"/>
      <w:pgMar w:top="1134" w:right="1134" w:bottom="1134" w:left="1134"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65FD" w14:textId="77777777" w:rsidR="00EF3A5D" w:rsidRDefault="00EF3A5D" w:rsidP="00172CA6">
      <w:pPr>
        <w:spacing w:after="0" w:line="240" w:lineRule="auto"/>
      </w:pPr>
      <w:r>
        <w:separator/>
      </w:r>
    </w:p>
  </w:endnote>
  <w:endnote w:type="continuationSeparator" w:id="0">
    <w:p w14:paraId="728B74F4" w14:textId="77777777" w:rsidR="00EF3A5D" w:rsidRDefault="00EF3A5D" w:rsidP="00172CA6">
      <w:pPr>
        <w:spacing w:after="0" w:line="240" w:lineRule="auto"/>
      </w:pPr>
      <w:r>
        <w:continuationSeparator/>
      </w:r>
    </w:p>
  </w:endnote>
  <w:endnote w:type="continuationNotice" w:id="1">
    <w:p w14:paraId="457D2D90" w14:textId="77777777" w:rsidR="00EF3A5D" w:rsidRDefault="00EF3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4095" w14:textId="0F5632AD" w:rsidR="00011606" w:rsidRDefault="00011606" w:rsidP="00EA340D">
    <w:pPr>
      <w:pStyle w:val="Footer"/>
      <w:tabs>
        <w:tab w:val="clear" w:pos="4513"/>
        <w:tab w:val="clear" w:pos="9026"/>
        <w:tab w:val="left" w:pos="2016"/>
      </w:tabs>
    </w:pPr>
  </w:p>
  <w:p w14:paraId="714E8259" w14:textId="77777777" w:rsidR="00011606" w:rsidRDefault="00011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1050" w14:textId="77777777" w:rsidR="00EF3A5D" w:rsidRDefault="00EF3A5D" w:rsidP="00172CA6">
      <w:pPr>
        <w:spacing w:after="0" w:line="240" w:lineRule="auto"/>
      </w:pPr>
      <w:r>
        <w:separator/>
      </w:r>
    </w:p>
  </w:footnote>
  <w:footnote w:type="continuationSeparator" w:id="0">
    <w:p w14:paraId="3D43CA01" w14:textId="77777777" w:rsidR="00EF3A5D" w:rsidRDefault="00EF3A5D" w:rsidP="00172CA6">
      <w:pPr>
        <w:spacing w:after="0" w:line="240" w:lineRule="auto"/>
      </w:pPr>
      <w:r>
        <w:continuationSeparator/>
      </w:r>
    </w:p>
  </w:footnote>
  <w:footnote w:type="continuationNotice" w:id="1">
    <w:p w14:paraId="3AE9A263" w14:textId="77777777" w:rsidR="00EF3A5D" w:rsidRDefault="00EF3A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EDE"/>
    <w:multiLevelType w:val="hybridMultilevel"/>
    <w:tmpl w:val="3A4C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334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E2"/>
    <w:rsid w:val="00011606"/>
    <w:rsid w:val="000131B1"/>
    <w:rsid w:val="00015869"/>
    <w:rsid w:val="000202BF"/>
    <w:rsid w:val="0002304D"/>
    <w:rsid w:val="00027022"/>
    <w:rsid w:val="0003075B"/>
    <w:rsid w:val="0003082B"/>
    <w:rsid w:val="00030EA4"/>
    <w:rsid w:val="00035F24"/>
    <w:rsid w:val="000435F4"/>
    <w:rsid w:val="000462DB"/>
    <w:rsid w:val="00046DDD"/>
    <w:rsid w:val="000471AC"/>
    <w:rsid w:val="000512D4"/>
    <w:rsid w:val="00051DD5"/>
    <w:rsid w:val="000654FE"/>
    <w:rsid w:val="00065BB4"/>
    <w:rsid w:val="00067B63"/>
    <w:rsid w:val="00071B7E"/>
    <w:rsid w:val="0007572C"/>
    <w:rsid w:val="00077D82"/>
    <w:rsid w:val="00080A8F"/>
    <w:rsid w:val="000811D3"/>
    <w:rsid w:val="00081C5E"/>
    <w:rsid w:val="00083686"/>
    <w:rsid w:val="00086F6F"/>
    <w:rsid w:val="00087FCA"/>
    <w:rsid w:val="000903B8"/>
    <w:rsid w:val="00090A2A"/>
    <w:rsid w:val="00091196"/>
    <w:rsid w:val="000A079B"/>
    <w:rsid w:val="000A1D12"/>
    <w:rsid w:val="000A43AE"/>
    <w:rsid w:val="000B021E"/>
    <w:rsid w:val="000B2687"/>
    <w:rsid w:val="000B67A0"/>
    <w:rsid w:val="000B726D"/>
    <w:rsid w:val="000C65B4"/>
    <w:rsid w:val="000D1E47"/>
    <w:rsid w:val="000D358E"/>
    <w:rsid w:val="000D4FFA"/>
    <w:rsid w:val="000D775F"/>
    <w:rsid w:val="000D7A62"/>
    <w:rsid w:val="000E01EE"/>
    <w:rsid w:val="000E1BB0"/>
    <w:rsid w:val="000E1C3C"/>
    <w:rsid w:val="000F1BF3"/>
    <w:rsid w:val="000F21B7"/>
    <w:rsid w:val="000F260A"/>
    <w:rsid w:val="000F2BAD"/>
    <w:rsid w:val="000F38A2"/>
    <w:rsid w:val="000F4766"/>
    <w:rsid w:val="000F59A2"/>
    <w:rsid w:val="000F752C"/>
    <w:rsid w:val="00101CFD"/>
    <w:rsid w:val="00103D7A"/>
    <w:rsid w:val="001050D8"/>
    <w:rsid w:val="00106CF1"/>
    <w:rsid w:val="00112D63"/>
    <w:rsid w:val="00112FE5"/>
    <w:rsid w:val="00120814"/>
    <w:rsid w:val="0012112F"/>
    <w:rsid w:val="001265CD"/>
    <w:rsid w:val="00134DFC"/>
    <w:rsid w:val="00140FD4"/>
    <w:rsid w:val="00141AA1"/>
    <w:rsid w:val="001472FD"/>
    <w:rsid w:val="00147DC1"/>
    <w:rsid w:val="00152471"/>
    <w:rsid w:val="001551ED"/>
    <w:rsid w:val="00156C3B"/>
    <w:rsid w:val="001648C0"/>
    <w:rsid w:val="00166BF3"/>
    <w:rsid w:val="00171316"/>
    <w:rsid w:val="00172746"/>
    <w:rsid w:val="00172CA6"/>
    <w:rsid w:val="001736B1"/>
    <w:rsid w:val="0017475C"/>
    <w:rsid w:val="001771E4"/>
    <w:rsid w:val="001816F6"/>
    <w:rsid w:val="00184871"/>
    <w:rsid w:val="00194F0A"/>
    <w:rsid w:val="0019540D"/>
    <w:rsid w:val="001A0244"/>
    <w:rsid w:val="001A256E"/>
    <w:rsid w:val="001A2EE0"/>
    <w:rsid w:val="001A51A0"/>
    <w:rsid w:val="001A5994"/>
    <w:rsid w:val="001A72FC"/>
    <w:rsid w:val="001B4C4F"/>
    <w:rsid w:val="001B5823"/>
    <w:rsid w:val="001C4613"/>
    <w:rsid w:val="001C5F96"/>
    <w:rsid w:val="001D1749"/>
    <w:rsid w:val="001D4118"/>
    <w:rsid w:val="001D54DF"/>
    <w:rsid w:val="001E0671"/>
    <w:rsid w:val="001E24AB"/>
    <w:rsid w:val="001E652F"/>
    <w:rsid w:val="001E683E"/>
    <w:rsid w:val="001F6411"/>
    <w:rsid w:val="001F762E"/>
    <w:rsid w:val="00206D3E"/>
    <w:rsid w:val="00207B85"/>
    <w:rsid w:val="002167F4"/>
    <w:rsid w:val="00216CDB"/>
    <w:rsid w:val="002217BF"/>
    <w:rsid w:val="002263C5"/>
    <w:rsid w:val="0023133D"/>
    <w:rsid w:val="00232353"/>
    <w:rsid w:val="00242C7B"/>
    <w:rsid w:val="00246285"/>
    <w:rsid w:val="0024665C"/>
    <w:rsid w:val="00251C5C"/>
    <w:rsid w:val="00260356"/>
    <w:rsid w:val="00262E63"/>
    <w:rsid w:val="00262FB4"/>
    <w:rsid w:val="00264E9B"/>
    <w:rsid w:val="00271CC6"/>
    <w:rsid w:val="00281144"/>
    <w:rsid w:val="00281BB1"/>
    <w:rsid w:val="00282B9B"/>
    <w:rsid w:val="00282DF5"/>
    <w:rsid w:val="00284D42"/>
    <w:rsid w:val="00293CF9"/>
    <w:rsid w:val="00294522"/>
    <w:rsid w:val="002A1DB7"/>
    <w:rsid w:val="002A393F"/>
    <w:rsid w:val="002A42F0"/>
    <w:rsid w:val="002A5D4A"/>
    <w:rsid w:val="002B1D07"/>
    <w:rsid w:val="002B2144"/>
    <w:rsid w:val="002B43AD"/>
    <w:rsid w:val="002C0A94"/>
    <w:rsid w:val="002C1018"/>
    <w:rsid w:val="002C27A7"/>
    <w:rsid w:val="002C2AED"/>
    <w:rsid w:val="002C51AF"/>
    <w:rsid w:val="002D0F6A"/>
    <w:rsid w:val="002E1174"/>
    <w:rsid w:val="002E1964"/>
    <w:rsid w:val="002E3508"/>
    <w:rsid w:val="002E7064"/>
    <w:rsid w:val="002F603F"/>
    <w:rsid w:val="002F75EE"/>
    <w:rsid w:val="002F7B90"/>
    <w:rsid w:val="0030147B"/>
    <w:rsid w:val="003047C5"/>
    <w:rsid w:val="00306788"/>
    <w:rsid w:val="00316AEE"/>
    <w:rsid w:val="00321E7D"/>
    <w:rsid w:val="003221D5"/>
    <w:rsid w:val="00323608"/>
    <w:rsid w:val="003236ED"/>
    <w:rsid w:val="003242A6"/>
    <w:rsid w:val="00325A4D"/>
    <w:rsid w:val="00330276"/>
    <w:rsid w:val="00331ABC"/>
    <w:rsid w:val="003365BD"/>
    <w:rsid w:val="00336FC5"/>
    <w:rsid w:val="00340E56"/>
    <w:rsid w:val="0034289A"/>
    <w:rsid w:val="003477E0"/>
    <w:rsid w:val="00351709"/>
    <w:rsid w:val="003532EE"/>
    <w:rsid w:val="00354577"/>
    <w:rsid w:val="00361114"/>
    <w:rsid w:val="00362E8E"/>
    <w:rsid w:val="00371114"/>
    <w:rsid w:val="003737DE"/>
    <w:rsid w:val="0038424F"/>
    <w:rsid w:val="003845B5"/>
    <w:rsid w:val="00386CD2"/>
    <w:rsid w:val="00393235"/>
    <w:rsid w:val="00395772"/>
    <w:rsid w:val="003A3205"/>
    <w:rsid w:val="003A7958"/>
    <w:rsid w:val="003B079A"/>
    <w:rsid w:val="003B31EE"/>
    <w:rsid w:val="003B6A36"/>
    <w:rsid w:val="003B6F73"/>
    <w:rsid w:val="003C4F28"/>
    <w:rsid w:val="003C7630"/>
    <w:rsid w:val="003D5FEE"/>
    <w:rsid w:val="003E7013"/>
    <w:rsid w:val="003E78B5"/>
    <w:rsid w:val="003F245C"/>
    <w:rsid w:val="003F5EC8"/>
    <w:rsid w:val="00400419"/>
    <w:rsid w:val="00407495"/>
    <w:rsid w:val="00414C37"/>
    <w:rsid w:val="00420983"/>
    <w:rsid w:val="0042444A"/>
    <w:rsid w:val="00425A3F"/>
    <w:rsid w:val="004271D1"/>
    <w:rsid w:val="004309B9"/>
    <w:rsid w:val="00430C1F"/>
    <w:rsid w:val="00431594"/>
    <w:rsid w:val="00432AC5"/>
    <w:rsid w:val="004342F0"/>
    <w:rsid w:val="00434B1A"/>
    <w:rsid w:val="00435CCD"/>
    <w:rsid w:val="00442046"/>
    <w:rsid w:val="00443E8F"/>
    <w:rsid w:val="00450C7F"/>
    <w:rsid w:val="00453D58"/>
    <w:rsid w:val="00453F84"/>
    <w:rsid w:val="004621EA"/>
    <w:rsid w:val="00462923"/>
    <w:rsid w:val="00473878"/>
    <w:rsid w:val="00473B0E"/>
    <w:rsid w:val="00474C11"/>
    <w:rsid w:val="00482077"/>
    <w:rsid w:val="00484D0C"/>
    <w:rsid w:val="00487243"/>
    <w:rsid w:val="004A03F6"/>
    <w:rsid w:val="004A055E"/>
    <w:rsid w:val="004A437B"/>
    <w:rsid w:val="004A548F"/>
    <w:rsid w:val="004A6611"/>
    <w:rsid w:val="004A6874"/>
    <w:rsid w:val="004A7CB9"/>
    <w:rsid w:val="004B0290"/>
    <w:rsid w:val="004B0823"/>
    <w:rsid w:val="004B62D7"/>
    <w:rsid w:val="004B63BD"/>
    <w:rsid w:val="004C00CE"/>
    <w:rsid w:val="004C546B"/>
    <w:rsid w:val="004C6A9A"/>
    <w:rsid w:val="004D0E27"/>
    <w:rsid w:val="004D44CC"/>
    <w:rsid w:val="004D50FB"/>
    <w:rsid w:val="004E1430"/>
    <w:rsid w:val="004E34E8"/>
    <w:rsid w:val="004E4239"/>
    <w:rsid w:val="004E4FEE"/>
    <w:rsid w:val="004E5B71"/>
    <w:rsid w:val="004E66D1"/>
    <w:rsid w:val="004F00A3"/>
    <w:rsid w:val="004F0671"/>
    <w:rsid w:val="004F2931"/>
    <w:rsid w:val="004F3D56"/>
    <w:rsid w:val="005018FA"/>
    <w:rsid w:val="00503395"/>
    <w:rsid w:val="005055CA"/>
    <w:rsid w:val="00505859"/>
    <w:rsid w:val="005072DD"/>
    <w:rsid w:val="00510037"/>
    <w:rsid w:val="00510FB8"/>
    <w:rsid w:val="00516F23"/>
    <w:rsid w:val="005256AE"/>
    <w:rsid w:val="005269C7"/>
    <w:rsid w:val="005276EB"/>
    <w:rsid w:val="00531AE0"/>
    <w:rsid w:val="00533796"/>
    <w:rsid w:val="00540F8A"/>
    <w:rsid w:val="005410CE"/>
    <w:rsid w:val="0054277E"/>
    <w:rsid w:val="00542E6C"/>
    <w:rsid w:val="005446B0"/>
    <w:rsid w:val="00547C67"/>
    <w:rsid w:val="0055548E"/>
    <w:rsid w:val="0055585C"/>
    <w:rsid w:val="005568F9"/>
    <w:rsid w:val="0056287F"/>
    <w:rsid w:val="00564DBD"/>
    <w:rsid w:val="00571951"/>
    <w:rsid w:val="005731F6"/>
    <w:rsid w:val="00573AE2"/>
    <w:rsid w:val="005765F5"/>
    <w:rsid w:val="00576BCE"/>
    <w:rsid w:val="00577B60"/>
    <w:rsid w:val="00580D8A"/>
    <w:rsid w:val="00583056"/>
    <w:rsid w:val="00586BE4"/>
    <w:rsid w:val="00587A41"/>
    <w:rsid w:val="00591815"/>
    <w:rsid w:val="00594134"/>
    <w:rsid w:val="00596F0D"/>
    <w:rsid w:val="00597C03"/>
    <w:rsid w:val="005A1024"/>
    <w:rsid w:val="005A2BAF"/>
    <w:rsid w:val="005A7BCB"/>
    <w:rsid w:val="005B1C83"/>
    <w:rsid w:val="005B2968"/>
    <w:rsid w:val="005B2A04"/>
    <w:rsid w:val="005B6F75"/>
    <w:rsid w:val="005C00A1"/>
    <w:rsid w:val="005C55F9"/>
    <w:rsid w:val="005C5F03"/>
    <w:rsid w:val="005C61E3"/>
    <w:rsid w:val="005D2FAB"/>
    <w:rsid w:val="005D355A"/>
    <w:rsid w:val="005D6966"/>
    <w:rsid w:val="005F0F44"/>
    <w:rsid w:val="005F1334"/>
    <w:rsid w:val="005F47FC"/>
    <w:rsid w:val="005F4D16"/>
    <w:rsid w:val="005F5666"/>
    <w:rsid w:val="005F5986"/>
    <w:rsid w:val="006071D1"/>
    <w:rsid w:val="00611BC2"/>
    <w:rsid w:val="006148D1"/>
    <w:rsid w:val="006159B9"/>
    <w:rsid w:val="0061616C"/>
    <w:rsid w:val="00631E0B"/>
    <w:rsid w:val="0063264A"/>
    <w:rsid w:val="00633C33"/>
    <w:rsid w:val="00634085"/>
    <w:rsid w:val="00640179"/>
    <w:rsid w:val="0064116D"/>
    <w:rsid w:val="00641558"/>
    <w:rsid w:val="00642839"/>
    <w:rsid w:val="00644F63"/>
    <w:rsid w:val="00645944"/>
    <w:rsid w:val="006464DA"/>
    <w:rsid w:val="00651463"/>
    <w:rsid w:val="00654659"/>
    <w:rsid w:val="00654E40"/>
    <w:rsid w:val="006560DE"/>
    <w:rsid w:val="00656E00"/>
    <w:rsid w:val="00662043"/>
    <w:rsid w:val="0066357A"/>
    <w:rsid w:val="006673AD"/>
    <w:rsid w:val="006673B0"/>
    <w:rsid w:val="006711A5"/>
    <w:rsid w:val="00673977"/>
    <w:rsid w:val="00677A54"/>
    <w:rsid w:val="0068101B"/>
    <w:rsid w:val="0069256E"/>
    <w:rsid w:val="00694AD1"/>
    <w:rsid w:val="00695D86"/>
    <w:rsid w:val="00696831"/>
    <w:rsid w:val="006A0348"/>
    <w:rsid w:val="006A23A0"/>
    <w:rsid w:val="006A3AF2"/>
    <w:rsid w:val="006A3D08"/>
    <w:rsid w:val="006A5323"/>
    <w:rsid w:val="006A57DA"/>
    <w:rsid w:val="006B2EC2"/>
    <w:rsid w:val="006B3EC2"/>
    <w:rsid w:val="006B6803"/>
    <w:rsid w:val="006B72FB"/>
    <w:rsid w:val="006C0CA9"/>
    <w:rsid w:val="006C0F12"/>
    <w:rsid w:val="006C3748"/>
    <w:rsid w:val="006D04AB"/>
    <w:rsid w:val="006F103B"/>
    <w:rsid w:val="006F20CD"/>
    <w:rsid w:val="006F7962"/>
    <w:rsid w:val="006F7E50"/>
    <w:rsid w:val="007011B2"/>
    <w:rsid w:val="007046EB"/>
    <w:rsid w:val="007073E0"/>
    <w:rsid w:val="007202CF"/>
    <w:rsid w:val="007204D4"/>
    <w:rsid w:val="007257C0"/>
    <w:rsid w:val="0072658E"/>
    <w:rsid w:val="00727428"/>
    <w:rsid w:val="00735EBE"/>
    <w:rsid w:val="0073773E"/>
    <w:rsid w:val="00740AAF"/>
    <w:rsid w:val="00741DB1"/>
    <w:rsid w:val="00743F76"/>
    <w:rsid w:val="007458D8"/>
    <w:rsid w:val="00746753"/>
    <w:rsid w:val="007473AF"/>
    <w:rsid w:val="00754064"/>
    <w:rsid w:val="00757B9E"/>
    <w:rsid w:val="00764F2F"/>
    <w:rsid w:val="007727DB"/>
    <w:rsid w:val="007743C6"/>
    <w:rsid w:val="0077440A"/>
    <w:rsid w:val="00776DF5"/>
    <w:rsid w:val="0078051B"/>
    <w:rsid w:val="00784DE9"/>
    <w:rsid w:val="00790660"/>
    <w:rsid w:val="00793B01"/>
    <w:rsid w:val="007941F1"/>
    <w:rsid w:val="007A36AC"/>
    <w:rsid w:val="007A4CB6"/>
    <w:rsid w:val="007B0CB7"/>
    <w:rsid w:val="007B1AA2"/>
    <w:rsid w:val="007B39E3"/>
    <w:rsid w:val="007B5927"/>
    <w:rsid w:val="007C2F61"/>
    <w:rsid w:val="007C34AD"/>
    <w:rsid w:val="007D6B5B"/>
    <w:rsid w:val="007D6E20"/>
    <w:rsid w:val="007E4C46"/>
    <w:rsid w:val="007E50B4"/>
    <w:rsid w:val="007E6487"/>
    <w:rsid w:val="007E67F3"/>
    <w:rsid w:val="007F070E"/>
    <w:rsid w:val="007F1F2C"/>
    <w:rsid w:val="007F61A6"/>
    <w:rsid w:val="00800C85"/>
    <w:rsid w:val="0080139A"/>
    <w:rsid w:val="00801DFB"/>
    <w:rsid w:val="00804996"/>
    <w:rsid w:val="008074CD"/>
    <w:rsid w:val="00810949"/>
    <w:rsid w:val="00810E5E"/>
    <w:rsid w:val="00814DAD"/>
    <w:rsid w:val="00814FCE"/>
    <w:rsid w:val="00820E05"/>
    <w:rsid w:val="008475A7"/>
    <w:rsid w:val="00847926"/>
    <w:rsid w:val="00857BBB"/>
    <w:rsid w:val="008652D2"/>
    <w:rsid w:val="00871513"/>
    <w:rsid w:val="00871B03"/>
    <w:rsid w:val="00880944"/>
    <w:rsid w:val="00883A8F"/>
    <w:rsid w:val="008846E9"/>
    <w:rsid w:val="00894615"/>
    <w:rsid w:val="00894F0D"/>
    <w:rsid w:val="0089727D"/>
    <w:rsid w:val="008A03C8"/>
    <w:rsid w:val="008B0449"/>
    <w:rsid w:val="008B1948"/>
    <w:rsid w:val="008B2DEA"/>
    <w:rsid w:val="008B51BA"/>
    <w:rsid w:val="008B5FC1"/>
    <w:rsid w:val="008C5A7F"/>
    <w:rsid w:val="008C7B64"/>
    <w:rsid w:val="008D112B"/>
    <w:rsid w:val="008D1D5A"/>
    <w:rsid w:val="008D6AE5"/>
    <w:rsid w:val="008D7A0C"/>
    <w:rsid w:val="008E4FFD"/>
    <w:rsid w:val="008E6EC8"/>
    <w:rsid w:val="008F225A"/>
    <w:rsid w:val="008F2B95"/>
    <w:rsid w:val="008F4026"/>
    <w:rsid w:val="008F7534"/>
    <w:rsid w:val="008F7852"/>
    <w:rsid w:val="0090558E"/>
    <w:rsid w:val="009131CC"/>
    <w:rsid w:val="00915CB7"/>
    <w:rsid w:val="00920C30"/>
    <w:rsid w:val="0092257C"/>
    <w:rsid w:val="009315DD"/>
    <w:rsid w:val="009410F0"/>
    <w:rsid w:val="00941B2B"/>
    <w:rsid w:val="00944636"/>
    <w:rsid w:val="009457BC"/>
    <w:rsid w:val="00950F73"/>
    <w:rsid w:val="00953A43"/>
    <w:rsid w:val="0095687F"/>
    <w:rsid w:val="00960D4D"/>
    <w:rsid w:val="00966A85"/>
    <w:rsid w:val="009755B6"/>
    <w:rsid w:val="00993DF3"/>
    <w:rsid w:val="009A0F24"/>
    <w:rsid w:val="009A1B1F"/>
    <w:rsid w:val="009A2A83"/>
    <w:rsid w:val="009B42E8"/>
    <w:rsid w:val="009B5AD6"/>
    <w:rsid w:val="009C1FC5"/>
    <w:rsid w:val="009C473B"/>
    <w:rsid w:val="009C54D1"/>
    <w:rsid w:val="009D4EC7"/>
    <w:rsid w:val="009E0C8A"/>
    <w:rsid w:val="009E23EE"/>
    <w:rsid w:val="009E3EF0"/>
    <w:rsid w:val="009E7C87"/>
    <w:rsid w:val="00A002B9"/>
    <w:rsid w:val="00A066F1"/>
    <w:rsid w:val="00A15266"/>
    <w:rsid w:val="00A16F08"/>
    <w:rsid w:val="00A22428"/>
    <w:rsid w:val="00A24508"/>
    <w:rsid w:val="00A41482"/>
    <w:rsid w:val="00A45B98"/>
    <w:rsid w:val="00A46265"/>
    <w:rsid w:val="00A51E63"/>
    <w:rsid w:val="00A5412D"/>
    <w:rsid w:val="00A55AB0"/>
    <w:rsid w:val="00A664B7"/>
    <w:rsid w:val="00A66EC9"/>
    <w:rsid w:val="00A73891"/>
    <w:rsid w:val="00A76351"/>
    <w:rsid w:val="00A76A10"/>
    <w:rsid w:val="00A77876"/>
    <w:rsid w:val="00A803F1"/>
    <w:rsid w:val="00A84F3F"/>
    <w:rsid w:val="00A93C5A"/>
    <w:rsid w:val="00A958AD"/>
    <w:rsid w:val="00A969CF"/>
    <w:rsid w:val="00AA13D9"/>
    <w:rsid w:val="00AA306A"/>
    <w:rsid w:val="00AB0B12"/>
    <w:rsid w:val="00AB0D43"/>
    <w:rsid w:val="00AC1E13"/>
    <w:rsid w:val="00AC2DAD"/>
    <w:rsid w:val="00AC2EE8"/>
    <w:rsid w:val="00AC642A"/>
    <w:rsid w:val="00AC70F7"/>
    <w:rsid w:val="00AC7A66"/>
    <w:rsid w:val="00AD0C17"/>
    <w:rsid w:val="00AD0C1D"/>
    <w:rsid w:val="00AD23A0"/>
    <w:rsid w:val="00AD23A1"/>
    <w:rsid w:val="00AD2877"/>
    <w:rsid w:val="00AD29DA"/>
    <w:rsid w:val="00AD5FE8"/>
    <w:rsid w:val="00AE5200"/>
    <w:rsid w:val="00AE5B8C"/>
    <w:rsid w:val="00AF1807"/>
    <w:rsid w:val="00AF242E"/>
    <w:rsid w:val="00B03B65"/>
    <w:rsid w:val="00B04985"/>
    <w:rsid w:val="00B135BB"/>
    <w:rsid w:val="00B2259C"/>
    <w:rsid w:val="00B30B41"/>
    <w:rsid w:val="00B3388D"/>
    <w:rsid w:val="00B34D74"/>
    <w:rsid w:val="00B35037"/>
    <w:rsid w:val="00B4046E"/>
    <w:rsid w:val="00B469DD"/>
    <w:rsid w:val="00B475EE"/>
    <w:rsid w:val="00B570DC"/>
    <w:rsid w:val="00B57DF7"/>
    <w:rsid w:val="00B65E04"/>
    <w:rsid w:val="00B6664E"/>
    <w:rsid w:val="00B66BEE"/>
    <w:rsid w:val="00B6767F"/>
    <w:rsid w:val="00B754AE"/>
    <w:rsid w:val="00B763A2"/>
    <w:rsid w:val="00B81767"/>
    <w:rsid w:val="00B82196"/>
    <w:rsid w:val="00B836A0"/>
    <w:rsid w:val="00B868B1"/>
    <w:rsid w:val="00B87164"/>
    <w:rsid w:val="00B901CD"/>
    <w:rsid w:val="00B913F2"/>
    <w:rsid w:val="00B942E3"/>
    <w:rsid w:val="00B94E92"/>
    <w:rsid w:val="00B97535"/>
    <w:rsid w:val="00BA08D6"/>
    <w:rsid w:val="00BA5DD4"/>
    <w:rsid w:val="00BB23CC"/>
    <w:rsid w:val="00BB39AC"/>
    <w:rsid w:val="00BC1387"/>
    <w:rsid w:val="00BC284F"/>
    <w:rsid w:val="00BC436A"/>
    <w:rsid w:val="00BC5FAD"/>
    <w:rsid w:val="00BC7063"/>
    <w:rsid w:val="00BD32F6"/>
    <w:rsid w:val="00BE7B16"/>
    <w:rsid w:val="00BF1D8C"/>
    <w:rsid w:val="00BF3999"/>
    <w:rsid w:val="00BF5874"/>
    <w:rsid w:val="00BF5F79"/>
    <w:rsid w:val="00C007FD"/>
    <w:rsid w:val="00C00E8D"/>
    <w:rsid w:val="00C05A53"/>
    <w:rsid w:val="00C05F98"/>
    <w:rsid w:val="00C1089F"/>
    <w:rsid w:val="00C11060"/>
    <w:rsid w:val="00C11403"/>
    <w:rsid w:val="00C12058"/>
    <w:rsid w:val="00C17A71"/>
    <w:rsid w:val="00C22724"/>
    <w:rsid w:val="00C22B40"/>
    <w:rsid w:val="00C244EC"/>
    <w:rsid w:val="00C378A5"/>
    <w:rsid w:val="00C44406"/>
    <w:rsid w:val="00C4566D"/>
    <w:rsid w:val="00C50213"/>
    <w:rsid w:val="00C51B79"/>
    <w:rsid w:val="00C52751"/>
    <w:rsid w:val="00C5496D"/>
    <w:rsid w:val="00C57B9B"/>
    <w:rsid w:val="00C60805"/>
    <w:rsid w:val="00C622BF"/>
    <w:rsid w:val="00C63D5E"/>
    <w:rsid w:val="00C67437"/>
    <w:rsid w:val="00C70C75"/>
    <w:rsid w:val="00C733FE"/>
    <w:rsid w:val="00C74BAE"/>
    <w:rsid w:val="00C80288"/>
    <w:rsid w:val="00C80395"/>
    <w:rsid w:val="00C83C24"/>
    <w:rsid w:val="00C84385"/>
    <w:rsid w:val="00C864E1"/>
    <w:rsid w:val="00C9242D"/>
    <w:rsid w:val="00C93402"/>
    <w:rsid w:val="00C96ABC"/>
    <w:rsid w:val="00CA31D8"/>
    <w:rsid w:val="00CB6852"/>
    <w:rsid w:val="00CC73C4"/>
    <w:rsid w:val="00CC7683"/>
    <w:rsid w:val="00CD14B1"/>
    <w:rsid w:val="00CD4148"/>
    <w:rsid w:val="00CD487C"/>
    <w:rsid w:val="00CD613E"/>
    <w:rsid w:val="00CE1728"/>
    <w:rsid w:val="00CE40C7"/>
    <w:rsid w:val="00CE70BC"/>
    <w:rsid w:val="00CF152A"/>
    <w:rsid w:val="00CF1533"/>
    <w:rsid w:val="00CF4E06"/>
    <w:rsid w:val="00CF63F3"/>
    <w:rsid w:val="00CF6E8A"/>
    <w:rsid w:val="00D011CB"/>
    <w:rsid w:val="00D028D1"/>
    <w:rsid w:val="00D054AA"/>
    <w:rsid w:val="00D254E5"/>
    <w:rsid w:val="00D31EF3"/>
    <w:rsid w:val="00D32B72"/>
    <w:rsid w:val="00D3349F"/>
    <w:rsid w:val="00D347A2"/>
    <w:rsid w:val="00D35133"/>
    <w:rsid w:val="00D35BF7"/>
    <w:rsid w:val="00D35EE6"/>
    <w:rsid w:val="00D37930"/>
    <w:rsid w:val="00D4467A"/>
    <w:rsid w:val="00D52826"/>
    <w:rsid w:val="00D53237"/>
    <w:rsid w:val="00D5355D"/>
    <w:rsid w:val="00D55759"/>
    <w:rsid w:val="00D56573"/>
    <w:rsid w:val="00D5700D"/>
    <w:rsid w:val="00D642FF"/>
    <w:rsid w:val="00D64CE5"/>
    <w:rsid w:val="00D727A3"/>
    <w:rsid w:val="00D7309F"/>
    <w:rsid w:val="00D824E8"/>
    <w:rsid w:val="00D8357A"/>
    <w:rsid w:val="00D83D90"/>
    <w:rsid w:val="00D942B3"/>
    <w:rsid w:val="00D94DD2"/>
    <w:rsid w:val="00D96B23"/>
    <w:rsid w:val="00DA30A0"/>
    <w:rsid w:val="00DB6930"/>
    <w:rsid w:val="00DC21EF"/>
    <w:rsid w:val="00DC3CE2"/>
    <w:rsid w:val="00DC7413"/>
    <w:rsid w:val="00DD2480"/>
    <w:rsid w:val="00DD3FA6"/>
    <w:rsid w:val="00DE1098"/>
    <w:rsid w:val="00DE10BD"/>
    <w:rsid w:val="00DE5D44"/>
    <w:rsid w:val="00DE6674"/>
    <w:rsid w:val="00DE72CE"/>
    <w:rsid w:val="00DF154E"/>
    <w:rsid w:val="00DF4118"/>
    <w:rsid w:val="00DF5CDF"/>
    <w:rsid w:val="00E03259"/>
    <w:rsid w:val="00E0334D"/>
    <w:rsid w:val="00E053A7"/>
    <w:rsid w:val="00E1142D"/>
    <w:rsid w:val="00E25051"/>
    <w:rsid w:val="00E32675"/>
    <w:rsid w:val="00E33499"/>
    <w:rsid w:val="00E400FA"/>
    <w:rsid w:val="00E529AB"/>
    <w:rsid w:val="00E57CF4"/>
    <w:rsid w:val="00E60CBC"/>
    <w:rsid w:val="00E6148B"/>
    <w:rsid w:val="00E61573"/>
    <w:rsid w:val="00E62807"/>
    <w:rsid w:val="00E6315C"/>
    <w:rsid w:val="00E66814"/>
    <w:rsid w:val="00E75125"/>
    <w:rsid w:val="00E76433"/>
    <w:rsid w:val="00E815B9"/>
    <w:rsid w:val="00E91EB5"/>
    <w:rsid w:val="00E9239F"/>
    <w:rsid w:val="00E927C0"/>
    <w:rsid w:val="00E94BEA"/>
    <w:rsid w:val="00EA1411"/>
    <w:rsid w:val="00EA2F18"/>
    <w:rsid w:val="00EA340D"/>
    <w:rsid w:val="00EA420C"/>
    <w:rsid w:val="00EA6904"/>
    <w:rsid w:val="00EA7EF4"/>
    <w:rsid w:val="00EB1032"/>
    <w:rsid w:val="00EB2D09"/>
    <w:rsid w:val="00EC2AD1"/>
    <w:rsid w:val="00ED3231"/>
    <w:rsid w:val="00ED4BCD"/>
    <w:rsid w:val="00ED6900"/>
    <w:rsid w:val="00ED7B9D"/>
    <w:rsid w:val="00EE00DE"/>
    <w:rsid w:val="00EE1D89"/>
    <w:rsid w:val="00EE24B1"/>
    <w:rsid w:val="00EE315B"/>
    <w:rsid w:val="00EE3E35"/>
    <w:rsid w:val="00EF0401"/>
    <w:rsid w:val="00EF3783"/>
    <w:rsid w:val="00EF3A5D"/>
    <w:rsid w:val="00EF7814"/>
    <w:rsid w:val="00EF7E1A"/>
    <w:rsid w:val="00F005D1"/>
    <w:rsid w:val="00F0123A"/>
    <w:rsid w:val="00F01BC1"/>
    <w:rsid w:val="00F02C5F"/>
    <w:rsid w:val="00F048D2"/>
    <w:rsid w:val="00F06265"/>
    <w:rsid w:val="00F079FD"/>
    <w:rsid w:val="00F10E6C"/>
    <w:rsid w:val="00F11FED"/>
    <w:rsid w:val="00F1591C"/>
    <w:rsid w:val="00F21728"/>
    <w:rsid w:val="00F2389A"/>
    <w:rsid w:val="00F32AB0"/>
    <w:rsid w:val="00F40E7A"/>
    <w:rsid w:val="00F51426"/>
    <w:rsid w:val="00F51CA7"/>
    <w:rsid w:val="00F55CFD"/>
    <w:rsid w:val="00F56786"/>
    <w:rsid w:val="00F60ED8"/>
    <w:rsid w:val="00F62A1D"/>
    <w:rsid w:val="00F72634"/>
    <w:rsid w:val="00F75D99"/>
    <w:rsid w:val="00F85F60"/>
    <w:rsid w:val="00F9068F"/>
    <w:rsid w:val="00F907B9"/>
    <w:rsid w:val="00F94C09"/>
    <w:rsid w:val="00FA0806"/>
    <w:rsid w:val="00FB067A"/>
    <w:rsid w:val="00FB1852"/>
    <w:rsid w:val="00FB1DE2"/>
    <w:rsid w:val="00FB217F"/>
    <w:rsid w:val="00FB4152"/>
    <w:rsid w:val="00FB5213"/>
    <w:rsid w:val="00FB6987"/>
    <w:rsid w:val="00FC662C"/>
    <w:rsid w:val="00FD44D5"/>
    <w:rsid w:val="00FD5AE8"/>
    <w:rsid w:val="00FD6136"/>
    <w:rsid w:val="00FD6A4F"/>
    <w:rsid w:val="00FE304C"/>
    <w:rsid w:val="00FE3881"/>
    <w:rsid w:val="00FE3CAF"/>
    <w:rsid w:val="00FE578B"/>
    <w:rsid w:val="00FE582D"/>
    <w:rsid w:val="00FF0621"/>
    <w:rsid w:val="00FF20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142C6"/>
  <w15:chartTrackingRefBased/>
  <w15:docId w15:val="{551DFDF4-5203-4C77-BAD4-C842CCA5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CA6"/>
  </w:style>
  <w:style w:type="paragraph" w:styleId="Footer">
    <w:name w:val="footer"/>
    <w:basedOn w:val="Normal"/>
    <w:link w:val="FooterChar"/>
    <w:uiPriority w:val="99"/>
    <w:unhideWhenUsed/>
    <w:rsid w:val="0017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CA6"/>
  </w:style>
  <w:style w:type="character" w:customStyle="1" w:styleId="normaltextrun">
    <w:name w:val="normaltextrun"/>
    <w:basedOn w:val="DefaultParagraphFont"/>
    <w:rsid w:val="00AD5FE8"/>
  </w:style>
  <w:style w:type="character" w:customStyle="1" w:styleId="eop">
    <w:name w:val="eop"/>
    <w:basedOn w:val="DefaultParagraphFont"/>
    <w:rsid w:val="00AD5FE8"/>
  </w:style>
  <w:style w:type="character" w:styleId="Hyperlink">
    <w:name w:val="Hyperlink"/>
    <w:basedOn w:val="DefaultParagraphFont"/>
    <w:uiPriority w:val="99"/>
    <w:unhideWhenUsed/>
    <w:rsid w:val="00542E6C"/>
    <w:rPr>
      <w:color w:val="0563C1" w:themeColor="hyperlink"/>
      <w:u w:val="single"/>
    </w:rPr>
  </w:style>
  <w:style w:type="character" w:styleId="UnresolvedMention">
    <w:name w:val="Unresolved Mention"/>
    <w:basedOn w:val="DefaultParagraphFont"/>
    <w:uiPriority w:val="99"/>
    <w:semiHidden/>
    <w:unhideWhenUsed/>
    <w:rsid w:val="00542E6C"/>
    <w:rPr>
      <w:color w:val="605E5C"/>
      <w:shd w:val="clear" w:color="auto" w:fill="E1DFDD"/>
    </w:rPr>
  </w:style>
  <w:style w:type="paragraph" w:customStyle="1" w:styleId="paragraph">
    <w:name w:val="paragraph"/>
    <w:basedOn w:val="Normal"/>
    <w:rsid w:val="001848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775F"/>
    <w:rPr>
      <w:sz w:val="16"/>
      <w:szCs w:val="16"/>
    </w:rPr>
  </w:style>
  <w:style w:type="paragraph" w:styleId="CommentText">
    <w:name w:val="annotation text"/>
    <w:basedOn w:val="Normal"/>
    <w:link w:val="CommentTextChar"/>
    <w:uiPriority w:val="99"/>
    <w:unhideWhenUsed/>
    <w:rsid w:val="000D775F"/>
    <w:pPr>
      <w:spacing w:line="240" w:lineRule="auto"/>
    </w:pPr>
    <w:rPr>
      <w:sz w:val="20"/>
      <w:szCs w:val="20"/>
    </w:rPr>
  </w:style>
  <w:style w:type="character" w:customStyle="1" w:styleId="CommentTextChar">
    <w:name w:val="Comment Text Char"/>
    <w:basedOn w:val="DefaultParagraphFont"/>
    <w:link w:val="CommentText"/>
    <w:uiPriority w:val="99"/>
    <w:rsid w:val="000D775F"/>
    <w:rPr>
      <w:sz w:val="20"/>
      <w:szCs w:val="20"/>
    </w:rPr>
  </w:style>
  <w:style w:type="paragraph" w:styleId="CommentSubject">
    <w:name w:val="annotation subject"/>
    <w:basedOn w:val="CommentText"/>
    <w:next w:val="CommentText"/>
    <w:link w:val="CommentSubjectChar"/>
    <w:uiPriority w:val="99"/>
    <w:semiHidden/>
    <w:unhideWhenUsed/>
    <w:rsid w:val="000D775F"/>
    <w:rPr>
      <w:b/>
      <w:bCs/>
    </w:rPr>
  </w:style>
  <w:style w:type="character" w:customStyle="1" w:styleId="CommentSubjectChar">
    <w:name w:val="Comment Subject Char"/>
    <w:basedOn w:val="CommentTextChar"/>
    <w:link w:val="CommentSubject"/>
    <w:uiPriority w:val="99"/>
    <w:semiHidden/>
    <w:rsid w:val="000D775F"/>
    <w:rPr>
      <w:b/>
      <w:bCs/>
      <w:sz w:val="20"/>
      <w:szCs w:val="20"/>
    </w:rPr>
  </w:style>
  <w:style w:type="paragraph" w:styleId="BalloonText">
    <w:name w:val="Balloon Text"/>
    <w:basedOn w:val="Normal"/>
    <w:link w:val="BalloonTextChar"/>
    <w:uiPriority w:val="99"/>
    <w:semiHidden/>
    <w:unhideWhenUsed/>
    <w:rsid w:val="000D7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75F"/>
    <w:rPr>
      <w:rFonts w:ascii="Segoe UI" w:hAnsi="Segoe UI" w:cs="Segoe UI"/>
      <w:sz w:val="18"/>
      <w:szCs w:val="18"/>
    </w:rPr>
  </w:style>
  <w:style w:type="paragraph" w:styleId="ListParagraph">
    <w:name w:val="List Paragraph"/>
    <w:basedOn w:val="Normal"/>
    <w:uiPriority w:val="34"/>
    <w:qFormat/>
    <w:rsid w:val="006711A5"/>
    <w:pPr>
      <w:ind w:left="720"/>
      <w:contextualSpacing/>
    </w:pPr>
  </w:style>
  <w:style w:type="paragraph" w:styleId="NormalWeb">
    <w:name w:val="Normal (Web)"/>
    <w:basedOn w:val="Normal"/>
    <w:uiPriority w:val="99"/>
    <w:unhideWhenUsed/>
    <w:rsid w:val="006673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77D82"/>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4B0823"/>
    <w:rPr>
      <w:color w:val="954F72" w:themeColor="followedHyperlink"/>
      <w:u w:val="single"/>
    </w:rPr>
  </w:style>
  <w:style w:type="paragraph" w:styleId="Revision">
    <w:name w:val="Revision"/>
    <w:hidden/>
    <w:uiPriority w:val="99"/>
    <w:semiHidden/>
    <w:rsid w:val="007F1F2C"/>
    <w:pPr>
      <w:spacing w:after="0" w:line="240" w:lineRule="auto"/>
    </w:pPr>
  </w:style>
  <w:style w:type="table" w:styleId="TableGrid">
    <w:name w:val="Table Grid"/>
    <w:basedOn w:val="TableNormal"/>
    <w:uiPriority w:val="39"/>
    <w:rsid w:val="0067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1031">
      <w:bodyDiv w:val="1"/>
      <w:marLeft w:val="0"/>
      <w:marRight w:val="0"/>
      <w:marTop w:val="0"/>
      <w:marBottom w:val="0"/>
      <w:divBdr>
        <w:top w:val="none" w:sz="0" w:space="0" w:color="auto"/>
        <w:left w:val="none" w:sz="0" w:space="0" w:color="auto"/>
        <w:bottom w:val="none" w:sz="0" w:space="0" w:color="auto"/>
        <w:right w:val="none" w:sz="0" w:space="0" w:color="auto"/>
      </w:divBdr>
    </w:div>
    <w:div w:id="445463713">
      <w:bodyDiv w:val="1"/>
      <w:marLeft w:val="0"/>
      <w:marRight w:val="0"/>
      <w:marTop w:val="0"/>
      <w:marBottom w:val="0"/>
      <w:divBdr>
        <w:top w:val="none" w:sz="0" w:space="0" w:color="auto"/>
        <w:left w:val="none" w:sz="0" w:space="0" w:color="auto"/>
        <w:bottom w:val="none" w:sz="0" w:space="0" w:color="auto"/>
        <w:right w:val="none" w:sz="0" w:space="0" w:color="auto"/>
      </w:divBdr>
      <w:divsChild>
        <w:div w:id="1733388402">
          <w:marLeft w:val="0"/>
          <w:marRight w:val="0"/>
          <w:marTop w:val="0"/>
          <w:marBottom w:val="0"/>
          <w:divBdr>
            <w:top w:val="none" w:sz="0" w:space="0" w:color="auto"/>
            <w:left w:val="none" w:sz="0" w:space="0" w:color="auto"/>
            <w:bottom w:val="none" w:sz="0" w:space="0" w:color="auto"/>
            <w:right w:val="none" w:sz="0" w:space="0" w:color="auto"/>
          </w:divBdr>
        </w:div>
        <w:div w:id="2080783310">
          <w:marLeft w:val="0"/>
          <w:marRight w:val="0"/>
          <w:marTop w:val="0"/>
          <w:marBottom w:val="0"/>
          <w:divBdr>
            <w:top w:val="none" w:sz="0" w:space="0" w:color="auto"/>
            <w:left w:val="none" w:sz="0" w:space="0" w:color="auto"/>
            <w:bottom w:val="none" w:sz="0" w:space="0" w:color="auto"/>
            <w:right w:val="none" w:sz="0" w:space="0" w:color="auto"/>
          </w:divBdr>
        </w:div>
        <w:div w:id="2104644051">
          <w:marLeft w:val="0"/>
          <w:marRight w:val="0"/>
          <w:marTop w:val="0"/>
          <w:marBottom w:val="0"/>
          <w:divBdr>
            <w:top w:val="none" w:sz="0" w:space="0" w:color="auto"/>
            <w:left w:val="none" w:sz="0" w:space="0" w:color="auto"/>
            <w:bottom w:val="none" w:sz="0" w:space="0" w:color="auto"/>
            <w:right w:val="none" w:sz="0" w:space="0" w:color="auto"/>
          </w:divBdr>
        </w:div>
      </w:divsChild>
    </w:div>
    <w:div w:id="1020819242">
      <w:bodyDiv w:val="1"/>
      <w:marLeft w:val="0"/>
      <w:marRight w:val="0"/>
      <w:marTop w:val="0"/>
      <w:marBottom w:val="0"/>
      <w:divBdr>
        <w:top w:val="none" w:sz="0" w:space="0" w:color="auto"/>
        <w:left w:val="none" w:sz="0" w:space="0" w:color="auto"/>
        <w:bottom w:val="none" w:sz="0" w:space="0" w:color="auto"/>
        <w:right w:val="none" w:sz="0" w:space="0" w:color="auto"/>
      </w:divBdr>
    </w:div>
    <w:div w:id="1085613238">
      <w:bodyDiv w:val="1"/>
      <w:marLeft w:val="0"/>
      <w:marRight w:val="0"/>
      <w:marTop w:val="0"/>
      <w:marBottom w:val="0"/>
      <w:divBdr>
        <w:top w:val="none" w:sz="0" w:space="0" w:color="auto"/>
        <w:left w:val="none" w:sz="0" w:space="0" w:color="auto"/>
        <w:bottom w:val="none" w:sz="0" w:space="0" w:color="auto"/>
        <w:right w:val="none" w:sz="0" w:space="0" w:color="auto"/>
      </w:divBdr>
    </w:div>
    <w:div w:id="1143549194">
      <w:bodyDiv w:val="1"/>
      <w:marLeft w:val="0"/>
      <w:marRight w:val="0"/>
      <w:marTop w:val="0"/>
      <w:marBottom w:val="0"/>
      <w:divBdr>
        <w:top w:val="none" w:sz="0" w:space="0" w:color="auto"/>
        <w:left w:val="none" w:sz="0" w:space="0" w:color="auto"/>
        <w:bottom w:val="none" w:sz="0" w:space="0" w:color="auto"/>
        <w:right w:val="none" w:sz="0" w:space="0" w:color="auto"/>
      </w:divBdr>
    </w:div>
    <w:div w:id="1232470255">
      <w:bodyDiv w:val="1"/>
      <w:marLeft w:val="0"/>
      <w:marRight w:val="0"/>
      <w:marTop w:val="0"/>
      <w:marBottom w:val="0"/>
      <w:divBdr>
        <w:top w:val="none" w:sz="0" w:space="0" w:color="auto"/>
        <w:left w:val="none" w:sz="0" w:space="0" w:color="auto"/>
        <w:bottom w:val="none" w:sz="0" w:space="0" w:color="auto"/>
        <w:right w:val="none" w:sz="0" w:space="0" w:color="auto"/>
      </w:divBdr>
    </w:div>
    <w:div w:id="1567375446">
      <w:bodyDiv w:val="1"/>
      <w:marLeft w:val="0"/>
      <w:marRight w:val="0"/>
      <w:marTop w:val="0"/>
      <w:marBottom w:val="0"/>
      <w:divBdr>
        <w:top w:val="none" w:sz="0" w:space="0" w:color="auto"/>
        <w:left w:val="none" w:sz="0" w:space="0" w:color="auto"/>
        <w:bottom w:val="none" w:sz="0" w:space="0" w:color="auto"/>
        <w:right w:val="none" w:sz="0" w:space="0" w:color="auto"/>
      </w:divBdr>
    </w:div>
    <w:div w:id="1624379997">
      <w:bodyDiv w:val="1"/>
      <w:marLeft w:val="0"/>
      <w:marRight w:val="0"/>
      <w:marTop w:val="0"/>
      <w:marBottom w:val="0"/>
      <w:divBdr>
        <w:top w:val="none" w:sz="0" w:space="0" w:color="auto"/>
        <w:left w:val="none" w:sz="0" w:space="0" w:color="auto"/>
        <w:bottom w:val="none" w:sz="0" w:space="0" w:color="auto"/>
        <w:right w:val="none" w:sz="0" w:space="0" w:color="auto"/>
      </w:divBdr>
    </w:div>
    <w:div w:id="1710496038">
      <w:bodyDiv w:val="1"/>
      <w:marLeft w:val="0"/>
      <w:marRight w:val="0"/>
      <w:marTop w:val="0"/>
      <w:marBottom w:val="0"/>
      <w:divBdr>
        <w:top w:val="none" w:sz="0" w:space="0" w:color="auto"/>
        <w:left w:val="none" w:sz="0" w:space="0" w:color="auto"/>
        <w:bottom w:val="none" w:sz="0" w:space="0" w:color="auto"/>
        <w:right w:val="none" w:sz="0" w:space="0" w:color="auto"/>
      </w:divBdr>
    </w:div>
    <w:div w:id="1996832255">
      <w:bodyDiv w:val="1"/>
      <w:marLeft w:val="0"/>
      <w:marRight w:val="0"/>
      <w:marTop w:val="0"/>
      <w:marBottom w:val="0"/>
      <w:divBdr>
        <w:top w:val="none" w:sz="0" w:space="0" w:color="auto"/>
        <w:left w:val="none" w:sz="0" w:space="0" w:color="auto"/>
        <w:bottom w:val="none" w:sz="0" w:space="0" w:color="auto"/>
        <w:right w:val="none" w:sz="0" w:space="0" w:color="auto"/>
      </w:divBdr>
    </w:div>
    <w:div w:id="20397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hsbsa.dentalcases@nhsbsa.nhs.uk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sbsa.dentalcases@nhsbsa.nhs.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854E8EF29AE445B957B4843D351BCF" ma:contentTypeVersion="18" ma:contentTypeDescription="Create a new document." ma:contentTypeScope="" ma:versionID="674c6212d764b969ad84bfea1ab12b08">
  <xsd:schema xmlns:xsd="http://www.w3.org/2001/XMLSchema" xmlns:xs="http://www.w3.org/2001/XMLSchema" xmlns:p="http://schemas.microsoft.com/office/2006/metadata/properties" xmlns:ns2="4745a8b7-9fa8-4edf-91ea-446a544bd32f" xmlns:ns3="2799d30d-6731-4efe-ac9b-c4895a8828d9" xmlns:ns4="4a02b562-0818-43a3-8804-e1181eb37e2f" targetNamespace="http://schemas.microsoft.com/office/2006/metadata/properties" ma:root="true" ma:fieldsID="9545a5fdfb36a0bc9c778e40658c56c1" ns2:_="" ns3:_="" ns4:_="">
    <xsd:import namespace="4745a8b7-9fa8-4edf-91ea-446a544bd32f"/>
    <xsd:import namespace="2799d30d-6731-4efe-ac9b-c4895a8828d9"/>
    <xsd:import namespace="4a02b562-0818-43a3-8804-e1181eb37e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5a8b7-9fa8-4edf-91ea-446a544bd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86a20c-3788-42a5-81c6-c80ab28b40f5}" ma:internalName="TaxCatchAll" ma:showField="CatchAllData" ma:web="4a02b562-0818-43a3-8804-e1181eb37e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02b562-0818-43a3-8804-e1181eb37e2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745a8b7-9fa8-4edf-91ea-446a544bd3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B90D7D-9F00-43D0-A178-69B745216E28}">
  <ds:schemaRefs>
    <ds:schemaRef ds:uri="http://schemas.microsoft.com/sharepoint/v3/contenttype/forms"/>
  </ds:schemaRefs>
</ds:datastoreItem>
</file>

<file path=customXml/itemProps2.xml><?xml version="1.0" encoding="utf-8"?>
<ds:datastoreItem xmlns:ds="http://schemas.openxmlformats.org/officeDocument/2006/customXml" ds:itemID="{F8F60673-D3F5-4870-834C-2CF334B30BDD}">
  <ds:schemaRefs>
    <ds:schemaRef ds:uri="http://schemas.openxmlformats.org/officeDocument/2006/bibliography"/>
  </ds:schemaRefs>
</ds:datastoreItem>
</file>

<file path=customXml/itemProps3.xml><?xml version="1.0" encoding="utf-8"?>
<ds:datastoreItem xmlns:ds="http://schemas.openxmlformats.org/officeDocument/2006/customXml" ds:itemID="{EA3EA2DA-3B64-4FCF-88CD-343D30140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5a8b7-9fa8-4edf-91ea-446a544bd32f"/>
    <ds:schemaRef ds:uri="2799d30d-6731-4efe-ac9b-c4895a8828d9"/>
    <ds:schemaRef ds:uri="4a02b562-0818-43a3-8804-e1181eb37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4614E-283C-4BE4-AC89-C7A5B87CBC84}">
  <ds:schemaRefs>
    <ds:schemaRef ds:uri="http://schemas.microsoft.com/office/2006/metadata/properties"/>
    <ds:schemaRef ds:uri="http://schemas.microsoft.com/office/infopath/2007/PartnerControls"/>
    <ds:schemaRef ds:uri="2799d30d-6731-4efe-ac9b-c4895a8828d9"/>
    <ds:schemaRef ds:uri="4745a8b7-9fa8-4edf-91ea-446a544bd32f"/>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Links>
    <vt:vector size="12" baseType="variant">
      <vt:variant>
        <vt:i4>131105</vt:i4>
      </vt:variant>
      <vt:variant>
        <vt:i4>3</vt:i4>
      </vt:variant>
      <vt:variant>
        <vt:i4>0</vt:i4>
      </vt:variant>
      <vt:variant>
        <vt:i4>5</vt:i4>
      </vt:variant>
      <vt:variant>
        <vt:lpwstr>mailto:nhsbsa.dentalcases@nhsbsa.nhs.uknet</vt:lpwstr>
      </vt:variant>
      <vt:variant>
        <vt:lpwstr/>
      </vt:variant>
      <vt:variant>
        <vt:i4>131105</vt:i4>
      </vt:variant>
      <vt:variant>
        <vt:i4>0</vt:i4>
      </vt:variant>
      <vt:variant>
        <vt:i4>0</vt:i4>
      </vt:variant>
      <vt:variant>
        <vt:i4>5</vt:i4>
      </vt:variant>
      <vt:variant>
        <vt:lpwstr>mailto:nhsbsa.dentalcases@nhsbsa.nhs.uknet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Graney</dc:creator>
  <cp:keywords/>
  <dc:description/>
  <cp:lastModifiedBy>Jenny Houghton</cp:lastModifiedBy>
  <cp:revision>40</cp:revision>
  <dcterms:created xsi:type="dcterms:W3CDTF">2024-05-23T10:32:00Z</dcterms:created>
  <dcterms:modified xsi:type="dcterms:W3CDTF">2024-05-28T10:30:00Z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7d25db21b106c6f520a906ccdbd36dda03e80d5209705b59593ec11536791723</vt:lpwstr>
  </property>
  <property fmtid="{D5CDD505-2E9C-101B-9397-08002B2CF9AE}" pid="4" name="ContentTypeId">
    <vt:lpwstr>0x01010068854E8EF29AE445B957B4843D351BCF</vt:lpwstr>
  </property>
</Properties>
</file>