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9548F" w14:textId="76E0DE49" w:rsidR="00A41009" w:rsidRDefault="00A41009" w:rsidP="00CC3046">
      <w:pPr>
        <w:pStyle w:val="Heading1"/>
        <w:rPr>
          <w:sz w:val="48"/>
          <w:szCs w:val="48"/>
        </w:rPr>
      </w:pPr>
      <w:r>
        <w:rPr>
          <w:noProof/>
          <w:lang w:eastAsia="en-GB"/>
        </w:rPr>
        <w:drawing>
          <wp:anchor distT="0" distB="0" distL="114300" distR="114300" simplePos="0" relativeHeight="251659264" behindDoc="0" locked="0" layoutInCell="1" allowOverlap="1" wp14:anchorId="23A05DFA" wp14:editId="2BBC8C62">
            <wp:simplePos x="0" y="0"/>
            <wp:positionH relativeFrom="page">
              <wp:align>left</wp:align>
            </wp:positionH>
            <wp:positionV relativeFrom="paragraph">
              <wp:posOffset>-718327</wp:posOffset>
            </wp:positionV>
            <wp:extent cx="7559040" cy="1706880"/>
            <wp:effectExtent l="0" t="0" r="3810" b="7620"/>
            <wp:wrapNone/>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00C59" w14:textId="2B68E4A2" w:rsidR="00D9463F" w:rsidRDefault="00D9463F" w:rsidP="008A4F37">
      <w:pPr>
        <w:tabs>
          <w:tab w:val="left" w:pos="7842"/>
        </w:tabs>
        <w:spacing w:line="320" w:lineRule="exact"/>
        <w:rPr>
          <w:rFonts w:ascii="Arial" w:hAnsi="Arial" w:cs="Arial"/>
        </w:rPr>
      </w:pPr>
    </w:p>
    <w:p w14:paraId="7217E3AE" w14:textId="77777777" w:rsidR="00E0577F" w:rsidRDefault="00E0577F" w:rsidP="008A4F37">
      <w:pPr>
        <w:tabs>
          <w:tab w:val="left" w:pos="7842"/>
        </w:tabs>
        <w:spacing w:line="320" w:lineRule="exact"/>
        <w:rPr>
          <w:rFonts w:ascii="Arial" w:hAnsi="Arial" w:cs="Arial"/>
        </w:rPr>
      </w:pPr>
    </w:p>
    <w:p w14:paraId="4F7A17E2" w14:textId="77777777" w:rsidR="004D1566" w:rsidRDefault="004D1566" w:rsidP="008A4F37">
      <w:pPr>
        <w:tabs>
          <w:tab w:val="left" w:pos="7842"/>
        </w:tabs>
        <w:spacing w:line="320" w:lineRule="exact"/>
        <w:rPr>
          <w:rFonts w:ascii="Arial" w:hAnsi="Arial" w:cs="Arial"/>
        </w:rPr>
      </w:pPr>
    </w:p>
    <w:p w14:paraId="634AB5E8" w14:textId="77777777" w:rsidR="000B0CC3" w:rsidRDefault="000B0CC3" w:rsidP="008A4F37">
      <w:pPr>
        <w:tabs>
          <w:tab w:val="left" w:pos="7842"/>
        </w:tabs>
        <w:spacing w:line="320" w:lineRule="exact"/>
        <w:rPr>
          <w:rFonts w:ascii="Arial" w:hAnsi="Arial" w:cs="Arial"/>
        </w:rPr>
      </w:pPr>
    </w:p>
    <w:p w14:paraId="3A5C3D69" w14:textId="77777777" w:rsidR="000B0CC3" w:rsidRDefault="000B0CC3" w:rsidP="008A4F37">
      <w:pPr>
        <w:tabs>
          <w:tab w:val="left" w:pos="7842"/>
        </w:tabs>
        <w:spacing w:line="320" w:lineRule="exact"/>
        <w:rPr>
          <w:rFonts w:ascii="Arial" w:hAnsi="Arial" w:cs="Arial"/>
        </w:rPr>
      </w:pPr>
    </w:p>
    <w:p w14:paraId="432C5D54" w14:textId="77777777" w:rsidR="00CD1A65" w:rsidRDefault="00CD1A65" w:rsidP="008A4F37">
      <w:pPr>
        <w:tabs>
          <w:tab w:val="left" w:pos="7842"/>
        </w:tabs>
        <w:spacing w:line="320" w:lineRule="exact"/>
        <w:rPr>
          <w:rFonts w:ascii="Arial" w:hAnsi="Arial" w:cs="Arial"/>
        </w:rPr>
      </w:pPr>
    </w:p>
    <w:p w14:paraId="18E7EC82" w14:textId="400B231C" w:rsidR="006973B8" w:rsidRPr="0041425A" w:rsidRDefault="006973B8" w:rsidP="006973B8">
      <w:pPr>
        <w:keepNext/>
        <w:keepLines/>
        <w:spacing w:line="276" w:lineRule="auto"/>
        <w:contextualSpacing/>
        <w:rPr>
          <w:rFonts w:ascii="Arial" w:eastAsia="Times New Roman" w:hAnsi="Arial" w:cs="Arial"/>
          <w:b/>
          <w:bCs/>
          <w:color w:val="0070C0"/>
          <w:sz w:val="36"/>
          <w:szCs w:val="36"/>
          <w:lang w:val="en-US"/>
        </w:rPr>
      </w:pPr>
      <w:r w:rsidRPr="0041425A">
        <w:rPr>
          <w:rFonts w:ascii="Arial" w:eastAsia="Times New Roman" w:hAnsi="Arial" w:cs="Arial"/>
          <w:b/>
          <w:bCs/>
          <w:color w:val="0070C0"/>
          <w:sz w:val="36"/>
          <w:szCs w:val="36"/>
          <w:lang w:val="en-US"/>
        </w:rPr>
        <w:t>Dispensing endorsement guidance for dispensing practices</w:t>
      </w:r>
    </w:p>
    <w:p w14:paraId="1468E589" w14:textId="77777777" w:rsidR="006973B8" w:rsidRPr="006973B8" w:rsidRDefault="006973B8" w:rsidP="006973B8">
      <w:pPr>
        <w:spacing w:line="276" w:lineRule="auto"/>
        <w:contextualSpacing/>
        <w:rPr>
          <w:rFonts w:ascii="Arial" w:eastAsia="Calibri" w:hAnsi="Arial" w:cs="Arial"/>
          <w:b/>
          <w:sz w:val="28"/>
          <w:szCs w:val="28"/>
          <w:lang w:val="en-US"/>
        </w:rPr>
      </w:pPr>
    </w:p>
    <w:p w14:paraId="173A75FD" w14:textId="77777777" w:rsidR="006973B8" w:rsidRPr="006973B8" w:rsidRDefault="006973B8" w:rsidP="006973B8">
      <w:pPr>
        <w:numPr>
          <w:ilvl w:val="0"/>
          <w:numId w:val="1"/>
        </w:numPr>
        <w:spacing w:after="200" w:line="276" w:lineRule="auto"/>
        <w:contextualSpacing/>
        <w:rPr>
          <w:rFonts w:ascii="Arial" w:eastAsia="Calibri" w:hAnsi="Arial" w:cs="Arial"/>
          <w:b/>
          <w:sz w:val="28"/>
          <w:szCs w:val="28"/>
          <w:lang w:val="en-US"/>
        </w:rPr>
      </w:pPr>
      <w:r w:rsidRPr="006973B8">
        <w:rPr>
          <w:rFonts w:ascii="Arial" w:eastAsia="Calibri" w:hAnsi="Arial" w:cs="Arial"/>
          <w:b/>
          <w:sz w:val="28"/>
          <w:szCs w:val="28"/>
          <w:lang w:val="en-US"/>
        </w:rPr>
        <w:t>Dispensing reimbursement</w:t>
      </w:r>
    </w:p>
    <w:p w14:paraId="38CD2DBF" w14:textId="77777777" w:rsidR="006973B8" w:rsidRPr="006973B8" w:rsidRDefault="006973B8" w:rsidP="006973B8">
      <w:pPr>
        <w:spacing w:line="276" w:lineRule="auto"/>
        <w:contextualSpacing/>
        <w:rPr>
          <w:rFonts w:ascii="Arial" w:eastAsia="Calibri" w:hAnsi="Arial" w:cs="Arial"/>
          <w:b/>
          <w:sz w:val="28"/>
          <w:szCs w:val="28"/>
          <w:lang w:val="en-US"/>
        </w:rPr>
      </w:pPr>
    </w:p>
    <w:p w14:paraId="3260D320" w14:textId="77777777" w:rsidR="006973B8" w:rsidRPr="006973B8" w:rsidRDefault="006973B8" w:rsidP="006973B8">
      <w:pPr>
        <w:spacing w:after="200" w:line="276" w:lineRule="auto"/>
        <w:contextualSpacing/>
        <w:rPr>
          <w:rFonts w:ascii="Arial" w:eastAsia="Calibri" w:hAnsi="Arial" w:cs="Arial"/>
        </w:rPr>
      </w:pPr>
      <w:r w:rsidRPr="006973B8">
        <w:rPr>
          <w:rFonts w:ascii="Arial" w:eastAsia="Calibri" w:hAnsi="Arial" w:cs="Arial"/>
        </w:rPr>
        <w:t xml:space="preserve">The Drug Tariff sets out the basis of the reimbursement price that will be paid to dispensing contractors. This is summarised in the following table: </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3686"/>
      </w:tblGrid>
      <w:tr w:rsidR="006973B8" w:rsidRPr="006973B8" w14:paraId="1BB0692B" w14:textId="77777777" w:rsidTr="00663F1D">
        <w:trPr>
          <w:trHeight w:val="846"/>
          <w:jc w:val="center"/>
        </w:trPr>
        <w:tc>
          <w:tcPr>
            <w:tcW w:w="3827" w:type="dxa"/>
            <w:shd w:val="clear" w:color="auto" w:fill="auto"/>
            <w:vAlign w:val="center"/>
          </w:tcPr>
          <w:p w14:paraId="47904B31" w14:textId="77777777" w:rsidR="006973B8" w:rsidRPr="006973B8" w:rsidRDefault="006973B8" w:rsidP="006973B8">
            <w:pPr>
              <w:keepLines/>
              <w:spacing w:beforeAutospacing="1" w:afterAutospacing="1" w:line="276" w:lineRule="auto"/>
              <w:contextualSpacing/>
              <w:jc w:val="center"/>
              <w:rPr>
                <w:rFonts w:ascii="Arial" w:eastAsia="Times New Roman" w:hAnsi="Arial" w:cs="Arial"/>
                <w:b/>
                <w:lang w:eastAsia="en-GB"/>
              </w:rPr>
            </w:pPr>
            <w:r w:rsidRPr="006973B8">
              <w:rPr>
                <w:rFonts w:ascii="Arial" w:eastAsia="Times New Roman" w:hAnsi="Arial" w:cs="Arial"/>
                <w:b/>
                <w:lang w:eastAsia="en-GB"/>
              </w:rPr>
              <w:t>Prescribed product</w:t>
            </w:r>
          </w:p>
        </w:tc>
        <w:tc>
          <w:tcPr>
            <w:tcW w:w="3686" w:type="dxa"/>
            <w:shd w:val="clear" w:color="auto" w:fill="auto"/>
            <w:vAlign w:val="center"/>
          </w:tcPr>
          <w:p w14:paraId="05A1651B" w14:textId="77777777" w:rsidR="006973B8" w:rsidRPr="006973B8" w:rsidRDefault="006973B8" w:rsidP="006973B8">
            <w:pPr>
              <w:keepLines/>
              <w:spacing w:beforeAutospacing="1" w:afterAutospacing="1" w:line="276" w:lineRule="auto"/>
              <w:contextualSpacing/>
              <w:jc w:val="center"/>
              <w:rPr>
                <w:rFonts w:ascii="Arial" w:eastAsia="Times New Roman" w:hAnsi="Arial" w:cs="Arial"/>
                <w:b/>
                <w:lang w:eastAsia="en-GB"/>
              </w:rPr>
            </w:pPr>
            <w:r w:rsidRPr="006973B8">
              <w:rPr>
                <w:rFonts w:ascii="Arial" w:eastAsia="Times New Roman" w:hAnsi="Arial" w:cs="Arial"/>
                <w:b/>
                <w:lang w:eastAsia="en-GB"/>
              </w:rPr>
              <w:t>Basis of the reimbursement price</w:t>
            </w:r>
          </w:p>
        </w:tc>
      </w:tr>
      <w:tr w:rsidR="006973B8" w:rsidRPr="006973B8" w14:paraId="7731B1C3" w14:textId="77777777" w:rsidTr="00663F1D">
        <w:trPr>
          <w:trHeight w:val="772"/>
          <w:jc w:val="center"/>
        </w:trPr>
        <w:tc>
          <w:tcPr>
            <w:tcW w:w="3827" w:type="dxa"/>
            <w:shd w:val="clear" w:color="auto" w:fill="auto"/>
            <w:vAlign w:val="center"/>
          </w:tcPr>
          <w:p w14:paraId="59BF5E7A" w14:textId="3B1B7C81" w:rsidR="006973B8" w:rsidRPr="006973B8" w:rsidRDefault="006973B8" w:rsidP="006973B8">
            <w:pPr>
              <w:keepNext/>
              <w:keepLines/>
              <w:spacing w:before="240" w:after="60" w:line="276" w:lineRule="auto"/>
              <w:contextualSpacing/>
              <w:jc w:val="center"/>
              <w:outlineLvl w:val="1"/>
              <w:rPr>
                <w:rFonts w:ascii="Arial" w:eastAsia="Times New Roman" w:hAnsi="Arial" w:cs="Arial"/>
                <w:bCs/>
                <w:iCs/>
              </w:rPr>
            </w:pPr>
            <w:r w:rsidRPr="006973B8">
              <w:rPr>
                <w:rFonts w:ascii="Arial" w:eastAsia="Times New Roman" w:hAnsi="Arial" w:cs="Arial"/>
                <w:bCs/>
                <w:iCs/>
              </w:rPr>
              <w:t>Generic medicines listed in Part VIII</w:t>
            </w:r>
            <w:r w:rsidRPr="006973B8">
              <w:rPr>
                <w:rFonts w:ascii="Arial" w:eastAsia="Times New Roman" w:hAnsi="Arial" w:cs="Arial"/>
                <w:bCs/>
                <w:iCs/>
                <w:color w:val="FF0000"/>
              </w:rPr>
              <w:t xml:space="preserve"> </w:t>
            </w:r>
            <w:r w:rsidRPr="006973B8">
              <w:rPr>
                <w:rFonts w:ascii="Arial" w:eastAsia="Times New Roman" w:hAnsi="Arial" w:cs="Arial"/>
                <w:bCs/>
                <w:iCs/>
              </w:rPr>
              <w:t>of the Drug Tariff</w:t>
            </w:r>
          </w:p>
        </w:tc>
        <w:tc>
          <w:tcPr>
            <w:tcW w:w="3686" w:type="dxa"/>
            <w:shd w:val="clear" w:color="auto" w:fill="auto"/>
            <w:vAlign w:val="center"/>
          </w:tcPr>
          <w:p w14:paraId="1D984F94" w14:textId="4BEC1760" w:rsidR="006973B8" w:rsidRPr="006973B8" w:rsidRDefault="006973B8" w:rsidP="006973B8">
            <w:pPr>
              <w:keepLines/>
              <w:spacing w:beforeAutospacing="1" w:afterAutospacing="1" w:line="276" w:lineRule="auto"/>
              <w:contextualSpacing/>
              <w:jc w:val="center"/>
              <w:rPr>
                <w:rFonts w:ascii="Arial" w:eastAsia="Times New Roman" w:hAnsi="Arial" w:cs="Arial"/>
                <w:lang w:eastAsia="en-GB"/>
              </w:rPr>
            </w:pPr>
            <w:r w:rsidRPr="006973B8">
              <w:rPr>
                <w:rFonts w:ascii="Arial" w:eastAsia="Times New Roman" w:hAnsi="Arial" w:cs="Arial"/>
                <w:lang w:eastAsia="en-GB"/>
              </w:rPr>
              <w:t>Price listed in Part VIII</w:t>
            </w:r>
            <w:r w:rsidRPr="006973B8">
              <w:rPr>
                <w:rFonts w:ascii="Arial" w:eastAsia="Times New Roman" w:hAnsi="Arial" w:cs="Arial"/>
                <w:color w:val="FF0000"/>
                <w:lang w:eastAsia="en-GB"/>
              </w:rPr>
              <w:t xml:space="preserve"> </w:t>
            </w:r>
            <w:r w:rsidRPr="006973B8">
              <w:rPr>
                <w:rFonts w:ascii="Arial" w:eastAsia="Times New Roman" w:hAnsi="Arial" w:cs="Arial"/>
                <w:lang w:eastAsia="en-GB"/>
              </w:rPr>
              <w:t>of the Drug Tariff</w:t>
            </w:r>
          </w:p>
        </w:tc>
      </w:tr>
      <w:tr w:rsidR="006973B8" w:rsidRPr="006973B8" w14:paraId="0CA6B38B" w14:textId="77777777" w:rsidTr="00663F1D">
        <w:trPr>
          <w:trHeight w:val="1082"/>
          <w:jc w:val="center"/>
        </w:trPr>
        <w:tc>
          <w:tcPr>
            <w:tcW w:w="3827" w:type="dxa"/>
            <w:shd w:val="clear" w:color="auto" w:fill="auto"/>
            <w:vAlign w:val="center"/>
          </w:tcPr>
          <w:p w14:paraId="487D6D3E" w14:textId="77777777" w:rsidR="006973B8" w:rsidRPr="006973B8" w:rsidRDefault="006973B8" w:rsidP="006973B8">
            <w:pPr>
              <w:keepLines/>
              <w:spacing w:beforeAutospacing="1" w:afterAutospacing="1" w:line="276" w:lineRule="auto"/>
              <w:contextualSpacing/>
              <w:jc w:val="center"/>
              <w:rPr>
                <w:rFonts w:ascii="Arial" w:eastAsia="Times New Roman" w:hAnsi="Arial" w:cs="Arial"/>
                <w:lang w:eastAsia="en-GB"/>
              </w:rPr>
            </w:pPr>
            <w:r w:rsidRPr="006973B8">
              <w:rPr>
                <w:rFonts w:ascii="Arial" w:eastAsia="Times New Roman" w:hAnsi="Arial" w:cs="Arial"/>
                <w:lang w:eastAsia="en-GB"/>
              </w:rPr>
              <w:t xml:space="preserve">Generic medicines </w:t>
            </w:r>
            <w:r w:rsidRPr="006973B8">
              <w:rPr>
                <w:rFonts w:ascii="Arial" w:eastAsia="Times New Roman" w:hAnsi="Arial" w:cs="Arial"/>
                <w:b/>
                <w:lang w:eastAsia="en-GB"/>
              </w:rPr>
              <w:t>not</w:t>
            </w:r>
            <w:r w:rsidRPr="006973B8">
              <w:rPr>
                <w:rFonts w:ascii="Arial" w:eastAsia="Times New Roman" w:hAnsi="Arial" w:cs="Arial"/>
                <w:lang w:eastAsia="en-GB"/>
              </w:rPr>
              <w:t xml:space="preserve"> listed in Part VIII of the Drug Tariff</w:t>
            </w:r>
          </w:p>
          <w:p w14:paraId="0ED4B07A" w14:textId="77777777" w:rsidR="006973B8" w:rsidRPr="006973B8" w:rsidRDefault="006973B8" w:rsidP="006973B8">
            <w:pPr>
              <w:keepLines/>
              <w:spacing w:beforeAutospacing="1" w:afterAutospacing="1" w:line="276" w:lineRule="auto"/>
              <w:contextualSpacing/>
              <w:jc w:val="center"/>
              <w:rPr>
                <w:rFonts w:ascii="Arial" w:eastAsia="Times New Roman" w:hAnsi="Arial" w:cs="Arial"/>
                <w:b/>
                <w:lang w:eastAsia="en-GB"/>
              </w:rPr>
            </w:pPr>
            <w:r w:rsidRPr="006973B8">
              <w:rPr>
                <w:rFonts w:ascii="Arial" w:eastAsia="Times New Roman" w:hAnsi="Arial" w:cs="Arial"/>
                <w:b/>
                <w:lang w:eastAsia="en-GB"/>
              </w:rPr>
              <w:t>and</w:t>
            </w:r>
          </w:p>
          <w:p w14:paraId="108300B4" w14:textId="77777777" w:rsidR="006973B8" w:rsidRPr="006973B8" w:rsidRDefault="006973B8" w:rsidP="006973B8">
            <w:pPr>
              <w:keepLines/>
              <w:spacing w:beforeAutospacing="1" w:afterAutospacing="1" w:line="276" w:lineRule="auto"/>
              <w:contextualSpacing/>
              <w:jc w:val="center"/>
              <w:rPr>
                <w:rFonts w:ascii="Arial" w:eastAsia="Times New Roman" w:hAnsi="Arial" w:cs="Arial"/>
                <w:lang w:eastAsia="en-GB"/>
              </w:rPr>
            </w:pPr>
            <w:r w:rsidRPr="006973B8">
              <w:rPr>
                <w:rFonts w:ascii="Arial" w:eastAsia="Times New Roman" w:hAnsi="Arial" w:cs="Arial"/>
                <w:lang w:eastAsia="en-GB"/>
              </w:rPr>
              <w:t>proprietary or branded medicines</w:t>
            </w:r>
          </w:p>
        </w:tc>
        <w:tc>
          <w:tcPr>
            <w:tcW w:w="3686" w:type="dxa"/>
            <w:shd w:val="clear" w:color="auto" w:fill="auto"/>
            <w:vAlign w:val="center"/>
          </w:tcPr>
          <w:p w14:paraId="0CBEBEB4" w14:textId="77777777" w:rsidR="006973B8" w:rsidRPr="006973B8" w:rsidRDefault="006973B8" w:rsidP="006973B8">
            <w:pPr>
              <w:keepLines/>
              <w:spacing w:beforeAutospacing="1" w:afterAutospacing="1" w:line="276" w:lineRule="auto"/>
              <w:contextualSpacing/>
              <w:jc w:val="center"/>
              <w:rPr>
                <w:rFonts w:ascii="Arial" w:eastAsia="Times New Roman" w:hAnsi="Arial" w:cs="Arial"/>
                <w:lang w:eastAsia="en-GB"/>
              </w:rPr>
            </w:pPr>
            <w:r w:rsidRPr="006973B8">
              <w:rPr>
                <w:rFonts w:ascii="Arial" w:eastAsia="Times New Roman" w:hAnsi="Arial" w:cs="Arial"/>
                <w:lang w:eastAsia="en-GB"/>
              </w:rPr>
              <w:t>Price listed in manufacturer or supplier catalogue</w:t>
            </w:r>
          </w:p>
        </w:tc>
      </w:tr>
      <w:tr w:rsidR="006973B8" w:rsidRPr="006973B8" w14:paraId="43D4FBE9" w14:textId="77777777" w:rsidTr="00663F1D">
        <w:trPr>
          <w:trHeight w:val="830"/>
          <w:jc w:val="center"/>
        </w:trPr>
        <w:tc>
          <w:tcPr>
            <w:tcW w:w="3827" w:type="dxa"/>
            <w:shd w:val="clear" w:color="auto" w:fill="auto"/>
            <w:vAlign w:val="center"/>
          </w:tcPr>
          <w:p w14:paraId="72429F27" w14:textId="77777777" w:rsidR="006973B8" w:rsidRPr="006973B8" w:rsidRDefault="006973B8" w:rsidP="006973B8">
            <w:pPr>
              <w:keepLines/>
              <w:spacing w:beforeAutospacing="1" w:afterAutospacing="1" w:line="276" w:lineRule="auto"/>
              <w:contextualSpacing/>
              <w:jc w:val="center"/>
              <w:rPr>
                <w:rFonts w:ascii="Arial" w:eastAsia="Times New Roman" w:hAnsi="Arial" w:cs="Arial"/>
                <w:lang w:eastAsia="en-GB"/>
              </w:rPr>
            </w:pPr>
            <w:r w:rsidRPr="006973B8">
              <w:rPr>
                <w:rFonts w:ascii="Arial" w:eastAsia="Times New Roman" w:hAnsi="Arial" w:cs="Arial"/>
                <w:lang w:eastAsia="en-GB"/>
              </w:rPr>
              <w:t>Medical devices &amp; appliances listed in Part IX of the Drug Tariff</w:t>
            </w:r>
          </w:p>
        </w:tc>
        <w:tc>
          <w:tcPr>
            <w:tcW w:w="3686" w:type="dxa"/>
            <w:shd w:val="clear" w:color="auto" w:fill="auto"/>
            <w:vAlign w:val="center"/>
          </w:tcPr>
          <w:p w14:paraId="00E09C33" w14:textId="77777777" w:rsidR="006973B8" w:rsidRPr="006973B8" w:rsidRDefault="006973B8" w:rsidP="006973B8">
            <w:pPr>
              <w:keepLines/>
              <w:spacing w:beforeAutospacing="1" w:afterAutospacing="1" w:line="276" w:lineRule="auto"/>
              <w:contextualSpacing/>
              <w:jc w:val="center"/>
              <w:rPr>
                <w:rFonts w:ascii="Arial" w:eastAsia="Times New Roman" w:hAnsi="Arial" w:cs="Arial"/>
                <w:lang w:eastAsia="en-GB"/>
              </w:rPr>
            </w:pPr>
            <w:r w:rsidRPr="006973B8">
              <w:rPr>
                <w:rFonts w:ascii="Arial" w:eastAsia="Times New Roman" w:hAnsi="Arial" w:cs="Arial"/>
                <w:lang w:eastAsia="en-GB"/>
              </w:rPr>
              <w:t>Price listed in Part IX of the Drug Tariff</w:t>
            </w:r>
          </w:p>
        </w:tc>
      </w:tr>
    </w:tbl>
    <w:p w14:paraId="5CD0FA01" w14:textId="77777777" w:rsidR="006973B8" w:rsidRPr="006973B8" w:rsidRDefault="006973B8" w:rsidP="006973B8">
      <w:pPr>
        <w:spacing w:after="200" w:line="276" w:lineRule="auto"/>
        <w:contextualSpacing/>
        <w:rPr>
          <w:rFonts w:ascii="Arial" w:eastAsia="Calibri" w:hAnsi="Arial" w:cs="Arial"/>
        </w:rPr>
      </w:pPr>
    </w:p>
    <w:p w14:paraId="5813CDEE" w14:textId="77777777" w:rsidR="006973B8" w:rsidRPr="006973B8" w:rsidRDefault="006973B8" w:rsidP="006973B8">
      <w:pPr>
        <w:spacing w:after="200" w:line="276" w:lineRule="auto"/>
        <w:contextualSpacing/>
        <w:rPr>
          <w:rFonts w:ascii="Arial" w:eastAsia="Calibri" w:hAnsi="Arial" w:cs="Arial"/>
        </w:rPr>
      </w:pPr>
      <w:r w:rsidRPr="006973B8">
        <w:rPr>
          <w:rFonts w:ascii="Arial" w:eastAsia="Calibri" w:hAnsi="Arial" w:cs="Arial"/>
        </w:rPr>
        <w:t xml:space="preserve">The quantity of the product on which reimbursement is calculated is based on the exact quantity prescribed, except where the product is packaged as a special container. In these cases, NHS Prescription Services applies the appropriate rounding rules; however, the payment calculation is more transparent to the dispensing practice if a complete pack is prescribed for these products. </w:t>
      </w:r>
    </w:p>
    <w:p w14:paraId="0AD00DF0" w14:textId="77777777" w:rsidR="006973B8" w:rsidRDefault="006973B8" w:rsidP="006973B8">
      <w:pPr>
        <w:spacing w:after="200" w:line="276" w:lineRule="auto"/>
        <w:contextualSpacing/>
        <w:rPr>
          <w:rFonts w:ascii="Arial" w:eastAsia="Calibri" w:hAnsi="Arial" w:cs="Arial"/>
        </w:rPr>
      </w:pPr>
    </w:p>
    <w:p w14:paraId="7E64FC0F" w14:textId="77777777" w:rsidR="00CD1A65" w:rsidRPr="006973B8" w:rsidRDefault="00CD1A65" w:rsidP="006973B8">
      <w:pPr>
        <w:spacing w:after="200" w:line="276" w:lineRule="auto"/>
        <w:contextualSpacing/>
        <w:rPr>
          <w:rFonts w:ascii="Arial" w:eastAsia="Calibri" w:hAnsi="Arial" w:cs="Arial"/>
        </w:rPr>
      </w:pPr>
    </w:p>
    <w:p w14:paraId="6AB367EF" w14:textId="77777777" w:rsidR="006973B8" w:rsidRPr="006973B8" w:rsidRDefault="006973B8" w:rsidP="006973B8">
      <w:pPr>
        <w:keepNext/>
        <w:numPr>
          <w:ilvl w:val="0"/>
          <w:numId w:val="1"/>
        </w:numPr>
        <w:spacing w:before="240" w:after="60" w:line="276" w:lineRule="auto"/>
        <w:contextualSpacing/>
        <w:outlineLvl w:val="0"/>
        <w:rPr>
          <w:rFonts w:ascii="Arial" w:eastAsia="Calibri" w:hAnsi="Arial" w:cs="Arial"/>
          <w:b/>
          <w:bCs/>
          <w:sz w:val="28"/>
          <w:szCs w:val="28"/>
        </w:rPr>
      </w:pPr>
      <w:r w:rsidRPr="006973B8">
        <w:rPr>
          <w:rFonts w:ascii="Arial" w:eastAsia="Calibri" w:hAnsi="Arial" w:cs="Arial"/>
          <w:b/>
          <w:bCs/>
          <w:sz w:val="28"/>
          <w:szCs w:val="28"/>
        </w:rPr>
        <w:t xml:space="preserve">Dispensing endorsements         </w:t>
      </w:r>
    </w:p>
    <w:p w14:paraId="7FA516C3" w14:textId="77777777" w:rsidR="00CD1A65" w:rsidRPr="006973B8" w:rsidRDefault="00CD1A65" w:rsidP="006973B8">
      <w:pPr>
        <w:spacing w:after="200" w:line="276" w:lineRule="auto"/>
        <w:contextualSpacing/>
        <w:rPr>
          <w:rFonts w:ascii="Arial" w:eastAsia="Calibri" w:hAnsi="Arial" w:cs="Arial"/>
        </w:rPr>
      </w:pPr>
    </w:p>
    <w:p w14:paraId="48C5E31E" w14:textId="77777777" w:rsidR="006973B8" w:rsidRDefault="006973B8" w:rsidP="006973B8">
      <w:pPr>
        <w:spacing w:after="200" w:line="276" w:lineRule="auto"/>
        <w:contextualSpacing/>
        <w:rPr>
          <w:rFonts w:ascii="Arial" w:eastAsia="Calibri" w:hAnsi="Arial" w:cs="Arial"/>
        </w:rPr>
      </w:pPr>
      <w:r w:rsidRPr="006973B8">
        <w:rPr>
          <w:rFonts w:ascii="Arial" w:eastAsia="Calibri" w:hAnsi="Arial" w:cs="Arial"/>
        </w:rPr>
        <w:t>There are a very limited number of circumstances when dispensing endorsements are required. These are detailed in the Drug Tariff. To ensure that we calculate your payment using the price of the correct pack size, you should add a dispensing endorsement as listed in the following table:</w:t>
      </w:r>
    </w:p>
    <w:p w14:paraId="0BFFE68B" w14:textId="77777777" w:rsidR="00CD1A65" w:rsidRDefault="00CD1A65" w:rsidP="006973B8">
      <w:pPr>
        <w:spacing w:after="200" w:line="276" w:lineRule="auto"/>
        <w:contextualSpacing/>
        <w:rPr>
          <w:rFonts w:ascii="Arial" w:eastAsia="Calibri" w:hAnsi="Arial" w:cs="Arial"/>
        </w:rPr>
      </w:pPr>
    </w:p>
    <w:p w14:paraId="6465B4A4" w14:textId="77777777" w:rsidR="00CD1A65" w:rsidRPr="006973B8" w:rsidRDefault="00CD1A65" w:rsidP="006973B8">
      <w:pPr>
        <w:spacing w:after="200" w:line="276" w:lineRule="auto"/>
        <w:contextualSpacing/>
        <w:rPr>
          <w:rFonts w:ascii="Arial" w:eastAsia="Calibri"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835"/>
        <w:gridCol w:w="3402"/>
      </w:tblGrid>
      <w:tr w:rsidR="006973B8" w:rsidRPr="006973B8" w14:paraId="457DCAD6" w14:textId="77777777" w:rsidTr="00663F1D">
        <w:trPr>
          <w:trHeight w:val="419"/>
        </w:trPr>
        <w:tc>
          <w:tcPr>
            <w:tcW w:w="2977" w:type="dxa"/>
            <w:vMerge w:val="restart"/>
            <w:shd w:val="clear" w:color="auto" w:fill="auto"/>
            <w:vAlign w:val="center"/>
          </w:tcPr>
          <w:p w14:paraId="6AA6D9A0" w14:textId="77777777" w:rsidR="006973B8" w:rsidRPr="006973B8" w:rsidRDefault="006973B8" w:rsidP="006973B8">
            <w:pPr>
              <w:keepLines/>
              <w:spacing w:beforeAutospacing="1" w:afterAutospacing="1" w:line="276" w:lineRule="auto"/>
              <w:contextualSpacing/>
              <w:jc w:val="center"/>
              <w:rPr>
                <w:rFonts w:ascii="Arial" w:eastAsia="Times New Roman" w:hAnsi="Arial" w:cs="Arial"/>
                <w:b/>
                <w:lang w:eastAsia="en-GB"/>
              </w:rPr>
            </w:pPr>
            <w:r w:rsidRPr="006973B8">
              <w:rPr>
                <w:rFonts w:ascii="Arial" w:eastAsia="Times New Roman" w:hAnsi="Arial" w:cs="Arial"/>
                <w:b/>
                <w:lang w:eastAsia="en-GB"/>
              </w:rPr>
              <w:lastRenderedPageBreak/>
              <w:t>Prescribed product</w:t>
            </w:r>
          </w:p>
        </w:tc>
        <w:tc>
          <w:tcPr>
            <w:tcW w:w="6237" w:type="dxa"/>
            <w:gridSpan w:val="2"/>
            <w:shd w:val="clear" w:color="auto" w:fill="auto"/>
            <w:vAlign w:val="center"/>
          </w:tcPr>
          <w:p w14:paraId="1DF7C643" w14:textId="77777777" w:rsidR="006973B8" w:rsidRPr="006973B8" w:rsidRDefault="006973B8" w:rsidP="006973B8">
            <w:pPr>
              <w:keepLines/>
              <w:spacing w:beforeAutospacing="1" w:afterAutospacing="1" w:line="276" w:lineRule="auto"/>
              <w:contextualSpacing/>
              <w:jc w:val="center"/>
              <w:rPr>
                <w:rFonts w:ascii="Arial" w:eastAsia="Times New Roman" w:hAnsi="Arial" w:cs="Arial"/>
                <w:b/>
                <w:lang w:eastAsia="en-GB"/>
              </w:rPr>
            </w:pPr>
            <w:r w:rsidRPr="006973B8">
              <w:rPr>
                <w:rFonts w:ascii="Arial" w:eastAsia="Times New Roman" w:hAnsi="Arial" w:cs="Arial"/>
                <w:b/>
                <w:lang w:eastAsia="en-GB"/>
              </w:rPr>
              <w:t>Dispensing endorsements</w:t>
            </w:r>
          </w:p>
        </w:tc>
      </w:tr>
      <w:tr w:rsidR="006973B8" w:rsidRPr="006973B8" w14:paraId="1ECAF618" w14:textId="77777777" w:rsidTr="00663F1D">
        <w:trPr>
          <w:trHeight w:val="344"/>
        </w:trPr>
        <w:tc>
          <w:tcPr>
            <w:tcW w:w="2977" w:type="dxa"/>
            <w:vMerge/>
            <w:shd w:val="clear" w:color="auto" w:fill="auto"/>
            <w:vAlign w:val="center"/>
          </w:tcPr>
          <w:p w14:paraId="05DB4D10" w14:textId="77777777" w:rsidR="006973B8" w:rsidRPr="006973B8" w:rsidRDefault="006973B8" w:rsidP="006973B8">
            <w:pPr>
              <w:keepNext/>
              <w:keepLines/>
              <w:spacing w:before="240" w:after="60" w:line="276" w:lineRule="auto"/>
              <w:ind w:left="34"/>
              <w:contextualSpacing/>
              <w:jc w:val="center"/>
              <w:outlineLvl w:val="1"/>
              <w:rPr>
                <w:rFonts w:ascii="Arial" w:eastAsia="Times New Roman" w:hAnsi="Arial" w:cs="Arial"/>
                <w:b/>
                <w:bCs/>
                <w:i/>
                <w:iCs/>
              </w:rPr>
            </w:pPr>
          </w:p>
        </w:tc>
        <w:tc>
          <w:tcPr>
            <w:tcW w:w="2835" w:type="dxa"/>
            <w:shd w:val="clear" w:color="auto" w:fill="auto"/>
            <w:vAlign w:val="center"/>
          </w:tcPr>
          <w:p w14:paraId="4927FFB5" w14:textId="77777777" w:rsidR="006973B8" w:rsidRPr="006973B8" w:rsidRDefault="006973B8" w:rsidP="006973B8">
            <w:pPr>
              <w:keepLines/>
              <w:spacing w:beforeAutospacing="1" w:afterAutospacing="1" w:line="276" w:lineRule="auto"/>
              <w:contextualSpacing/>
              <w:jc w:val="center"/>
              <w:rPr>
                <w:rFonts w:ascii="Arial" w:eastAsia="Times New Roman" w:hAnsi="Arial" w:cs="Arial"/>
                <w:b/>
                <w:lang w:eastAsia="en-GB"/>
              </w:rPr>
            </w:pPr>
            <w:r w:rsidRPr="006973B8">
              <w:rPr>
                <w:rFonts w:ascii="Arial" w:eastAsia="Times New Roman" w:hAnsi="Arial" w:cs="Arial"/>
                <w:b/>
                <w:lang w:eastAsia="en-GB"/>
              </w:rPr>
              <w:t>Manufacturer or supplier</w:t>
            </w:r>
          </w:p>
        </w:tc>
        <w:tc>
          <w:tcPr>
            <w:tcW w:w="3402" w:type="dxa"/>
            <w:shd w:val="clear" w:color="auto" w:fill="auto"/>
            <w:vAlign w:val="center"/>
          </w:tcPr>
          <w:p w14:paraId="1E8992A1" w14:textId="77777777" w:rsidR="006973B8" w:rsidRPr="006973B8" w:rsidRDefault="006973B8" w:rsidP="006973B8">
            <w:pPr>
              <w:keepLines/>
              <w:spacing w:beforeAutospacing="1" w:afterAutospacing="1" w:line="276" w:lineRule="auto"/>
              <w:contextualSpacing/>
              <w:jc w:val="center"/>
              <w:rPr>
                <w:rFonts w:ascii="Arial" w:eastAsia="Times New Roman" w:hAnsi="Arial" w:cs="Arial"/>
                <w:b/>
                <w:lang w:eastAsia="en-GB"/>
              </w:rPr>
            </w:pPr>
            <w:r w:rsidRPr="006973B8">
              <w:rPr>
                <w:rFonts w:ascii="Arial" w:eastAsia="Times New Roman" w:hAnsi="Arial" w:cs="Arial"/>
                <w:b/>
                <w:lang w:eastAsia="en-GB"/>
              </w:rPr>
              <w:t>Pack size</w:t>
            </w:r>
          </w:p>
        </w:tc>
      </w:tr>
      <w:tr w:rsidR="006973B8" w:rsidRPr="006973B8" w14:paraId="4CB24B41" w14:textId="77777777" w:rsidTr="00663F1D">
        <w:trPr>
          <w:trHeight w:val="1541"/>
        </w:trPr>
        <w:tc>
          <w:tcPr>
            <w:tcW w:w="2977" w:type="dxa"/>
            <w:shd w:val="clear" w:color="auto" w:fill="auto"/>
            <w:vAlign w:val="center"/>
          </w:tcPr>
          <w:p w14:paraId="6B4FB4C2" w14:textId="3E4F96B8" w:rsidR="006973B8" w:rsidRPr="006973B8" w:rsidRDefault="006973B8" w:rsidP="006973B8">
            <w:pPr>
              <w:keepLines/>
              <w:spacing w:before="100" w:beforeAutospacing="1" w:after="100" w:afterAutospacing="1" w:line="276" w:lineRule="auto"/>
              <w:contextualSpacing/>
              <w:jc w:val="center"/>
              <w:rPr>
                <w:rFonts w:ascii="Arial" w:eastAsia="Times New Roman" w:hAnsi="Arial" w:cs="Arial"/>
                <w:lang w:eastAsia="en-GB"/>
              </w:rPr>
            </w:pPr>
            <w:r w:rsidRPr="006973B8">
              <w:rPr>
                <w:rFonts w:ascii="Arial" w:eastAsia="Times New Roman" w:hAnsi="Arial" w:cs="Arial"/>
                <w:lang w:eastAsia="en-GB"/>
              </w:rPr>
              <w:t>Generic medicines listed in Part VIII</w:t>
            </w:r>
            <w:r w:rsidR="002A7109">
              <w:rPr>
                <w:rFonts w:ascii="Arial" w:eastAsia="Times New Roman" w:hAnsi="Arial" w:cs="Arial"/>
                <w:lang w:eastAsia="en-GB"/>
              </w:rPr>
              <w:t xml:space="preserve"> </w:t>
            </w:r>
            <w:r w:rsidRPr="006973B8">
              <w:rPr>
                <w:rFonts w:ascii="Arial" w:eastAsia="Times New Roman" w:hAnsi="Arial" w:cs="Arial"/>
                <w:lang w:eastAsia="en-GB"/>
              </w:rPr>
              <w:t>of the Drug Tariff</w:t>
            </w:r>
          </w:p>
          <w:p w14:paraId="6BD65F99" w14:textId="77777777" w:rsidR="006973B8" w:rsidRPr="006973B8" w:rsidRDefault="006973B8" w:rsidP="006973B8">
            <w:pPr>
              <w:keepLines/>
              <w:spacing w:before="100" w:beforeAutospacing="1" w:after="100" w:afterAutospacing="1" w:line="276" w:lineRule="auto"/>
              <w:contextualSpacing/>
              <w:jc w:val="center"/>
              <w:rPr>
                <w:rFonts w:ascii="Arial" w:eastAsia="Times New Roman" w:hAnsi="Arial" w:cs="Arial"/>
                <w:b/>
                <w:lang w:eastAsia="en-GB"/>
              </w:rPr>
            </w:pPr>
            <w:r w:rsidRPr="006973B8">
              <w:rPr>
                <w:rFonts w:ascii="Arial" w:eastAsia="Times New Roman" w:hAnsi="Arial" w:cs="Arial"/>
                <w:b/>
                <w:lang w:eastAsia="en-GB"/>
              </w:rPr>
              <w:t>and</w:t>
            </w:r>
          </w:p>
          <w:p w14:paraId="1A1E6ACB" w14:textId="77777777" w:rsidR="006973B8" w:rsidRPr="006973B8" w:rsidRDefault="006973B8" w:rsidP="006973B8">
            <w:pPr>
              <w:keepLines/>
              <w:spacing w:before="100" w:beforeAutospacing="1" w:after="100" w:afterAutospacing="1" w:line="276" w:lineRule="auto"/>
              <w:contextualSpacing/>
              <w:jc w:val="center"/>
              <w:rPr>
                <w:rFonts w:ascii="Arial" w:eastAsia="Times New Roman" w:hAnsi="Arial" w:cs="Arial"/>
                <w:lang w:eastAsia="en-GB"/>
              </w:rPr>
            </w:pPr>
            <w:r w:rsidRPr="006973B8">
              <w:rPr>
                <w:rFonts w:ascii="Arial" w:eastAsia="Times New Roman" w:hAnsi="Arial" w:cs="Arial"/>
                <w:lang w:eastAsia="en-GB"/>
              </w:rPr>
              <w:t>proprietary or branded medicines</w:t>
            </w:r>
          </w:p>
          <w:p w14:paraId="1BF3AB1D" w14:textId="77777777" w:rsidR="006973B8" w:rsidRPr="006973B8" w:rsidRDefault="006973B8" w:rsidP="006973B8">
            <w:pPr>
              <w:keepLines/>
              <w:spacing w:beforeAutospacing="1" w:afterAutospacing="1" w:line="276" w:lineRule="auto"/>
              <w:contextualSpacing/>
              <w:jc w:val="center"/>
              <w:rPr>
                <w:rFonts w:ascii="Arial" w:eastAsia="Times New Roman" w:hAnsi="Arial" w:cs="Arial"/>
                <w:b/>
                <w:lang w:eastAsia="en-GB"/>
              </w:rPr>
            </w:pPr>
            <w:r w:rsidRPr="006973B8">
              <w:rPr>
                <w:rFonts w:ascii="Arial" w:eastAsia="Times New Roman" w:hAnsi="Arial" w:cs="Arial"/>
                <w:b/>
                <w:lang w:eastAsia="en-GB"/>
              </w:rPr>
              <w:t>and</w:t>
            </w:r>
          </w:p>
          <w:p w14:paraId="6DF8484E" w14:textId="77777777" w:rsidR="006973B8" w:rsidRPr="006973B8" w:rsidRDefault="006973B8" w:rsidP="006973B8">
            <w:pPr>
              <w:keepLines/>
              <w:spacing w:beforeAutospacing="1" w:afterAutospacing="1" w:line="276" w:lineRule="auto"/>
              <w:contextualSpacing/>
              <w:jc w:val="center"/>
              <w:rPr>
                <w:rFonts w:ascii="Arial" w:eastAsia="Times New Roman" w:hAnsi="Arial" w:cs="Arial"/>
                <w:lang w:eastAsia="en-GB"/>
              </w:rPr>
            </w:pPr>
            <w:r w:rsidRPr="006973B8">
              <w:rPr>
                <w:rFonts w:ascii="Arial" w:eastAsia="Times New Roman" w:hAnsi="Arial" w:cs="Arial"/>
                <w:lang w:eastAsia="en-GB"/>
              </w:rPr>
              <w:t>medical devices &amp; appliances listed in Part IX of the Drug Tariff</w:t>
            </w:r>
          </w:p>
        </w:tc>
        <w:tc>
          <w:tcPr>
            <w:tcW w:w="2835" w:type="dxa"/>
            <w:shd w:val="clear" w:color="auto" w:fill="auto"/>
            <w:vAlign w:val="center"/>
          </w:tcPr>
          <w:p w14:paraId="68FAD131" w14:textId="77777777" w:rsidR="006973B8" w:rsidRPr="006973B8" w:rsidRDefault="006973B8" w:rsidP="006973B8">
            <w:pPr>
              <w:keepLines/>
              <w:spacing w:before="100" w:beforeAutospacing="1" w:after="100" w:afterAutospacing="1" w:line="276" w:lineRule="auto"/>
              <w:contextualSpacing/>
              <w:jc w:val="center"/>
              <w:rPr>
                <w:rFonts w:ascii="Arial" w:eastAsia="Times New Roman" w:hAnsi="Arial" w:cs="Arial"/>
                <w:lang w:eastAsia="en-GB"/>
              </w:rPr>
            </w:pPr>
            <w:r w:rsidRPr="006973B8">
              <w:rPr>
                <w:rFonts w:ascii="Arial" w:eastAsia="Times New Roman" w:hAnsi="Arial" w:cs="Arial"/>
                <w:lang w:eastAsia="en-GB"/>
              </w:rPr>
              <w:t>Not required</w:t>
            </w:r>
          </w:p>
        </w:tc>
        <w:tc>
          <w:tcPr>
            <w:tcW w:w="3402" w:type="dxa"/>
            <w:shd w:val="clear" w:color="auto" w:fill="auto"/>
            <w:vAlign w:val="center"/>
          </w:tcPr>
          <w:p w14:paraId="7938448D" w14:textId="77777777" w:rsidR="006973B8" w:rsidRPr="006973B8" w:rsidRDefault="006973B8" w:rsidP="006973B8">
            <w:pPr>
              <w:keepLines/>
              <w:spacing w:beforeAutospacing="1" w:afterAutospacing="1" w:line="276" w:lineRule="auto"/>
              <w:contextualSpacing/>
              <w:jc w:val="center"/>
              <w:rPr>
                <w:rFonts w:ascii="Arial" w:eastAsia="Times New Roman" w:hAnsi="Arial" w:cs="Arial"/>
                <w:lang w:eastAsia="en-GB"/>
              </w:rPr>
            </w:pPr>
            <w:r w:rsidRPr="006973B8">
              <w:rPr>
                <w:rFonts w:ascii="Arial" w:eastAsia="Times New Roman" w:hAnsi="Arial" w:cs="Arial"/>
                <w:lang w:eastAsia="en-GB"/>
              </w:rPr>
              <w:t>Not required</w:t>
            </w:r>
          </w:p>
          <w:p w14:paraId="7EAAC9CF" w14:textId="77777777" w:rsidR="006973B8" w:rsidRPr="006973B8" w:rsidRDefault="006973B8" w:rsidP="006973B8">
            <w:pPr>
              <w:keepLines/>
              <w:spacing w:beforeAutospacing="1" w:afterAutospacing="1" w:line="276" w:lineRule="auto"/>
              <w:contextualSpacing/>
              <w:jc w:val="center"/>
              <w:rPr>
                <w:rFonts w:ascii="Arial" w:eastAsia="Times New Roman" w:hAnsi="Arial" w:cs="Arial"/>
                <w:lang w:eastAsia="en-GB"/>
              </w:rPr>
            </w:pPr>
            <w:r w:rsidRPr="006973B8">
              <w:rPr>
                <w:rFonts w:ascii="Arial" w:eastAsia="Times New Roman" w:hAnsi="Arial" w:cs="Arial"/>
                <w:lang w:eastAsia="en-GB"/>
              </w:rPr>
              <w:t>unless</w:t>
            </w:r>
          </w:p>
          <w:p w14:paraId="790CFC50" w14:textId="2BE09354" w:rsidR="006973B8" w:rsidRPr="006973B8" w:rsidRDefault="006973B8" w:rsidP="006973B8">
            <w:pPr>
              <w:keepLines/>
              <w:spacing w:beforeAutospacing="1" w:afterAutospacing="1" w:line="276" w:lineRule="auto"/>
              <w:contextualSpacing/>
              <w:jc w:val="center"/>
              <w:rPr>
                <w:rFonts w:ascii="Arial" w:eastAsia="Times New Roman" w:hAnsi="Arial" w:cs="Arial"/>
                <w:lang w:eastAsia="en-GB"/>
              </w:rPr>
            </w:pPr>
            <w:r w:rsidRPr="006973B8">
              <w:rPr>
                <w:rFonts w:ascii="Arial" w:eastAsia="Times New Roman" w:hAnsi="Arial" w:cs="Arial"/>
                <w:lang w:eastAsia="en-GB"/>
              </w:rPr>
              <w:t>more than one pack size is listed in the Drug Tariff (Part VIII</w:t>
            </w:r>
            <w:r w:rsidR="002A7109">
              <w:rPr>
                <w:rFonts w:ascii="Arial" w:eastAsia="Times New Roman" w:hAnsi="Arial" w:cs="Arial"/>
                <w:lang w:eastAsia="en-GB"/>
              </w:rPr>
              <w:t xml:space="preserve"> </w:t>
            </w:r>
            <w:r w:rsidRPr="006973B8">
              <w:rPr>
                <w:rFonts w:ascii="Arial" w:eastAsia="Times New Roman" w:hAnsi="Arial" w:cs="Arial"/>
                <w:lang w:eastAsia="en-GB"/>
              </w:rPr>
              <w:t>or Part IX)</w:t>
            </w:r>
          </w:p>
          <w:p w14:paraId="02387B7B" w14:textId="77777777" w:rsidR="006973B8" w:rsidRPr="006973B8" w:rsidRDefault="006973B8" w:rsidP="006973B8">
            <w:pPr>
              <w:keepLines/>
              <w:spacing w:beforeAutospacing="1" w:afterAutospacing="1" w:line="276" w:lineRule="auto"/>
              <w:contextualSpacing/>
              <w:jc w:val="center"/>
              <w:rPr>
                <w:rFonts w:ascii="Arial" w:eastAsia="Times New Roman" w:hAnsi="Arial" w:cs="Arial"/>
                <w:b/>
                <w:lang w:eastAsia="en-GB"/>
              </w:rPr>
            </w:pPr>
            <w:r w:rsidRPr="006973B8">
              <w:rPr>
                <w:rFonts w:ascii="Arial" w:eastAsia="Times New Roman" w:hAnsi="Arial" w:cs="Arial"/>
                <w:b/>
                <w:lang w:eastAsia="en-GB"/>
              </w:rPr>
              <w:t>or</w:t>
            </w:r>
          </w:p>
          <w:p w14:paraId="4BE5DF3F" w14:textId="77777777" w:rsidR="006973B8" w:rsidRPr="006973B8" w:rsidRDefault="006973B8" w:rsidP="006973B8">
            <w:pPr>
              <w:keepLines/>
              <w:spacing w:beforeAutospacing="1" w:afterAutospacing="1" w:line="276" w:lineRule="auto"/>
              <w:contextualSpacing/>
              <w:jc w:val="center"/>
              <w:rPr>
                <w:rFonts w:ascii="Arial" w:eastAsia="Times New Roman" w:hAnsi="Arial" w:cs="Arial"/>
                <w:lang w:eastAsia="en-GB"/>
              </w:rPr>
            </w:pPr>
            <w:r w:rsidRPr="006973B8">
              <w:rPr>
                <w:rFonts w:ascii="Arial" w:eastAsia="Times New Roman" w:hAnsi="Arial" w:cs="Arial"/>
                <w:lang w:eastAsia="en-GB"/>
              </w:rPr>
              <w:t>more than one pack size is listed in the manufacturer catalogue</w:t>
            </w:r>
          </w:p>
        </w:tc>
      </w:tr>
      <w:tr w:rsidR="006973B8" w:rsidRPr="006973B8" w14:paraId="1A4786CC" w14:textId="77777777" w:rsidTr="00663F1D">
        <w:trPr>
          <w:trHeight w:val="1111"/>
        </w:trPr>
        <w:tc>
          <w:tcPr>
            <w:tcW w:w="2977" w:type="dxa"/>
            <w:shd w:val="clear" w:color="auto" w:fill="auto"/>
            <w:vAlign w:val="center"/>
          </w:tcPr>
          <w:p w14:paraId="6EFDE583" w14:textId="083BD7A3" w:rsidR="006973B8" w:rsidRPr="006973B8" w:rsidRDefault="006973B8" w:rsidP="006973B8">
            <w:pPr>
              <w:keepLines/>
              <w:spacing w:beforeAutospacing="1" w:afterAutospacing="1" w:line="276" w:lineRule="auto"/>
              <w:contextualSpacing/>
              <w:jc w:val="center"/>
              <w:rPr>
                <w:rFonts w:ascii="Arial" w:eastAsia="Times New Roman" w:hAnsi="Arial" w:cs="Arial"/>
                <w:lang w:eastAsia="en-GB"/>
              </w:rPr>
            </w:pPr>
            <w:r w:rsidRPr="006973B8">
              <w:rPr>
                <w:rFonts w:ascii="Arial" w:eastAsia="Times New Roman" w:hAnsi="Arial" w:cs="Arial"/>
                <w:lang w:eastAsia="en-GB"/>
              </w:rPr>
              <w:t>Generic medicines NOT listed in Part VIII</w:t>
            </w:r>
            <w:r w:rsidR="001738F2">
              <w:rPr>
                <w:rFonts w:ascii="Arial" w:eastAsia="Times New Roman" w:hAnsi="Arial" w:cs="Arial"/>
                <w:lang w:eastAsia="en-GB"/>
              </w:rPr>
              <w:t xml:space="preserve"> </w:t>
            </w:r>
            <w:r w:rsidRPr="006973B8">
              <w:rPr>
                <w:rFonts w:ascii="Arial" w:eastAsia="Times New Roman" w:hAnsi="Arial" w:cs="Arial"/>
                <w:lang w:eastAsia="en-GB"/>
              </w:rPr>
              <w:t>of the Drug Tariff</w:t>
            </w:r>
          </w:p>
        </w:tc>
        <w:tc>
          <w:tcPr>
            <w:tcW w:w="2835" w:type="dxa"/>
            <w:shd w:val="clear" w:color="auto" w:fill="auto"/>
            <w:vAlign w:val="center"/>
          </w:tcPr>
          <w:p w14:paraId="1D5AB7D2" w14:textId="77777777" w:rsidR="006973B8" w:rsidRPr="006973B8" w:rsidRDefault="006973B8" w:rsidP="006973B8">
            <w:pPr>
              <w:keepLines/>
              <w:spacing w:beforeAutospacing="1" w:afterAutospacing="1" w:line="276" w:lineRule="auto"/>
              <w:contextualSpacing/>
              <w:jc w:val="center"/>
              <w:rPr>
                <w:rFonts w:ascii="Arial" w:eastAsia="Times New Roman" w:hAnsi="Arial" w:cs="Arial"/>
                <w:lang w:eastAsia="en-GB"/>
              </w:rPr>
            </w:pPr>
            <w:r w:rsidRPr="006973B8">
              <w:rPr>
                <w:rFonts w:ascii="Arial" w:eastAsia="Times New Roman" w:hAnsi="Arial" w:cs="Arial"/>
                <w:lang w:eastAsia="en-GB"/>
              </w:rPr>
              <w:t>Required</w:t>
            </w:r>
          </w:p>
        </w:tc>
        <w:tc>
          <w:tcPr>
            <w:tcW w:w="3402" w:type="dxa"/>
            <w:shd w:val="clear" w:color="auto" w:fill="auto"/>
            <w:vAlign w:val="center"/>
          </w:tcPr>
          <w:p w14:paraId="3C4AB60D" w14:textId="77777777" w:rsidR="006973B8" w:rsidRPr="006973B8" w:rsidRDefault="006973B8" w:rsidP="006973B8">
            <w:pPr>
              <w:keepLines/>
              <w:spacing w:beforeAutospacing="1" w:afterAutospacing="1" w:line="276" w:lineRule="auto"/>
              <w:contextualSpacing/>
              <w:jc w:val="center"/>
              <w:rPr>
                <w:rFonts w:ascii="Arial" w:eastAsia="Times New Roman" w:hAnsi="Arial" w:cs="Arial"/>
                <w:lang w:eastAsia="en-GB"/>
              </w:rPr>
            </w:pPr>
            <w:r w:rsidRPr="006973B8">
              <w:rPr>
                <w:rFonts w:ascii="Arial" w:eastAsia="Times New Roman" w:hAnsi="Arial" w:cs="Arial"/>
                <w:lang w:eastAsia="en-GB"/>
              </w:rPr>
              <w:t>Not required</w:t>
            </w:r>
          </w:p>
          <w:p w14:paraId="1936E47F" w14:textId="77777777" w:rsidR="006973B8" w:rsidRPr="006973B8" w:rsidRDefault="006973B8" w:rsidP="006973B8">
            <w:pPr>
              <w:keepLines/>
              <w:spacing w:beforeAutospacing="1" w:afterAutospacing="1" w:line="276" w:lineRule="auto"/>
              <w:contextualSpacing/>
              <w:jc w:val="center"/>
              <w:rPr>
                <w:rFonts w:ascii="Arial" w:eastAsia="Times New Roman" w:hAnsi="Arial" w:cs="Arial"/>
                <w:lang w:eastAsia="en-GB"/>
              </w:rPr>
            </w:pPr>
            <w:r w:rsidRPr="006973B8">
              <w:rPr>
                <w:rFonts w:ascii="Arial" w:eastAsia="Times New Roman" w:hAnsi="Arial" w:cs="Arial"/>
                <w:lang w:eastAsia="en-GB"/>
              </w:rPr>
              <w:t>unless</w:t>
            </w:r>
          </w:p>
          <w:p w14:paraId="69E89275" w14:textId="77777777" w:rsidR="006973B8" w:rsidRPr="006973B8" w:rsidRDefault="006973B8" w:rsidP="006973B8">
            <w:pPr>
              <w:keepLines/>
              <w:spacing w:beforeAutospacing="1" w:afterAutospacing="1" w:line="276" w:lineRule="auto"/>
              <w:contextualSpacing/>
              <w:jc w:val="center"/>
              <w:rPr>
                <w:rFonts w:ascii="Arial" w:eastAsia="Times New Roman" w:hAnsi="Arial" w:cs="Arial"/>
                <w:lang w:eastAsia="en-GB"/>
              </w:rPr>
            </w:pPr>
            <w:r w:rsidRPr="006973B8">
              <w:rPr>
                <w:rFonts w:ascii="Arial" w:eastAsia="Times New Roman" w:hAnsi="Arial" w:cs="Arial"/>
                <w:lang w:eastAsia="en-GB"/>
              </w:rPr>
              <w:t>more than one pack size is listed in the manufacturer catalogue</w:t>
            </w:r>
          </w:p>
        </w:tc>
      </w:tr>
    </w:tbl>
    <w:p w14:paraId="450AEFFD" w14:textId="77777777" w:rsidR="006973B8" w:rsidRPr="006973B8" w:rsidRDefault="006973B8" w:rsidP="006973B8">
      <w:pPr>
        <w:spacing w:after="200" w:line="276" w:lineRule="auto"/>
        <w:contextualSpacing/>
        <w:rPr>
          <w:rFonts w:ascii="Arial" w:eastAsia="Calibri" w:hAnsi="Arial" w:cs="Arial"/>
        </w:rPr>
      </w:pPr>
    </w:p>
    <w:p w14:paraId="4FA5995F" w14:textId="3FE45838" w:rsidR="006973B8" w:rsidRPr="006973B8" w:rsidRDefault="006973B8" w:rsidP="006973B8">
      <w:pPr>
        <w:spacing w:after="200" w:line="276" w:lineRule="auto"/>
        <w:contextualSpacing/>
        <w:rPr>
          <w:rFonts w:ascii="Arial" w:eastAsia="Calibri" w:hAnsi="Arial" w:cs="Arial"/>
        </w:rPr>
      </w:pPr>
      <w:r w:rsidRPr="006973B8">
        <w:rPr>
          <w:rFonts w:ascii="Arial" w:eastAsia="Calibri" w:hAnsi="Arial" w:cs="Arial"/>
        </w:rPr>
        <w:t xml:space="preserve">The only situation in which a dispensing endorsement of manufacturer or supplier is required is if a generic medicine </w:t>
      </w:r>
      <w:r w:rsidRPr="006973B8">
        <w:rPr>
          <w:rFonts w:ascii="Arial" w:eastAsia="Calibri" w:hAnsi="Arial" w:cs="Arial"/>
          <w:b/>
        </w:rPr>
        <w:t>not</w:t>
      </w:r>
      <w:r w:rsidRPr="006973B8">
        <w:rPr>
          <w:rFonts w:ascii="Arial" w:eastAsia="Calibri" w:hAnsi="Arial" w:cs="Arial"/>
        </w:rPr>
        <w:t xml:space="preserve"> listed in Part VIII</w:t>
      </w:r>
      <w:r w:rsidRPr="006973B8">
        <w:rPr>
          <w:rFonts w:ascii="Arial" w:eastAsia="Calibri" w:hAnsi="Arial" w:cs="Arial"/>
          <w:color w:val="FF0000"/>
        </w:rPr>
        <w:t xml:space="preserve"> </w:t>
      </w:r>
      <w:r w:rsidRPr="006973B8">
        <w:rPr>
          <w:rFonts w:ascii="Arial" w:eastAsia="Calibri" w:hAnsi="Arial" w:cs="Arial"/>
        </w:rPr>
        <w:t xml:space="preserve">of the Drug Tariff is prescribed. </w:t>
      </w:r>
    </w:p>
    <w:p w14:paraId="1EF9B0E6" w14:textId="77777777" w:rsidR="006973B8" w:rsidRPr="006973B8" w:rsidRDefault="006973B8" w:rsidP="006973B8">
      <w:pPr>
        <w:spacing w:after="200" w:line="276" w:lineRule="auto"/>
        <w:contextualSpacing/>
        <w:rPr>
          <w:rFonts w:ascii="Arial" w:eastAsia="Calibri" w:hAnsi="Arial" w:cs="Arial"/>
        </w:rPr>
      </w:pPr>
    </w:p>
    <w:p w14:paraId="6C0423CB" w14:textId="77777777" w:rsidR="006973B8" w:rsidRPr="006973B8" w:rsidRDefault="006973B8" w:rsidP="006973B8">
      <w:pPr>
        <w:spacing w:after="200" w:line="276" w:lineRule="auto"/>
        <w:contextualSpacing/>
        <w:rPr>
          <w:rFonts w:ascii="Arial" w:eastAsia="Calibri" w:hAnsi="Arial" w:cs="Arial"/>
        </w:rPr>
      </w:pPr>
      <w:r w:rsidRPr="006973B8">
        <w:rPr>
          <w:rFonts w:ascii="Arial" w:eastAsia="Calibri" w:hAnsi="Arial" w:cs="Arial"/>
        </w:rPr>
        <w:t xml:space="preserve">In the limited number of circumstances in which you do need to add a dispensing endorsement to the prescription form, please write or print it in the designated column to the left hand side of the form. Any endorsements outside this area will mean that our scanning equipment will be unable to read the prescription details correctly and our staff will have to manually correct the scanned image. </w:t>
      </w:r>
    </w:p>
    <w:p w14:paraId="75DE2472" w14:textId="77777777" w:rsidR="006973B8" w:rsidRPr="006973B8" w:rsidRDefault="006973B8" w:rsidP="006973B8">
      <w:pPr>
        <w:spacing w:after="200" w:line="276" w:lineRule="auto"/>
        <w:contextualSpacing/>
        <w:rPr>
          <w:rFonts w:ascii="Arial" w:eastAsia="Calibri" w:hAnsi="Arial" w:cs="Arial"/>
        </w:rPr>
      </w:pPr>
    </w:p>
    <w:p w14:paraId="66291370" w14:textId="77777777" w:rsidR="006973B8" w:rsidRPr="006973B8" w:rsidRDefault="006973B8" w:rsidP="006973B8">
      <w:pPr>
        <w:spacing w:after="200" w:line="276" w:lineRule="auto"/>
        <w:contextualSpacing/>
        <w:rPr>
          <w:rFonts w:ascii="Arial" w:eastAsia="Calibri" w:hAnsi="Arial" w:cs="Arial"/>
        </w:rPr>
      </w:pPr>
      <w:r w:rsidRPr="006973B8">
        <w:rPr>
          <w:rFonts w:ascii="Arial" w:eastAsia="Calibri" w:hAnsi="Arial" w:cs="Arial"/>
        </w:rPr>
        <w:t xml:space="preserve">It is important that if a doctor wants a patient to receive a medicine produced by a specific manufacturer, whether this is a proprietary medicine or a generic medicine, that this is specified at the time of prescribing. In addition to meeting the patient’s requirement this also ensures that you are reimbursed correctly.  </w:t>
      </w:r>
    </w:p>
    <w:p w14:paraId="50DB8A6D" w14:textId="77777777" w:rsidR="006973B8" w:rsidRPr="006973B8" w:rsidRDefault="006973B8" w:rsidP="006973B8">
      <w:pPr>
        <w:spacing w:after="200" w:line="276" w:lineRule="auto"/>
        <w:contextualSpacing/>
        <w:rPr>
          <w:rFonts w:ascii="Arial" w:eastAsia="Calibri" w:hAnsi="Arial" w:cs="Arial"/>
        </w:rPr>
      </w:pPr>
    </w:p>
    <w:p w14:paraId="115A502B" w14:textId="77777777" w:rsidR="006973B8" w:rsidRPr="006973B8" w:rsidRDefault="006973B8" w:rsidP="006973B8">
      <w:pPr>
        <w:spacing w:after="200" w:line="276" w:lineRule="auto"/>
        <w:contextualSpacing/>
        <w:rPr>
          <w:rFonts w:ascii="Arial" w:eastAsia="Calibri" w:hAnsi="Arial" w:cs="Arial"/>
          <w:b/>
        </w:rPr>
      </w:pPr>
      <w:r w:rsidRPr="006973B8">
        <w:rPr>
          <w:rFonts w:ascii="Arial" w:eastAsia="Calibri" w:hAnsi="Arial" w:cs="Arial"/>
          <w:b/>
        </w:rPr>
        <w:t xml:space="preserve">Remember:   </w:t>
      </w:r>
      <w:r w:rsidRPr="006973B8">
        <w:rPr>
          <w:rFonts w:ascii="Arial" w:eastAsia="Calibri" w:hAnsi="Arial" w:cs="Arial"/>
          <w:b/>
        </w:rPr>
        <w:tab/>
        <w:t xml:space="preserve">Please don’t add unnecessary dispensing endorsements. </w:t>
      </w:r>
    </w:p>
    <w:p w14:paraId="50C2298F" w14:textId="77777777" w:rsidR="006973B8" w:rsidRPr="006973B8" w:rsidRDefault="006973B8" w:rsidP="006973B8">
      <w:pPr>
        <w:spacing w:after="200" w:line="276" w:lineRule="auto"/>
        <w:contextualSpacing/>
        <w:rPr>
          <w:rFonts w:ascii="Arial" w:eastAsia="Calibri" w:hAnsi="Arial" w:cs="Arial"/>
          <w:b/>
        </w:rPr>
      </w:pPr>
      <w:r w:rsidRPr="006973B8">
        <w:rPr>
          <w:rFonts w:ascii="Arial" w:eastAsia="Calibri" w:hAnsi="Arial" w:cs="Arial"/>
        </w:rPr>
        <w:tab/>
      </w:r>
      <w:r w:rsidRPr="006973B8">
        <w:rPr>
          <w:rFonts w:ascii="Arial" w:eastAsia="Calibri" w:hAnsi="Arial" w:cs="Arial"/>
        </w:rPr>
        <w:tab/>
      </w:r>
      <w:r w:rsidRPr="006973B8">
        <w:rPr>
          <w:rFonts w:ascii="Arial" w:eastAsia="Calibri" w:hAnsi="Arial" w:cs="Arial"/>
        </w:rPr>
        <w:tab/>
      </w:r>
      <w:r w:rsidRPr="006973B8">
        <w:rPr>
          <w:rFonts w:ascii="Arial" w:eastAsia="Calibri" w:hAnsi="Arial" w:cs="Arial"/>
          <w:b/>
        </w:rPr>
        <w:t>Prescribe clearly the product you want the patient to receive.</w:t>
      </w:r>
    </w:p>
    <w:p w14:paraId="1F83EE1A" w14:textId="77777777" w:rsidR="000B0CC3" w:rsidRPr="008A4F37" w:rsidRDefault="000B0CC3" w:rsidP="008A4F37">
      <w:pPr>
        <w:tabs>
          <w:tab w:val="left" w:pos="7842"/>
        </w:tabs>
        <w:spacing w:line="320" w:lineRule="exact"/>
        <w:rPr>
          <w:rFonts w:ascii="Arial" w:hAnsi="Arial" w:cs="Arial"/>
        </w:rPr>
      </w:pPr>
    </w:p>
    <w:sectPr w:rsidR="000B0CC3" w:rsidRPr="008A4F37" w:rsidSect="00BD561F">
      <w:headerReference w:type="default" r:id="rId12"/>
      <w:footerReference w:type="default" r:id="rId13"/>
      <w:footerReference w:type="first" r:id="rId14"/>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BDCF0" w14:textId="77777777" w:rsidR="00265614" w:rsidRDefault="00265614" w:rsidP="00D023EC">
      <w:r>
        <w:separator/>
      </w:r>
    </w:p>
  </w:endnote>
  <w:endnote w:type="continuationSeparator" w:id="0">
    <w:p w14:paraId="77FAA969" w14:textId="77777777" w:rsidR="00265614" w:rsidRDefault="00265614"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314968"/>
      <w:docPartObj>
        <w:docPartGallery w:val="Page Numbers (Bottom of Page)"/>
        <w:docPartUnique/>
      </w:docPartObj>
    </w:sdtPr>
    <w:sdtEndPr>
      <w:rPr>
        <w:noProof/>
      </w:rPr>
    </w:sdtEndPr>
    <w:sdtContent>
      <w:p w14:paraId="3D583DA6" w14:textId="44D5CD0E" w:rsidR="004B06EC" w:rsidRDefault="004B06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E29D61" w14:textId="77777777" w:rsidR="009F02C7" w:rsidRDefault="009F0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165913"/>
      <w:docPartObj>
        <w:docPartGallery w:val="Page Numbers (Bottom of Page)"/>
        <w:docPartUnique/>
      </w:docPartObj>
    </w:sdtPr>
    <w:sdtEndPr>
      <w:rPr>
        <w:noProof/>
      </w:rPr>
    </w:sdtEndPr>
    <w:sdtContent>
      <w:p w14:paraId="797D4EAD" w14:textId="6FEF2635" w:rsidR="004B06EC" w:rsidRDefault="004B06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86AE84" w14:textId="3D78DACB" w:rsidR="009F02C7" w:rsidRDefault="0092468A" w:rsidP="0052321E">
    <w:pPr>
      <w:pStyle w:val="Footer"/>
      <w:jc w:val="right"/>
    </w:pPr>
    <w:r>
      <w:t>Dispensing endorsement guidance for dispensing practices (Sep 2024</w:t>
    </w:r>
    <w:r w:rsidR="0052321E">
      <w:t>) (V3)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5AC61" w14:textId="77777777" w:rsidR="00265614" w:rsidRDefault="00265614" w:rsidP="00D023EC">
      <w:r>
        <w:separator/>
      </w:r>
    </w:p>
  </w:footnote>
  <w:footnote w:type="continuationSeparator" w:id="0">
    <w:p w14:paraId="55DDD94C" w14:textId="77777777" w:rsidR="00265614" w:rsidRDefault="00265614"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7ED3" w14:textId="77777777" w:rsidR="00080904" w:rsidRDefault="00080904" w:rsidP="0070180D">
    <w:pPr>
      <w:pStyle w:val="Header"/>
      <w:ind w:left="-964" w:right="-9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76B6F"/>
    <w:multiLevelType w:val="hybridMultilevel"/>
    <w:tmpl w:val="26865D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0359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52CD2"/>
    <w:rsid w:val="00080904"/>
    <w:rsid w:val="000960CF"/>
    <w:rsid w:val="000B0CC3"/>
    <w:rsid w:val="00136D79"/>
    <w:rsid w:val="001738F2"/>
    <w:rsid w:val="0017648B"/>
    <w:rsid w:val="001F2FBF"/>
    <w:rsid w:val="00232DB0"/>
    <w:rsid w:val="002541BC"/>
    <w:rsid w:val="00265614"/>
    <w:rsid w:val="0028475E"/>
    <w:rsid w:val="00285628"/>
    <w:rsid w:val="002A7109"/>
    <w:rsid w:val="002B5692"/>
    <w:rsid w:val="003024AE"/>
    <w:rsid w:val="00350100"/>
    <w:rsid w:val="00386F12"/>
    <w:rsid w:val="00391EE2"/>
    <w:rsid w:val="003E720A"/>
    <w:rsid w:val="004074DA"/>
    <w:rsid w:val="004125C9"/>
    <w:rsid w:val="0041425A"/>
    <w:rsid w:val="004B06EC"/>
    <w:rsid w:val="004D1566"/>
    <w:rsid w:val="004F7882"/>
    <w:rsid w:val="00500ADE"/>
    <w:rsid w:val="0052321E"/>
    <w:rsid w:val="00527F40"/>
    <w:rsid w:val="005939AB"/>
    <w:rsid w:val="005D1138"/>
    <w:rsid w:val="0063459D"/>
    <w:rsid w:val="006973B8"/>
    <w:rsid w:val="006B49DF"/>
    <w:rsid w:val="0070180D"/>
    <w:rsid w:val="007A2E5D"/>
    <w:rsid w:val="007B7B25"/>
    <w:rsid w:val="008224BE"/>
    <w:rsid w:val="008A4F37"/>
    <w:rsid w:val="008A6CBF"/>
    <w:rsid w:val="008D30C5"/>
    <w:rsid w:val="00901BBA"/>
    <w:rsid w:val="0092468A"/>
    <w:rsid w:val="00933DE2"/>
    <w:rsid w:val="00955E6C"/>
    <w:rsid w:val="009626DE"/>
    <w:rsid w:val="009C0CA6"/>
    <w:rsid w:val="009F02C7"/>
    <w:rsid w:val="009F1AC1"/>
    <w:rsid w:val="00A41009"/>
    <w:rsid w:val="00A74054"/>
    <w:rsid w:val="00A90E8F"/>
    <w:rsid w:val="00AA0EFF"/>
    <w:rsid w:val="00AA3310"/>
    <w:rsid w:val="00B67C44"/>
    <w:rsid w:val="00B83B00"/>
    <w:rsid w:val="00BA1638"/>
    <w:rsid w:val="00BD561F"/>
    <w:rsid w:val="00BE001E"/>
    <w:rsid w:val="00C46460"/>
    <w:rsid w:val="00C65736"/>
    <w:rsid w:val="00CC3046"/>
    <w:rsid w:val="00CD00F1"/>
    <w:rsid w:val="00CD1A65"/>
    <w:rsid w:val="00D023EC"/>
    <w:rsid w:val="00D9463F"/>
    <w:rsid w:val="00DA0A60"/>
    <w:rsid w:val="00DA2BBD"/>
    <w:rsid w:val="00DF0559"/>
    <w:rsid w:val="00E0577F"/>
    <w:rsid w:val="00E15507"/>
    <w:rsid w:val="00E602DA"/>
    <w:rsid w:val="00E77AA1"/>
    <w:rsid w:val="00E967CC"/>
    <w:rsid w:val="00EA1B78"/>
    <w:rsid w:val="00F52D85"/>
    <w:rsid w:val="00F61705"/>
    <w:rsid w:val="00F65DFB"/>
    <w:rsid w:val="00F91878"/>
    <w:rsid w:val="188494C2"/>
    <w:rsid w:val="2839F4A8"/>
    <w:rsid w:val="4A4F53CD"/>
    <w:rsid w:val="6927C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04C95FE"/>
  <w15:docId w15:val="{2DD352F5-F96D-41AC-A6B2-1EA2AA1C7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D79"/>
    <w:rPr>
      <w:sz w:val="24"/>
      <w:szCs w:val="24"/>
      <w:lang w:eastAsia="en-US"/>
    </w:rPr>
  </w:style>
  <w:style w:type="paragraph" w:styleId="Heading1">
    <w:name w:val="heading 1"/>
    <w:basedOn w:val="Normal"/>
    <w:next w:val="Normal"/>
    <w:link w:val="Heading1Char"/>
    <w:uiPriority w:val="9"/>
    <w:qFormat/>
    <w:rsid w:val="00CC3046"/>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CC3046"/>
    <w:pPr>
      <w:keepNext/>
      <w:keepLines/>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5D1138"/>
    <w:pPr>
      <w:keepNext/>
      <w:keepLines/>
      <w:outlineLvl w:val="2"/>
    </w:pPr>
    <w:rPr>
      <w:rFonts w:ascii="Arial" w:eastAsiaTheme="majorEastAsia" w:hAnsi="Arial" w:cstheme="majorBidi"/>
      <w:b/>
      <w:bCs/>
      <w:color w:val="005EB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3046"/>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CC3046"/>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5D1138"/>
    <w:rPr>
      <w:rFonts w:ascii="Arial" w:eastAsiaTheme="majorEastAsia" w:hAnsi="Arial" w:cstheme="majorBidi"/>
      <w:b/>
      <w:bCs/>
      <w:color w:val="005EB8"/>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_ip_UnifiedCompliancePolicyUIAction xmlns="http://schemas.microsoft.com/sharepoint/v3" xsi:nil="true"/>
    <_ip_UnifiedCompliancePolicyProperties xmlns="http://schemas.microsoft.com/sharepoint/v3" xsi:nil="true"/>
    <lcf76f155ced4ddcb4097134ff3c332f xmlns="8feeaf8e-aaef-4e15-9788-32941f65be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DF3012-7194-4EAA-8161-54044BD0DB6A}">
  <ds:schemaRefs>
    <ds:schemaRef ds:uri="http://schemas.microsoft.com/office/2006/metadata/properties"/>
    <ds:schemaRef ds:uri="http://schemas.microsoft.com/office/infopath/2007/PartnerControls"/>
    <ds:schemaRef ds:uri="2799d30d-6731-4efe-ac9b-c4895a8828d9"/>
    <ds:schemaRef ds:uri="http://schemas.microsoft.com/sharepoint/v3"/>
    <ds:schemaRef ds:uri="8feeaf8e-aaef-4e15-9788-32941f65bec8"/>
  </ds:schemaRefs>
</ds:datastoreItem>
</file>

<file path=customXml/itemProps2.xml><?xml version="1.0" encoding="utf-8"?>
<ds:datastoreItem xmlns:ds="http://schemas.openxmlformats.org/officeDocument/2006/customXml" ds:itemID="{74CB3E42-A153-4F2F-A8CF-F95D367BA8ED}">
  <ds:schemaRefs>
    <ds:schemaRef ds:uri="http://schemas.microsoft.com/sharepoint/v3/contenttype/forms"/>
  </ds:schemaRefs>
</ds:datastoreItem>
</file>

<file path=customXml/itemProps3.xml><?xml version="1.0" encoding="utf-8"?>
<ds:datastoreItem xmlns:ds="http://schemas.openxmlformats.org/officeDocument/2006/customXml" ds:itemID="{97A2CAD0-C1A6-46D3-BE48-CABCAE10F62C}">
  <ds:schemaRefs>
    <ds:schemaRef ds:uri="http://schemas.openxmlformats.org/officeDocument/2006/bibliography"/>
  </ds:schemaRefs>
</ds:datastoreItem>
</file>

<file path=customXml/itemProps4.xml><?xml version="1.0" encoding="utf-8"?>
<ds:datastoreItem xmlns:ds="http://schemas.openxmlformats.org/officeDocument/2006/customXml" ds:itemID="{AF35AB24-4183-4824-8C18-AF6613A42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CDS</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Jones</dc:creator>
  <cp:lastModifiedBy>David McLean</cp:lastModifiedBy>
  <cp:revision>20</cp:revision>
  <cp:lastPrinted>2013-06-25T15:38:00Z</cp:lastPrinted>
  <dcterms:created xsi:type="dcterms:W3CDTF">2024-09-17T11:06:00Z</dcterms:created>
  <dcterms:modified xsi:type="dcterms:W3CDTF">2024-09-19T08:38:00Z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0x010100BF73ED8CEB028B418702403224B5E0A0</vt:lpwstr>
  </property>
  <property fmtid="{D5CDD505-2E9C-101B-9397-08002B2CF9AE}" pid="3" name="MediaServiceImageTags">
    <vt:lpwstr/>
  </property>
  <property fmtid="{D5CDD505-2E9C-101B-9397-08002B2CF9AE}" pid="4" name="MHArea">
    <vt:lpwstr>1;#Communications and Marketing|08088193-41ae-4630-9e22-b6f5a964e91c</vt:lpwstr>
  </property>
  <property fmtid="{D5CDD505-2E9C-101B-9397-08002B2CF9AE}" pid="5" name="o3a3c54fcb954df5bc9a110c60848d6a">
    <vt:lpwstr/>
  </property>
  <property fmtid="{D5CDD505-2E9C-101B-9397-08002B2CF9AE}" pid="6" name="MHCategory">
    <vt:lpwstr/>
  </property>
  <property fmtid="{D5CDD505-2E9C-101B-9397-08002B2CF9AE}" pid="7" name="lcf76f155ced4ddcb4097134ff3c332f">
    <vt:lpwstr/>
  </property>
  <property fmtid="{D5CDD505-2E9C-101B-9397-08002B2CF9AE}" pid="8" name="IntranetCategory">
    <vt:lpwstr/>
  </property>
</Properties>
</file>