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m" ContentType="application/vnd.ms-excel.sheet.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D8D46" w14:textId="5CCC3FF8" w:rsidR="00877675" w:rsidRPr="00431E28" w:rsidRDefault="00877675" w:rsidP="0035674C">
      <w:pPr>
        <w:spacing w:after="0" w:line="276" w:lineRule="auto"/>
        <w:contextualSpacing/>
        <w:rPr>
          <w:rFonts w:eastAsia="Times New Roman" w:cstheme="minorHAnsi"/>
          <w:b/>
          <w:bCs w:val="0"/>
          <w:noProof/>
          <w:color w:val="005EB8"/>
          <w:sz w:val="40"/>
          <w:szCs w:val="40"/>
          <w:lang w:eastAsia="en-GB"/>
        </w:rPr>
      </w:pPr>
      <w:r w:rsidRPr="00431E28">
        <w:rPr>
          <w:rFonts w:eastAsia="Times New Roman" w:cstheme="minorHAnsi"/>
          <w:b/>
          <w:bCs w:val="0"/>
          <w:noProof/>
          <w:color w:val="005EB8"/>
          <w:sz w:val="40"/>
          <w:szCs w:val="40"/>
          <w:lang w:eastAsia="en-GB"/>
        </w:rPr>
        <w:t xml:space="preserve">Specification for </w:t>
      </w:r>
      <w:r w:rsidR="009D6643">
        <w:rPr>
          <w:rFonts w:eastAsia="Times New Roman" w:cstheme="minorHAnsi"/>
          <w:b/>
          <w:bCs w:val="0"/>
          <w:noProof/>
          <w:color w:val="005EB8"/>
          <w:sz w:val="40"/>
          <w:szCs w:val="40"/>
          <w:lang w:eastAsia="en-GB"/>
        </w:rPr>
        <w:t>t</w:t>
      </w:r>
      <w:r w:rsidR="00934C0F" w:rsidRPr="00431E28">
        <w:rPr>
          <w:rFonts w:eastAsia="Times New Roman" w:cstheme="minorHAnsi"/>
          <w:b/>
          <w:bCs w:val="0"/>
          <w:noProof/>
          <w:color w:val="005EB8"/>
          <w:sz w:val="40"/>
          <w:szCs w:val="40"/>
          <w:lang w:eastAsia="en-GB"/>
        </w:rPr>
        <w:t xml:space="preserve">he </w:t>
      </w:r>
      <w:r w:rsidR="00244D10">
        <w:rPr>
          <w:rFonts w:eastAsia="Times New Roman" w:cstheme="minorHAnsi"/>
          <w:b/>
          <w:bCs w:val="0"/>
          <w:noProof/>
          <w:color w:val="005EB8"/>
          <w:sz w:val="40"/>
          <w:szCs w:val="40"/>
          <w:lang w:eastAsia="en-GB"/>
        </w:rPr>
        <w:t>National Medicines Optimisa</w:t>
      </w:r>
      <w:r w:rsidR="00002875">
        <w:rPr>
          <w:rFonts w:eastAsia="Times New Roman" w:cstheme="minorHAnsi"/>
          <w:b/>
          <w:bCs w:val="0"/>
          <w:noProof/>
          <w:color w:val="005EB8"/>
          <w:sz w:val="40"/>
          <w:szCs w:val="40"/>
          <w:lang w:eastAsia="en-GB"/>
        </w:rPr>
        <w:t>t</w:t>
      </w:r>
      <w:r w:rsidR="00244D10">
        <w:rPr>
          <w:rFonts w:eastAsia="Times New Roman" w:cstheme="minorHAnsi"/>
          <w:b/>
          <w:bCs w:val="0"/>
          <w:noProof/>
          <w:color w:val="005EB8"/>
          <w:sz w:val="40"/>
          <w:szCs w:val="40"/>
          <w:lang w:eastAsia="en-GB"/>
        </w:rPr>
        <w:t>ion Opportunities</w:t>
      </w:r>
      <w:r w:rsidR="00E506BE">
        <w:rPr>
          <w:rFonts w:eastAsia="Times New Roman" w:cstheme="minorHAnsi"/>
          <w:b/>
          <w:bCs w:val="0"/>
          <w:noProof/>
          <w:color w:val="005EB8"/>
          <w:sz w:val="40"/>
          <w:szCs w:val="40"/>
          <w:lang w:eastAsia="en-GB"/>
        </w:rPr>
        <w:t xml:space="preserve"> Dashboard</w:t>
      </w:r>
    </w:p>
    <w:p w14:paraId="4A93DBF4" w14:textId="77777777" w:rsidR="006D5DEE" w:rsidRPr="001F3797" w:rsidRDefault="006D5DEE" w:rsidP="0035674C">
      <w:pPr>
        <w:rPr>
          <w:rFonts w:cstheme="minorHAnsi"/>
        </w:rPr>
      </w:pPr>
    </w:p>
    <w:sdt>
      <w:sdtPr>
        <w:rPr>
          <w:rFonts w:asciiTheme="minorHAnsi" w:eastAsiaTheme="minorEastAsia" w:hAnsiTheme="minorHAnsi" w:cstheme="minorBidi"/>
          <w:color w:val="auto"/>
          <w:sz w:val="20"/>
          <w:szCs w:val="20"/>
        </w:rPr>
        <w:id w:val="101919264"/>
        <w:docPartObj>
          <w:docPartGallery w:val="Table of Contents"/>
          <w:docPartUnique/>
        </w:docPartObj>
      </w:sdtPr>
      <w:sdtEndPr/>
      <w:sdtContent>
        <w:p w14:paraId="5D6FD323" w14:textId="195814AB" w:rsidR="003629ED" w:rsidRPr="00431E28" w:rsidRDefault="003629ED" w:rsidP="00872372">
          <w:pPr>
            <w:pStyle w:val="Heading3"/>
          </w:pPr>
          <w:r>
            <w:t>Contents</w:t>
          </w:r>
        </w:p>
        <w:p w14:paraId="643A144B" w14:textId="5361DE4D" w:rsidR="008E6937" w:rsidRDefault="354681A9">
          <w:pPr>
            <w:pStyle w:val="TOC1"/>
            <w:rPr>
              <w:rFonts w:eastAsiaTheme="minorEastAsia"/>
              <w:bCs w:val="0"/>
              <w:noProof/>
              <w:kern w:val="2"/>
              <w:sz w:val="24"/>
              <w:szCs w:val="24"/>
              <w:lang w:eastAsia="en-GB"/>
              <w14:ligatures w14:val="standardContextual"/>
            </w:rPr>
          </w:pPr>
          <w:r>
            <w:fldChar w:fldCharType="begin"/>
          </w:r>
          <w:r w:rsidR="00ED1739">
            <w:instrText>TOC \o "1-2" \h \z \u</w:instrText>
          </w:r>
          <w:r>
            <w:fldChar w:fldCharType="separate"/>
          </w:r>
          <w:hyperlink w:anchor="_Toc172291512" w:history="1">
            <w:r w:rsidR="008E6937" w:rsidRPr="008C137F">
              <w:rPr>
                <w:rStyle w:val="Hyperlink"/>
                <w:noProof/>
              </w:rPr>
              <w:t>1.</w:t>
            </w:r>
            <w:r w:rsidR="008E6937">
              <w:rPr>
                <w:rFonts w:eastAsiaTheme="minorEastAsia"/>
                <w:bCs w:val="0"/>
                <w:noProof/>
                <w:kern w:val="2"/>
                <w:sz w:val="24"/>
                <w:szCs w:val="24"/>
                <w:lang w:eastAsia="en-GB"/>
                <w14:ligatures w14:val="standardContextual"/>
              </w:rPr>
              <w:tab/>
            </w:r>
            <w:r w:rsidR="008E6937" w:rsidRPr="008C137F">
              <w:rPr>
                <w:rStyle w:val="Hyperlink"/>
                <w:noProof/>
              </w:rPr>
              <w:t>Background</w:t>
            </w:r>
            <w:r w:rsidR="008E6937">
              <w:rPr>
                <w:noProof/>
                <w:webHidden/>
              </w:rPr>
              <w:tab/>
            </w:r>
            <w:r w:rsidR="008E6937">
              <w:rPr>
                <w:noProof/>
                <w:webHidden/>
              </w:rPr>
              <w:fldChar w:fldCharType="begin"/>
            </w:r>
            <w:r w:rsidR="008E6937">
              <w:rPr>
                <w:noProof/>
                <w:webHidden/>
              </w:rPr>
              <w:instrText xml:space="preserve"> PAGEREF _Toc172291512 \h </w:instrText>
            </w:r>
            <w:r w:rsidR="008E6937">
              <w:rPr>
                <w:noProof/>
                <w:webHidden/>
              </w:rPr>
            </w:r>
            <w:r w:rsidR="008E6937">
              <w:rPr>
                <w:noProof/>
                <w:webHidden/>
              </w:rPr>
              <w:fldChar w:fldCharType="separate"/>
            </w:r>
            <w:r w:rsidR="008E6937">
              <w:rPr>
                <w:noProof/>
                <w:webHidden/>
              </w:rPr>
              <w:t>2</w:t>
            </w:r>
            <w:r w:rsidR="008E6937">
              <w:rPr>
                <w:noProof/>
                <w:webHidden/>
              </w:rPr>
              <w:fldChar w:fldCharType="end"/>
            </w:r>
          </w:hyperlink>
        </w:p>
        <w:p w14:paraId="23296A26" w14:textId="00E8F1E8" w:rsidR="008E6937" w:rsidRDefault="00430238">
          <w:pPr>
            <w:pStyle w:val="TOC1"/>
            <w:rPr>
              <w:rFonts w:eastAsiaTheme="minorEastAsia"/>
              <w:bCs w:val="0"/>
              <w:noProof/>
              <w:kern w:val="2"/>
              <w:sz w:val="24"/>
              <w:szCs w:val="24"/>
              <w:lang w:eastAsia="en-GB"/>
              <w14:ligatures w14:val="standardContextual"/>
            </w:rPr>
          </w:pPr>
          <w:hyperlink w:anchor="_Toc172291513" w:history="1">
            <w:r w:rsidR="008E6937" w:rsidRPr="008C137F">
              <w:rPr>
                <w:rStyle w:val="Hyperlink"/>
                <w:noProof/>
              </w:rPr>
              <w:t>2.</w:t>
            </w:r>
            <w:r w:rsidR="008E6937">
              <w:rPr>
                <w:rFonts w:eastAsiaTheme="minorEastAsia"/>
                <w:bCs w:val="0"/>
                <w:noProof/>
                <w:kern w:val="2"/>
                <w:sz w:val="24"/>
                <w:szCs w:val="24"/>
                <w:lang w:eastAsia="en-GB"/>
                <w14:ligatures w14:val="standardContextual"/>
              </w:rPr>
              <w:tab/>
            </w:r>
            <w:r w:rsidR="008E6937" w:rsidRPr="008C137F">
              <w:rPr>
                <w:rStyle w:val="Hyperlink"/>
                <w:noProof/>
              </w:rPr>
              <w:t>Purpose</w:t>
            </w:r>
            <w:r w:rsidR="008E6937">
              <w:rPr>
                <w:noProof/>
                <w:webHidden/>
              </w:rPr>
              <w:tab/>
            </w:r>
            <w:r w:rsidR="008E6937">
              <w:rPr>
                <w:noProof/>
                <w:webHidden/>
              </w:rPr>
              <w:fldChar w:fldCharType="begin"/>
            </w:r>
            <w:r w:rsidR="008E6937">
              <w:rPr>
                <w:noProof/>
                <w:webHidden/>
              </w:rPr>
              <w:instrText xml:space="preserve"> PAGEREF _Toc172291513 \h </w:instrText>
            </w:r>
            <w:r w:rsidR="008E6937">
              <w:rPr>
                <w:noProof/>
                <w:webHidden/>
              </w:rPr>
            </w:r>
            <w:r w:rsidR="008E6937">
              <w:rPr>
                <w:noProof/>
                <w:webHidden/>
              </w:rPr>
              <w:fldChar w:fldCharType="separate"/>
            </w:r>
            <w:r w:rsidR="008E6937">
              <w:rPr>
                <w:noProof/>
                <w:webHidden/>
              </w:rPr>
              <w:t>2</w:t>
            </w:r>
            <w:r w:rsidR="008E6937">
              <w:rPr>
                <w:noProof/>
                <w:webHidden/>
              </w:rPr>
              <w:fldChar w:fldCharType="end"/>
            </w:r>
          </w:hyperlink>
        </w:p>
        <w:p w14:paraId="06D9F2AC" w14:textId="3294A600" w:rsidR="008E6937" w:rsidRDefault="00430238">
          <w:pPr>
            <w:pStyle w:val="TOC1"/>
            <w:rPr>
              <w:rFonts w:eastAsiaTheme="minorEastAsia"/>
              <w:bCs w:val="0"/>
              <w:noProof/>
              <w:kern w:val="2"/>
              <w:sz w:val="24"/>
              <w:szCs w:val="24"/>
              <w:lang w:eastAsia="en-GB"/>
              <w14:ligatures w14:val="standardContextual"/>
            </w:rPr>
          </w:pPr>
          <w:hyperlink w:anchor="_Toc172291514" w:history="1">
            <w:r w:rsidR="008E6937" w:rsidRPr="008C137F">
              <w:rPr>
                <w:rStyle w:val="Hyperlink"/>
                <w:noProof/>
              </w:rPr>
              <w:t>3.</w:t>
            </w:r>
            <w:r w:rsidR="008E6937">
              <w:rPr>
                <w:rFonts w:eastAsiaTheme="minorEastAsia"/>
                <w:bCs w:val="0"/>
                <w:noProof/>
                <w:kern w:val="2"/>
                <w:sz w:val="24"/>
                <w:szCs w:val="24"/>
                <w:lang w:eastAsia="en-GB"/>
                <w14:ligatures w14:val="standardContextual"/>
              </w:rPr>
              <w:tab/>
            </w:r>
            <w:r w:rsidR="008E6937" w:rsidRPr="008C137F">
              <w:rPr>
                <w:rStyle w:val="Hyperlink"/>
                <w:noProof/>
              </w:rPr>
              <w:t>General technical notes</w:t>
            </w:r>
            <w:r w:rsidR="008E6937">
              <w:rPr>
                <w:noProof/>
                <w:webHidden/>
              </w:rPr>
              <w:tab/>
            </w:r>
            <w:r w:rsidR="008E6937">
              <w:rPr>
                <w:noProof/>
                <w:webHidden/>
              </w:rPr>
              <w:fldChar w:fldCharType="begin"/>
            </w:r>
            <w:r w:rsidR="008E6937">
              <w:rPr>
                <w:noProof/>
                <w:webHidden/>
              </w:rPr>
              <w:instrText xml:space="preserve"> PAGEREF _Toc172291514 \h </w:instrText>
            </w:r>
            <w:r w:rsidR="008E6937">
              <w:rPr>
                <w:noProof/>
                <w:webHidden/>
              </w:rPr>
            </w:r>
            <w:r w:rsidR="008E6937">
              <w:rPr>
                <w:noProof/>
                <w:webHidden/>
              </w:rPr>
              <w:fldChar w:fldCharType="separate"/>
            </w:r>
            <w:r w:rsidR="008E6937">
              <w:rPr>
                <w:noProof/>
                <w:webHidden/>
              </w:rPr>
              <w:t>2</w:t>
            </w:r>
            <w:r w:rsidR="008E6937">
              <w:rPr>
                <w:noProof/>
                <w:webHidden/>
              </w:rPr>
              <w:fldChar w:fldCharType="end"/>
            </w:r>
          </w:hyperlink>
        </w:p>
        <w:p w14:paraId="723F732B" w14:textId="55CCBDCF" w:rsidR="008E6937" w:rsidRDefault="00430238">
          <w:pPr>
            <w:pStyle w:val="TOC1"/>
            <w:rPr>
              <w:rFonts w:eastAsiaTheme="minorEastAsia"/>
              <w:bCs w:val="0"/>
              <w:noProof/>
              <w:kern w:val="2"/>
              <w:sz w:val="24"/>
              <w:szCs w:val="24"/>
              <w:lang w:eastAsia="en-GB"/>
              <w14:ligatures w14:val="standardContextual"/>
            </w:rPr>
          </w:pPr>
          <w:hyperlink w:anchor="_Toc172291515" w:history="1">
            <w:r w:rsidR="008E6937" w:rsidRPr="008C137F">
              <w:rPr>
                <w:rStyle w:val="Hyperlink"/>
                <w:noProof/>
              </w:rPr>
              <w:t>4.</w:t>
            </w:r>
            <w:r w:rsidR="008E6937">
              <w:rPr>
                <w:rFonts w:eastAsiaTheme="minorEastAsia"/>
                <w:bCs w:val="0"/>
                <w:noProof/>
                <w:kern w:val="2"/>
                <w:sz w:val="24"/>
                <w:szCs w:val="24"/>
                <w:lang w:eastAsia="en-GB"/>
                <w14:ligatures w14:val="standardContextual"/>
              </w:rPr>
              <w:tab/>
            </w:r>
            <w:r w:rsidR="008E6937" w:rsidRPr="008C137F">
              <w:rPr>
                <w:rStyle w:val="Hyperlink"/>
                <w:noProof/>
              </w:rPr>
              <w:t>Primary care prescribing metrics – general notes</w:t>
            </w:r>
            <w:r w:rsidR="008E6937">
              <w:rPr>
                <w:noProof/>
                <w:webHidden/>
              </w:rPr>
              <w:tab/>
            </w:r>
            <w:r w:rsidR="008E6937">
              <w:rPr>
                <w:noProof/>
                <w:webHidden/>
              </w:rPr>
              <w:fldChar w:fldCharType="begin"/>
            </w:r>
            <w:r w:rsidR="008E6937">
              <w:rPr>
                <w:noProof/>
                <w:webHidden/>
              </w:rPr>
              <w:instrText xml:space="preserve"> PAGEREF _Toc172291515 \h </w:instrText>
            </w:r>
            <w:r w:rsidR="008E6937">
              <w:rPr>
                <w:noProof/>
                <w:webHidden/>
              </w:rPr>
            </w:r>
            <w:r w:rsidR="008E6937">
              <w:rPr>
                <w:noProof/>
                <w:webHidden/>
              </w:rPr>
              <w:fldChar w:fldCharType="separate"/>
            </w:r>
            <w:r w:rsidR="008E6937">
              <w:rPr>
                <w:noProof/>
                <w:webHidden/>
              </w:rPr>
              <w:t>2</w:t>
            </w:r>
            <w:r w:rsidR="008E6937">
              <w:rPr>
                <w:noProof/>
                <w:webHidden/>
              </w:rPr>
              <w:fldChar w:fldCharType="end"/>
            </w:r>
          </w:hyperlink>
        </w:p>
        <w:p w14:paraId="07322BCA" w14:textId="1314BFE6" w:rsidR="008E6937" w:rsidRDefault="00430238">
          <w:pPr>
            <w:pStyle w:val="TOC1"/>
            <w:rPr>
              <w:rFonts w:eastAsiaTheme="minorEastAsia"/>
              <w:bCs w:val="0"/>
              <w:noProof/>
              <w:kern w:val="2"/>
              <w:sz w:val="24"/>
              <w:szCs w:val="24"/>
              <w:lang w:eastAsia="en-GB"/>
              <w14:ligatures w14:val="standardContextual"/>
            </w:rPr>
          </w:pPr>
          <w:hyperlink w:anchor="_Toc172291516" w:history="1">
            <w:r w:rsidR="008E6937" w:rsidRPr="008C137F">
              <w:rPr>
                <w:rStyle w:val="Hyperlink"/>
                <w:noProof/>
              </w:rPr>
              <w:t>5.</w:t>
            </w:r>
            <w:r w:rsidR="008E6937">
              <w:rPr>
                <w:rFonts w:eastAsiaTheme="minorEastAsia"/>
                <w:bCs w:val="0"/>
                <w:noProof/>
                <w:kern w:val="2"/>
                <w:sz w:val="24"/>
                <w:szCs w:val="24"/>
                <w:lang w:eastAsia="en-GB"/>
                <w14:ligatures w14:val="standardContextual"/>
              </w:rPr>
              <w:tab/>
            </w:r>
            <w:r w:rsidR="008E6937" w:rsidRPr="008C137F">
              <w:rPr>
                <w:rStyle w:val="Hyperlink"/>
                <w:noProof/>
              </w:rPr>
              <w:t>Secondary care prescribing metrics – general notes</w:t>
            </w:r>
            <w:r w:rsidR="008E6937">
              <w:rPr>
                <w:noProof/>
                <w:webHidden/>
              </w:rPr>
              <w:tab/>
            </w:r>
            <w:r w:rsidR="008E6937">
              <w:rPr>
                <w:noProof/>
                <w:webHidden/>
              </w:rPr>
              <w:fldChar w:fldCharType="begin"/>
            </w:r>
            <w:r w:rsidR="008E6937">
              <w:rPr>
                <w:noProof/>
                <w:webHidden/>
              </w:rPr>
              <w:instrText xml:space="preserve"> PAGEREF _Toc172291516 \h </w:instrText>
            </w:r>
            <w:r w:rsidR="008E6937">
              <w:rPr>
                <w:noProof/>
                <w:webHidden/>
              </w:rPr>
            </w:r>
            <w:r w:rsidR="008E6937">
              <w:rPr>
                <w:noProof/>
                <w:webHidden/>
              </w:rPr>
              <w:fldChar w:fldCharType="separate"/>
            </w:r>
            <w:r w:rsidR="008E6937">
              <w:rPr>
                <w:noProof/>
                <w:webHidden/>
              </w:rPr>
              <w:t>3</w:t>
            </w:r>
            <w:r w:rsidR="008E6937">
              <w:rPr>
                <w:noProof/>
                <w:webHidden/>
              </w:rPr>
              <w:fldChar w:fldCharType="end"/>
            </w:r>
          </w:hyperlink>
        </w:p>
        <w:p w14:paraId="2AC69EE7" w14:textId="1789A9FA" w:rsidR="008E6937" w:rsidRDefault="00430238">
          <w:pPr>
            <w:pStyle w:val="TOC1"/>
            <w:rPr>
              <w:rFonts w:eastAsiaTheme="minorEastAsia"/>
              <w:bCs w:val="0"/>
              <w:noProof/>
              <w:kern w:val="2"/>
              <w:sz w:val="24"/>
              <w:szCs w:val="24"/>
              <w:lang w:eastAsia="en-GB"/>
              <w14:ligatures w14:val="standardContextual"/>
            </w:rPr>
          </w:pPr>
          <w:hyperlink w:anchor="_Toc172291517" w:history="1">
            <w:r w:rsidR="008E6937" w:rsidRPr="008C137F">
              <w:rPr>
                <w:rStyle w:val="Hyperlink"/>
                <w:noProof/>
              </w:rPr>
              <w:t>6.</w:t>
            </w:r>
            <w:r w:rsidR="008E6937">
              <w:rPr>
                <w:rFonts w:eastAsiaTheme="minorEastAsia"/>
                <w:bCs w:val="0"/>
                <w:noProof/>
                <w:kern w:val="2"/>
                <w:sz w:val="24"/>
                <w:szCs w:val="24"/>
                <w:lang w:eastAsia="en-GB"/>
                <w14:ligatures w14:val="standardContextual"/>
              </w:rPr>
              <w:tab/>
            </w:r>
            <w:r w:rsidR="008E6937" w:rsidRPr="008C137F">
              <w:rPr>
                <w:rStyle w:val="Hyperlink"/>
                <w:noProof/>
              </w:rPr>
              <w:t>Approach to ranking organisations in terms of high and low opportunities</w:t>
            </w:r>
            <w:r w:rsidR="008E6937">
              <w:rPr>
                <w:noProof/>
                <w:webHidden/>
              </w:rPr>
              <w:tab/>
            </w:r>
            <w:r w:rsidR="008E6937">
              <w:rPr>
                <w:noProof/>
                <w:webHidden/>
              </w:rPr>
              <w:fldChar w:fldCharType="begin"/>
            </w:r>
            <w:r w:rsidR="008E6937">
              <w:rPr>
                <w:noProof/>
                <w:webHidden/>
              </w:rPr>
              <w:instrText xml:space="preserve"> PAGEREF _Toc172291517 \h </w:instrText>
            </w:r>
            <w:r w:rsidR="008E6937">
              <w:rPr>
                <w:noProof/>
                <w:webHidden/>
              </w:rPr>
            </w:r>
            <w:r w:rsidR="008E6937">
              <w:rPr>
                <w:noProof/>
                <w:webHidden/>
              </w:rPr>
              <w:fldChar w:fldCharType="separate"/>
            </w:r>
            <w:r w:rsidR="008E6937">
              <w:rPr>
                <w:noProof/>
                <w:webHidden/>
              </w:rPr>
              <w:t>3</w:t>
            </w:r>
            <w:r w:rsidR="008E6937">
              <w:rPr>
                <w:noProof/>
                <w:webHidden/>
              </w:rPr>
              <w:fldChar w:fldCharType="end"/>
            </w:r>
          </w:hyperlink>
        </w:p>
        <w:p w14:paraId="20CAD870" w14:textId="5AF6BA93" w:rsidR="008E6937" w:rsidRDefault="00430238">
          <w:pPr>
            <w:pStyle w:val="TOC1"/>
            <w:rPr>
              <w:rFonts w:eastAsiaTheme="minorEastAsia"/>
              <w:bCs w:val="0"/>
              <w:noProof/>
              <w:kern w:val="2"/>
              <w:sz w:val="24"/>
              <w:szCs w:val="24"/>
              <w:lang w:eastAsia="en-GB"/>
              <w14:ligatures w14:val="standardContextual"/>
            </w:rPr>
          </w:pPr>
          <w:hyperlink w:anchor="_Toc172291518" w:history="1">
            <w:r w:rsidR="008E6937" w:rsidRPr="008C137F">
              <w:rPr>
                <w:rStyle w:val="Hyperlink"/>
                <w:noProof/>
              </w:rPr>
              <w:t>7.</w:t>
            </w:r>
            <w:r w:rsidR="008E6937">
              <w:rPr>
                <w:rFonts w:eastAsiaTheme="minorEastAsia"/>
                <w:bCs w:val="0"/>
                <w:noProof/>
                <w:kern w:val="2"/>
                <w:sz w:val="24"/>
                <w:szCs w:val="24"/>
                <w:lang w:eastAsia="en-GB"/>
                <w14:ligatures w14:val="standardContextual"/>
              </w:rPr>
              <w:tab/>
            </w:r>
            <w:r w:rsidR="008E6937" w:rsidRPr="008C137F">
              <w:rPr>
                <w:rStyle w:val="Hyperlink"/>
                <w:noProof/>
              </w:rPr>
              <w:t>Selecting peer groups for comparison</w:t>
            </w:r>
            <w:r w:rsidR="008E6937">
              <w:rPr>
                <w:noProof/>
                <w:webHidden/>
              </w:rPr>
              <w:tab/>
            </w:r>
            <w:r w:rsidR="008E6937">
              <w:rPr>
                <w:noProof/>
                <w:webHidden/>
              </w:rPr>
              <w:fldChar w:fldCharType="begin"/>
            </w:r>
            <w:r w:rsidR="008E6937">
              <w:rPr>
                <w:noProof/>
                <w:webHidden/>
              </w:rPr>
              <w:instrText xml:space="preserve"> PAGEREF _Toc172291518 \h </w:instrText>
            </w:r>
            <w:r w:rsidR="008E6937">
              <w:rPr>
                <w:noProof/>
                <w:webHidden/>
              </w:rPr>
            </w:r>
            <w:r w:rsidR="008E6937">
              <w:rPr>
                <w:noProof/>
                <w:webHidden/>
              </w:rPr>
              <w:fldChar w:fldCharType="separate"/>
            </w:r>
            <w:r w:rsidR="008E6937">
              <w:rPr>
                <w:noProof/>
                <w:webHidden/>
              </w:rPr>
              <w:t>4</w:t>
            </w:r>
            <w:r w:rsidR="008E6937">
              <w:rPr>
                <w:noProof/>
                <w:webHidden/>
              </w:rPr>
              <w:fldChar w:fldCharType="end"/>
            </w:r>
          </w:hyperlink>
        </w:p>
        <w:p w14:paraId="20DE1655" w14:textId="05432499" w:rsidR="008E6937" w:rsidRDefault="00430238">
          <w:pPr>
            <w:pStyle w:val="TOC1"/>
            <w:rPr>
              <w:rFonts w:eastAsiaTheme="minorEastAsia"/>
              <w:bCs w:val="0"/>
              <w:noProof/>
              <w:kern w:val="2"/>
              <w:sz w:val="24"/>
              <w:szCs w:val="24"/>
              <w:lang w:eastAsia="en-GB"/>
              <w14:ligatures w14:val="standardContextual"/>
            </w:rPr>
          </w:pPr>
          <w:hyperlink w:anchor="_Toc172291519" w:history="1">
            <w:r w:rsidR="008E6937" w:rsidRPr="008C137F">
              <w:rPr>
                <w:rStyle w:val="Hyperlink"/>
                <w:noProof/>
              </w:rPr>
              <w:t>8.</w:t>
            </w:r>
            <w:r w:rsidR="008E6937">
              <w:rPr>
                <w:rFonts w:eastAsiaTheme="minorEastAsia"/>
                <w:bCs w:val="0"/>
                <w:noProof/>
                <w:kern w:val="2"/>
                <w:sz w:val="24"/>
                <w:szCs w:val="24"/>
                <w:lang w:eastAsia="en-GB"/>
                <w14:ligatures w14:val="standardContextual"/>
              </w:rPr>
              <w:tab/>
            </w:r>
            <w:r w:rsidR="008E6937" w:rsidRPr="008C137F">
              <w:rPr>
                <w:rStyle w:val="Hyperlink"/>
                <w:noProof/>
              </w:rPr>
              <w:t>Thresholds for highlighting high and low opportunity organisations</w:t>
            </w:r>
            <w:r w:rsidR="008E6937">
              <w:rPr>
                <w:noProof/>
                <w:webHidden/>
              </w:rPr>
              <w:tab/>
            </w:r>
            <w:r w:rsidR="008E6937">
              <w:rPr>
                <w:noProof/>
                <w:webHidden/>
              </w:rPr>
              <w:fldChar w:fldCharType="begin"/>
            </w:r>
            <w:r w:rsidR="008E6937">
              <w:rPr>
                <w:noProof/>
                <w:webHidden/>
              </w:rPr>
              <w:instrText xml:space="preserve"> PAGEREF _Toc172291519 \h </w:instrText>
            </w:r>
            <w:r w:rsidR="008E6937">
              <w:rPr>
                <w:noProof/>
                <w:webHidden/>
              </w:rPr>
            </w:r>
            <w:r w:rsidR="008E6937">
              <w:rPr>
                <w:noProof/>
                <w:webHidden/>
              </w:rPr>
              <w:fldChar w:fldCharType="separate"/>
            </w:r>
            <w:r w:rsidR="008E6937">
              <w:rPr>
                <w:noProof/>
                <w:webHidden/>
              </w:rPr>
              <w:t>5</w:t>
            </w:r>
            <w:r w:rsidR="008E6937">
              <w:rPr>
                <w:noProof/>
                <w:webHidden/>
              </w:rPr>
              <w:fldChar w:fldCharType="end"/>
            </w:r>
          </w:hyperlink>
        </w:p>
        <w:p w14:paraId="030B85F6" w14:textId="6B0726FE" w:rsidR="008E6937" w:rsidRDefault="00430238">
          <w:pPr>
            <w:pStyle w:val="TOC1"/>
            <w:rPr>
              <w:rFonts w:eastAsiaTheme="minorEastAsia"/>
              <w:bCs w:val="0"/>
              <w:noProof/>
              <w:kern w:val="2"/>
              <w:sz w:val="24"/>
              <w:szCs w:val="24"/>
              <w:lang w:eastAsia="en-GB"/>
              <w14:ligatures w14:val="standardContextual"/>
            </w:rPr>
          </w:pPr>
          <w:hyperlink w:anchor="_Toc172291520" w:history="1">
            <w:r w:rsidR="008E6937" w:rsidRPr="008C137F">
              <w:rPr>
                <w:rStyle w:val="Hyperlink"/>
                <w:noProof/>
              </w:rPr>
              <w:t>9.</w:t>
            </w:r>
            <w:r w:rsidR="008E6937">
              <w:rPr>
                <w:rFonts w:eastAsiaTheme="minorEastAsia"/>
                <w:bCs w:val="0"/>
                <w:noProof/>
                <w:kern w:val="2"/>
                <w:sz w:val="24"/>
                <w:szCs w:val="24"/>
                <w:lang w:eastAsia="en-GB"/>
                <w14:ligatures w14:val="standardContextual"/>
              </w:rPr>
              <w:tab/>
            </w:r>
            <w:r w:rsidR="008E6937" w:rsidRPr="008C137F">
              <w:rPr>
                <w:rStyle w:val="Hyperlink"/>
                <w:noProof/>
              </w:rPr>
              <w:t>Metric Specifications</w:t>
            </w:r>
            <w:r w:rsidR="008E6937">
              <w:rPr>
                <w:noProof/>
                <w:webHidden/>
              </w:rPr>
              <w:tab/>
            </w:r>
            <w:r w:rsidR="008E6937">
              <w:rPr>
                <w:noProof/>
                <w:webHidden/>
              </w:rPr>
              <w:fldChar w:fldCharType="begin"/>
            </w:r>
            <w:r w:rsidR="008E6937">
              <w:rPr>
                <w:noProof/>
                <w:webHidden/>
              </w:rPr>
              <w:instrText xml:space="preserve"> PAGEREF _Toc172291520 \h </w:instrText>
            </w:r>
            <w:r w:rsidR="008E6937">
              <w:rPr>
                <w:noProof/>
                <w:webHidden/>
              </w:rPr>
            </w:r>
            <w:r w:rsidR="008E6937">
              <w:rPr>
                <w:noProof/>
                <w:webHidden/>
              </w:rPr>
              <w:fldChar w:fldCharType="separate"/>
            </w:r>
            <w:r w:rsidR="008E6937">
              <w:rPr>
                <w:noProof/>
                <w:webHidden/>
              </w:rPr>
              <w:t>6</w:t>
            </w:r>
            <w:r w:rsidR="008E6937">
              <w:rPr>
                <w:noProof/>
                <w:webHidden/>
              </w:rPr>
              <w:fldChar w:fldCharType="end"/>
            </w:r>
          </w:hyperlink>
        </w:p>
        <w:p w14:paraId="6C1EE1FE" w14:textId="78C60450"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21" w:history="1">
            <w:r w:rsidR="008E6937" w:rsidRPr="008C137F">
              <w:rPr>
                <w:rStyle w:val="Hyperlink"/>
                <w:noProof/>
              </w:rPr>
              <w:t>Metric 01.Problematic polypharmacy</w:t>
            </w:r>
            <w:r w:rsidR="008E6937">
              <w:rPr>
                <w:noProof/>
                <w:webHidden/>
              </w:rPr>
              <w:tab/>
            </w:r>
            <w:r w:rsidR="008E6937">
              <w:rPr>
                <w:noProof/>
                <w:webHidden/>
              </w:rPr>
              <w:fldChar w:fldCharType="begin"/>
            </w:r>
            <w:r w:rsidR="008E6937">
              <w:rPr>
                <w:noProof/>
                <w:webHidden/>
              </w:rPr>
              <w:instrText xml:space="preserve"> PAGEREF _Toc172291521 \h </w:instrText>
            </w:r>
            <w:r w:rsidR="008E6937">
              <w:rPr>
                <w:noProof/>
                <w:webHidden/>
              </w:rPr>
            </w:r>
            <w:r w:rsidR="008E6937">
              <w:rPr>
                <w:noProof/>
                <w:webHidden/>
              </w:rPr>
              <w:fldChar w:fldCharType="separate"/>
            </w:r>
            <w:r w:rsidR="008E6937">
              <w:rPr>
                <w:noProof/>
                <w:webHidden/>
              </w:rPr>
              <w:t>7</w:t>
            </w:r>
            <w:r w:rsidR="008E6937">
              <w:rPr>
                <w:noProof/>
                <w:webHidden/>
              </w:rPr>
              <w:fldChar w:fldCharType="end"/>
            </w:r>
          </w:hyperlink>
        </w:p>
        <w:p w14:paraId="77D0ACE2" w14:textId="3FD321BC"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22" w:history="1">
            <w:r w:rsidR="008E6937" w:rsidRPr="008C137F">
              <w:rPr>
                <w:rStyle w:val="Hyperlink"/>
                <w:noProof/>
              </w:rPr>
              <w:t>Metric 02.Low priority prescribing</w:t>
            </w:r>
            <w:r w:rsidR="008E6937">
              <w:rPr>
                <w:noProof/>
                <w:webHidden/>
              </w:rPr>
              <w:tab/>
            </w:r>
            <w:r w:rsidR="008E6937">
              <w:rPr>
                <w:noProof/>
                <w:webHidden/>
              </w:rPr>
              <w:fldChar w:fldCharType="begin"/>
            </w:r>
            <w:r w:rsidR="008E6937">
              <w:rPr>
                <w:noProof/>
                <w:webHidden/>
              </w:rPr>
              <w:instrText xml:space="preserve"> PAGEREF _Toc172291522 \h </w:instrText>
            </w:r>
            <w:r w:rsidR="008E6937">
              <w:rPr>
                <w:noProof/>
                <w:webHidden/>
              </w:rPr>
            </w:r>
            <w:r w:rsidR="008E6937">
              <w:rPr>
                <w:noProof/>
                <w:webHidden/>
              </w:rPr>
              <w:fldChar w:fldCharType="separate"/>
            </w:r>
            <w:r w:rsidR="008E6937">
              <w:rPr>
                <w:noProof/>
                <w:webHidden/>
              </w:rPr>
              <w:t>8</w:t>
            </w:r>
            <w:r w:rsidR="008E6937">
              <w:rPr>
                <w:noProof/>
                <w:webHidden/>
              </w:rPr>
              <w:fldChar w:fldCharType="end"/>
            </w:r>
          </w:hyperlink>
        </w:p>
        <w:p w14:paraId="1B854254" w14:textId="51461248"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23" w:history="1">
            <w:r w:rsidR="008E6937" w:rsidRPr="008C137F">
              <w:rPr>
                <w:rStyle w:val="Hyperlink"/>
                <w:noProof/>
              </w:rPr>
              <w:t>Metric 04.Secondary care commercial framework</w:t>
            </w:r>
            <w:r w:rsidR="008E6937">
              <w:rPr>
                <w:noProof/>
                <w:webHidden/>
              </w:rPr>
              <w:tab/>
            </w:r>
            <w:r w:rsidR="008E6937">
              <w:rPr>
                <w:noProof/>
                <w:webHidden/>
              </w:rPr>
              <w:fldChar w:fldCharType="begin"/>
            </w:r>
            <w:r w:rsidR="008E6937">
              <w:rPr>
                <w:noProof/>
                <w:webHidden/>
              </w:rPr>
              <w:instrText xml:space="preserve"> PAGEREF _Toc172291523 \h </w:instrText>
            </w:r>
            <w:r w:rsidR="008E6937">
              <w:rPr>
                <w:noProof/>
                <w:webHidden/>
              </w:rPr>
            </w:r>
            <w:r w:rsidR="008E6937">
              <w:rPr>
                <w:noProof/>
                <w:webHidden/>
              </w:rPr>
              <w:fldChar w:fldCharType="separate"/>
            </w:r>
            <w:r w:rsidR="008E6937">
              <w:rPr>
                <w:noProof/>
                <w:webHidden/>
              </w:rPr>
              <w:t>9</w:t>
            </w:r>
            <w:r w:rsidR="008E6937">
              <w:rPr>
                <w:noProof/>
                <w:webHidden/>
              </w:rPr>
              <w:fldChar w:fldCharType="end"/>
            </w:r>
          </w:hyperlink>
        </w:p>
        <w:p w14:paraId="624E5D77" w14:textId="086C3FBB"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24" w:history="1">
            <w:r w:rsidR="008E6937" w:rsidRPr="008C137F">
              <w:rPr>
                <w:rStyle w:val="Hyperlink"/>
                <w:noProof/>
              </w:rPr>
              <w:t>Metric 05. Standardising product formulations of aseptically compounded medicines</w:t>
            </w:r>
            <w:r w:rsidR="008E6937">
              <w:rPr>
                <w:noProof/>
                <w:webHidden/>
              </w:rPr>
              <w:tab/>
            </w:r>
            <w:r w:rsidR="008E6937">
              <w:rPr>
                <w:noProof/>
                <w:webHidden/>
              </w:rPr>
              <w:fldChar w:fldCharType="begin"/>
            </w:r>
            <w:r w:rsidR="008E6937">
              <w:rPr>
                <w:noProof/>
                <w:webHidden/>
              </w:rPr>
              <w:instrText xml:space="preserve"> PAGEREF _Toc172291524 \h </w:instrText>
            </w:r>
            <w:r w:rsidR="008E6937">
              <w:rPr>
                <w:noProof/>
                <w:webHidden/>
              </w:rPr>
            </w:r>
            <w:r w:rsidR="008E6937">
              <w:rPr>
                <w:noProof/>
                <w:webHidden/>
              </w:rPr>
              <w:fldChar w:fldCharType="separate"/>
            </w:r>
            <w:r w:rsidR="008E6937">
              <w:rPr>
                <w:noProof/>
                <w:webHidden/>
              </w:rPr>
              <w:t>10</w:t>
            </w:r>
            <w:r w:rsidR="008E6937">
              <w:rPr>
                <w:noProof/>
                <w:webHidden/>
              </w:rPr>
              <w:fldChar w:fldCharType="end"/>
            </w:r>
          </w:hyperlink>
        </w:p>
        <w:p w14:paraId="73648CF9" w14:textId="4275FC40"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25" w:history="1">
            <w:r w:rsidR="008E6937" w:rsidRPr="008C137F">
              <w:rPr>
                <w:rStyle w:val="Hyperlink"/>
                <w:noProof/>
              </w:rPr>
              <w:t>Metric 06. Best value biologics - ranibizumab</w:t>
            </w:r>
            <w:r w:rsidR="008E6937">
              <w:rPr>
                <w:noProof/>
                <w:webHidden/>
              </w:rPr>
              <w:tab/>
            </w:r>
            <w:r w:rsidR="008E6937">
              <w:rPr>
                <w:noProof/>
                <w:webHidden/>
              </w:rPr>
              <w:fldChar w:fldCharType="begin"/>
            </w:r>
            <w:r w:rsidR="008E6937">
              <w:rPr>
                <w:noProof/>
                <w:webHidden/>
              </w:rPr>
              <w:instrText xml:space="preserve"> PAGEREF _Toc172291525 \h </w:instrText>
            </w:r>
            <w:r w:rsidR="008E6937">
              <w:rPr>
                <w:noProof/>
                <w:webHidden/>
              </w:rPr>
            </w:r>
            <w:r w:rsidR="008E6937">
              <w:rPr>
                <w:noProof/>
                <w:webHidden/>
              </w:rPr>
              <w:fldChar w:fldCharType="separate"/>
            </w:r>
            <w:r w:rsidR="008E6937">
              <w:rPr>
                <w:noProof/>
                <w:webHidden/>
              </w:rPr>
              <w:t>12</w:t>
            </w:r>
            <w:r w:rsidR="008E6937">
              <w:rPr>
                <w:noProof/>
                <w:webHidden/>
              </w:rPr>
              <w:fldChar w:fldCharType="end"/>
            </w:r>
          </w:hyperlink>
        </w:p>
        <w:p w14:paraId="73811820" w14:textId="6AF77594"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26" w:history="1">
            <w:r w:rsidR="008E6937" w:rsidRPr="008C137F">
              <w:rPr>
                <w:rStyle w:val="Hyperlink"/>
                <w:noProof/>
              </w:rPr>
              <w:t>Metric 08.Prescribing of blood glucose, ketone meters, and testing strips</w:t>
            </w:r>
            <w:r w:rsidR="008E6937">
              <w:rPr>
                <w:noProof/>
                <w:webHidden/>
              </w:rPr>
              <w:tab/>
            </w:r>
            <w:r w:rsidR="008E6937">
              <w:rPr>
                <w:noProof/>
                <w:webHidden/>
              </w:rPr>
              <w:fldChar w:fldCharType="begin"/>
            </w:r>
            <w:r w:rsidR="008E6937">
              <w:rPr>
                <w:noProof/>
                <w:webHidden/>
              </w:rPr>
              <w:instrText xml:space="preserve"> PAGEREF _Toc172291526 \h </w:instrText>
            </w:r>
            <w:r w:rsidR="008E6937">
              <w:rPr>
                <w:noProof/>
                <w:webHidden/>
              </w:rPr>
            </w:r>
            <w:r w:rsidR="008E6937">
              <w:rPr>
                <w:noProof/>
                <w:webHidden/>
              </w:rPr>
              <w:fldChar w:fldCharType="separate"/>
            </w:r>
            <w:r w:rsidR="008E6937">
              <w:rPr>
                <w:noProof/>
                <w:webHidden/>
              </w:rPr>
              <w:t>14</w:t>
            </w:r>
            <w:r w:rsidR="008E6937">
              <w:rPr>
                <w:noProof/>
                <w:webHidden/>
              </w:rPr>
              <w:fldChar w:fldCharType="end"/>
            </w:r>
          </w:hyperlink>
        </w:p>
        <w:p w14:paraId="3A878494" w14:textId="75CE499B"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27" w:history="1">
            <w:r w:rsidR="008E6937" w:rsidRPr="008C137F">
              <w:rPr>
                <w:rStyle w:val="Hyperlink"/>
                <w:noProof/>
              </w:rPr>
              <w:t>Metric 09. Best value direct-acting oral anticoagulants</w:t>
            </w:r>
            <w:r w:rsidR="008E6937">
              <w:rPr>
                <w:noProof/>
                <w:webHidden/>
              </w:rPr>
              <w:tab/>
            </w:r>
            <w:r w:rsidR="008E6937">
              <w:rPr>
                <w:noProof/>
                <w:webHidden/>
              </w:rPr>
              <w:fldChar w:fldCharType="begin"/>
            </w:r>
            <w:r w:rsidR="008E6937">
              <w:rPr>
                <w:noProof/>
                <w:webHidden/>
              </w:rPr>
              <w:instrText xml:space="preserve"> PAGEREF _Toc172291527 \h </w:instrText>
            </w:r>
            <w:r w:rsidR="008E6937">
              <w:rPr>
                <w:noProof/>
                <w:webHidden/>
              </w:rPr>
            </w:r>
            <w:r w:rsidR="008E6937">
              <w:rPr>
                <w:noProof/>
                <w:webHidden/>
              </w:rPr>
              <w:fldChar w:fldCharType="separate"/>
            </w:r>
            <w:r w:rsidR="008E6937">
              <w:rPr>
                <w:noProof/>
                <w:webHidden/>
              </w:rPr>
              <w:t>16</w:t>
            </w:r>
            <w:r w:rsidR="008E6937">
              <w:rPr>
                <w:noProof/>
                <w:webHidden/>
              </w:rPr>
              <w:fldChar w:fldCharType="end"/>
            </w:r>
          </w:hyperlink>
        </w:p>
        <w:p w14:paraId="7BF5EC77" w14:textId="34ACF158"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28" w:history="1">
            <w:r w:rsidR="008E6937" w:rsidRPr="008C137F">
              <w:rPr>
                <w:rStyle w:val="Hyperlink"/>
                <w:noProof/>
              </w:rPr>
              <w:t>Metric 11.Carbon emissions from inhalers</w:t>
            </w:r>
            <w:r w:rsidR="008E6937">
              <w:rPr>
                <w:noProof/>
                <w:webHidden/>
              </w:rPr>
              <w:tab/>
            </w:r>
            <w:r w:rsidR="008E6937">
              <w:rPr>
                <w:noProof/>
                <w:webHidden/>
              </w:rPr>
              <w:fldChar w:fldCharType="begin"/>
            </w:r>
            <w:r w:rsidR="008E6937">
              <w:rPr>
                <w:noProof/>
                <w:webHidden/>
              </w:rPr>
              <w:instrText xml:space="preserve"> PAGEREF _Toc172291528 \h </w:instrText>
            </w:r>
            <w:r w:rsidR="008E6937">
              <w:rPr>
                <w:noProof/>
                <w:webHidden/>
              </w:rPr>
            </w:r>
            <w:r w:rsidR="008E6937">
              <w:rPr>
                <w:noProof/>
                <w:webHidden/>
              </w:rPr>
              <w:fldChar w:fldCharType="separate"/>
            </w:r>
            <w:r w:rsidR="008E6937">
              <w:rPr>
                <w:noProof/>
                <w:webHidden/>
              </w:rPr>
              <w:t>18</w:t>
            </w:r>
            <w:r w:rsidR="008E6937">
              <w:rPr>
                <w:noProof/>
                <w:webHidden/>
              </w:rPr>
              <w:fldChar w:fldCharType="end"/>
            </w:r>
          </w:hyperlink>
        </w:p>
        <w:p w14:paraId="247D951B" w14:textId="7778AA1F"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29" w:history="1">
            <w:r w:rsidR="008E6937" w:rsidRPr="008C137F">
              <w:rPr>
                <w:rStyle w:val="Hyperlink"/>
                <w:noProof/>
              </w:rPr>
              <w:t>Metric 12.Valproate safety</w:t>
            </w:r>
            <w:r w:rsidR="008E6937">
              <w:rPr>
                <w:noProof/>
                <w:webHidden/>
              </w:rPr>
              <w:tab/>
            </w:r>
            <w:r w:rsidR="008E6937">
              <w:rPr>
                <w:noProof/>
                <w:webHidden/>
              </w:rPr>
              <w:fldChar w:fldCharType="begin"/>
            </w:r>
            <w:r w:rsidR="008E6937">
              <w:rPr>
                <w:noProof/>
                <w:webHidden/>
              </w:rPr>
              <w:instrText xml:space="preserve"> PAGEREF _Toc172291529 \h </w:instrText>
            </w:r>
            <w:r w:rsidR="008E6937">
              <w:rPr>
                <w:noProof/>
                <w:webHidden/>
              </w:rPr>
            </w:r>
            <w:r w:rsidR="008E6937">
              <w:rPr>
                <w:noProof/>
                <w:webHidden/>
              </w:rPr>
              <w:fldChar w:fldCharType="separate"/>
            </w:r>
            <w:r w:rsidR="008E6937">
              <w:rPr>
                <w:noProof/>
                <w:webHidden/>
              </w:rPr>
              <w:t>19</w:t>
            </w:r>
            <w:r w:rsidR="008E6937">
              <w:rPr>
                <w:noProof/>
                <w:webHidden/>
              </w:rPr>
              <w:fldChar w:fldCharType="end"/>
            </w:r>
          </w:hyperlink>
        </w:p>
        <w:p w14:paraId="00CDFAAA" w14:textId="40A2E7AA"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30" w:history="1">
            <w:r w:rsidR="008E6937" w:rsidRPr="008C137F">
              <w:rPr>
                <w:rStyle w:val="Hyperlink"/>
                <w:noProof/>
              </w:rPr>
              <w:t>Metric 14.Course length of antimicrobial prescribing</w:t>
            </w:r>
            <w:r w:rsidR="008E6937">
              <w:rPr>
                <w:noProof/>
                <w:webHidden/>
              </w:rPr>
              <w:tab/>
            </w:r>
            <w:r w:rsidR="008E6937">
              <w:rPr>
                <w:noProof/>
                <w:webHidden/>
              </w:rPr>
              <w:fldChar w:fldCharType="begin"/>
            </w:r>
            <w:r w:rsidR="008E6937">
              <w:rPr>
                <w:noProof/>
                <w:webHidden/>
              </w:rPr>
              <w:instrText xml:space="preserve"> PAGEREF _Toc172291530 \h </w:instrText>
            </w:r>
            <w:r w:rsidR="008E6937">
              <w:rPr>
                <w:noProof/>
                <w:webHidden/>
              </w:rPr>
            </w:r>
            <w:r w:rsidR="008E6937">
              <w:rPr>
                <w:noProof/>
                <w:webHidden/>
              </w:rPr>
              <w:fldChar w:fldCharType="separate"/>
            </w:r>
            <w:r w:rsidR="008E6937">
              <w:rPr>
                <w:noProof/>
                <w:webHidden/>
              </w:rPr>
              <w:t>20</w:t>
            </w:r>
            <w:r w:rsidR="008E6937">
              <w:rPr>
                <w:noProof/>
                <w:webHidden/>
              </w:rPr>
              <w:fldChar w:fldCharType="end"/>
            </w:r>
          </w:hyperlink>
        </w:p>
        <w:p w14:paraId="7915F4AA" w14:textId="70DCA48B"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31" w:history="1">
            <w:r w:rsidR="008E6937" w:rsidRPr="008C137F">
              <w:rPr>
                <w:rStyle w:val="Hyperlink"/>
                <w:noProof/>
              </w:rPr>
              <w:t>Metric 15.Opioid use</w:t>
            </w:r>
            <w:r w:rsidR="008E6937">
              <w:rPr>
                <w:noProof/>
                <w:webHidden/>
              </w:rPr>
              <w:tab/>
            </w:r>
            <w:r w:rsidR="008E6937">
              <w:rPr>
                <w:noProof/>
                <w:webHidden/>
              </w:rPr>
              <w:fldChar w:fldCharType="begin"/>
            </w:r>
            <w:r w:rsidR="008E6937">
              <w:rPr>
                <w:noProof/>
                <w:webHidden/>
              </w:rPr>
              <w:instrText xml:space="preserve"> PAGEREF _Toc172291531 \h </w:instrText>
            </w:r>
            <w:r w:rsidR="008E6937">
              <w:rPr>
                <w:noProof/>
                <w:webHidden/>
              </w:rPr>
            </w:r>
            <w:r w:rsidR="008E6937">
              <w:rPr>
                <w:noProof/>
                <w:webHidden/>
              </w:rPr>
              <w:fldChar w:fldCharType="separate"/>
            </w:r>
            <w:r w:rsidR="008E6937">
              <w:rPr>
                <w:noProof/>
                <w:webHidden/>
              </w:rPr>
              <w:t>21</w:t>
            </w:r>
            <w:r w:rsidR="008E6937">
              <w:rPr>
                <w:noProof/>
                <w:webHidden/>
              </w:rPr>
              <w:fldChar w:fldCharType="end"/>
            </w:r>
          </w:hyperlink>
        </w:p>
        <w:p w14:paraId="5A5824B4" w14:textId="61B461F6" w:rsidR="008E6937" w:rsidRDefault="00430238">
          <w:pPr>
            <w:pStyle w:val="TOC2"/>
            <w:tabs>
              <w:tab w:val="right" w:leader="dot" w:pos="9016"/>
            </w:tabs>
            <w:rPr>
              <w:rFonts w:eastAsiaTheme="minorEastAsia"/>
              <w:bCs w:val="0"/>
              <w:noProof/>
              <w:kern w:val="2"/>
              <w:sz w:val="24"/>
              <w:szCs w:val="24"/>
              <w:lang w:eastAsia="en-GB"/>
              <w14:ligatures w14:val="standardContextual"/>
            </w:rPr>
          </w:pPr>
          <w:hyperlink w:anchor="_Toc172291532" w:history="1">
            <w:r w:rsidR="008E6937" w:rsidRPr="008C137F">
              <w:rPr>
                <w:rStyle w:val="Hyperlink"/>
                <w:noProof/>
              </w:rPr>
              <w:t>Metric 16.IV antibiotics to oral</w:t>
            </w:r>
            <w:r w:rsidR="008E6937">
              <w:rPr>
                <w:noProof/>
                <w:webHidden/>
              </w:rPr>
              <w:tab/>
            </w:r>
            <w:r w:rsidR="008E6937">
              <w:rPr>
                <w:noProof/>
                <w:webHidden/>
              </w:rPr>
              <w:fldChar w:fldCharType="begin"/>
            </w:r>
            <w:r w:rsidR="008E6937">
              <w:rPr>
                <w:noProof/>
                <w:webHidden/>
              </w:rPr>
              <w:instrText xml:space="preserve"> PAGEREF _Toc172291532 \h </w:instrText>
            </w:r>
            <w:r w:rsidR="008E6937">
              <w:rPr>
                <w:noProof/>
                <w:webHidden/>
              </w:rPr>
            </w:r>
            <w:r w:rsidR="008E6937">
              <w:rPr>
                <w:noProof/>
                <w:webHidden/>
              </w:rPr>
              <w:fldChar w:fldCharType="separate"/>
            </w:r>
            <w:r w:rsidR="008E6937">
              <w:rPr>
                <w:noProof/>
                <w:webHidden/>
              </w:rPr>
              <w:t>23</w:t>
            </w:r>
            <w:r w:rsidR="008E6937">
              <w:rPr>
                <w:noProof/>
                <w:webHidden/>
              </w:rPr>
              <w:fldChar w:fldCharType="end"/>
            </w:r>
          </w:hyperlink>
        </w:p>
        <w:p w14:paraId="0284F805" w14:textId="42EFAEE8" w:rsidR="008E6937" w:rsidRDefault="00430238">
          <w:pPr>
            <w:pStyle w:val="TOC1"/>
            <w:rPr>
              <w:rFonts w:eastAsiaTheme="minorEastAsia"/>
              <w:bCs w:val="0"/>
              <w:noProof/>
              <w:kern w:val="2"/>
              <w:sz w:val="24"/>
              <w:szCs w:val="24"/>
              <w:lang w:eastAsia="en-GB"/>
              <w14:ligatures w14:val="standardContextual"/>
            </w:rPr>
          </w:pPr>
          <w:hyperlink w:anchor="_Toc172291533" w:history="1">
            <w:r w:rsidR="008E6937" w:rsidRPr="008C137F">
              <w:rPr>
                <w:rStyle w:val="Hyperlink"/>
                <w:noProof/>
              </w:rPr>
              <w:t>Appendix 1: Medicine group details</w:t>
            </w:r>
            <w:r w:rsidR="008E6937">
              <w:rPr>
                <w:noProof/>
                <w:webHidden/>
              </w:rPr>
              <w:tab/>
            </w:r>
            <w:r w:rsidR="008E6937">
              <w:rPr>
                <w:noProof/>
                <w:webHidden/>
              </w:rPr>
              <w:fldChar w:fldCharType="begin"/>
            </w:r>
            <w:r w:rsidR="008E6937">
              <w:rPr>
                <w:noProof/>
                <w:webHidden/>
              </w:rPr>
              <w:instrText xml:space="preserve"> PAGEREF _Toc172291533 \h </w:instrText>
            </w:r>
            <w:r w:rsidR="008E6937">
              <w:rPr>
                <w:noProof/>
                <w:webHidden/>
              </w:rPr>
            </w:r>
            <w:r w:rsidR="008E6937">
              <w:rPr>
                <w:noProof/>
                <w:webHidden/>
              </w:rPr>
              <w:fldChar w:fldCharType="separate"/>
            </w:r>
            <w:r w:rsidR="008E6937">
              <w:rPr>
                <w:noProof/>
                <w:webHidden/>
              </w:rPr>
              <w:t>25</w:t>
            </w:r>
            <w:r w:rsidR="008E6937">
              <w:rPr>
                <w:noProof/>
                <w:webHidden/>
              </w:rPr>
              <w:fldChar w:fldCharType="end"/>
            </w:r>
          </w:hyperlink>
        </w:p>
        <w:p w14:paraId="422B7723" w14:textId="4D6AD831" w:rsidR="008E6937" w:rsidRDefault="00430238">
          <w:pPr>
            <w:pStyle w:val="TOC1"/>
            <w:rPr>
              <w:rFonts w:eastAsiaTheme="minorEastAsia"/>
              <w:bCs w:val="0"/>
              <w:noProof/>
              <w:kern w:val="2"/>
              <w:sz w:val="24"/>
              <w:szCs w:val="24"/>
              <w:lang w:eastAsia="en-GB"/>
              <w14:ligatures w14:val="standardContextual"/>
            </w:rPr>
          </w:pPr>
          <w:hyperlink w:anchor="_Toc172291534" w:history="1">
            <w:r w:rsidR="008E6937" w:rsidRPr="008C137F">
              <w:rPr>
                <w:rStyle w:val="Hyperlink"/>
                <w:noProof/>
              </w:rPr>
              <w:t>Appendix 2: Governance and support</w:t>
            </w:r>
            <w:r w:rsidR="008E6937">
              <w:rPr>
                <w:noProof/>
                <w:webHidden/>
              </w:rPr>
              <w:tab/>
            </w:r>
            <w:r w:rsidR="008E6937">
              <w:rPr>
                <w:noProof/>
                <w:webHidden/>
              </w:rPr>
              <w:fldChar w:fldCharType="begin"/>
            </w:r>
            <w:r w:rsidR="008E6937">
              <w:rPr>
                <w:noProof/>
                <w:webHidden/>
              </w:rPr>
              <w:instrText xml:space="preserve"> PAGEREF _Toc172291534 \h </w:instrText>
            </w:r>
            <w:r w:rsidR="008E6937">
              <w:rPr>
                <w:noProof/>
                <w:webHidden/>
              </w:rPr>
            </w:r>
            <w:r w:rsidR="008E6937">
              <w:rPr>
                <w:noProof/>
                <w:webHidden/>
              </w:rPr>
              <w:fldChar w:fldCharType="separate"/>
            </w:r>
            <w:r w:rsidR="008E6937">
              <w:rPr>
                <w:noProof/>
                <w:webHidden/>
              </w:rPr>
              <w:t>26</w:t>
            </w:r>
            <w:r w:rsidR="008E6937">
              <w:rPr>
                <w:noProof/>
                <w:webHidden/>
              </w:rPr>
              <w:fldChar w:fldCharType="end"/>
            </w:r>
          </w:hyperlink>
        </w:p>
        <w:p w14:paraId="68562DAD" w14:textId="188650B6" w:rsidR="354681A9" w:rsidRDefault="354681A9" w:rsidP="00973591">
          <w:pPr>
            <w:pStyle w:val="TOC1"/>
            <w:rPr>
              <w:rStyle w:val="Hyperlink"/>
            </w:rPr>
          </w:pPr>
          <w:r>
            <w:fldChar w:fldCharType="end"/>
          </w:r>
        </w:p>
      </w:sdtContent>
    </w:sdt>
    <w:p w14:paraId="2603BE82" w14:textId="7C2D3A31" w:rsidR="003629ED" w:rsidRPr="001F3797" w:rsidRDefault="003629ED" w:rsidP="354681A9"/>
    <w:p w14:paraId="354D538B" w14:textId="77777777" w:rsidR="00ED1739" w:rsidRDefault="00ED1739">
      <w:pPr>
        <w:rPr>
          <w:rFonts w:eastAsiaTheme="majorEastAsia" w:cstheme="minorHAnsi"/>
          <w:color w:val="0070C0"/>
          <w:sz w:val="24"/>
          <w:szCs w:val="24"/>
        </w:rPr>
      </w:pPr>
      <w:r>
        <w:rPr>
          <w:rFonts w:cstheme="minorHAnsi"/>
        </w:rPr>
        <w:br w:type="page"/>
      </w:r>
    </w:p>
    <w:p w14:paraId="65AB646D" w14:textId="0A339C5A" w:rsidR="00574307" w:rsidRPr="00FF0C1B" w:rsidRDefault="0041212E" w:rsidP="354681A9">
      <w:pPr>
        <w:pStyle w:val="Heading1"/>
        <w:numPr>
          <w:ilvl w:val="0"/>
          <w:numId w:val="11"/>
        </w:numPr>
        <w:rPr>
          <w:rFonts w:asciiTheme="minorHAnsi" w:hAnsiTheme="minorHAnsi" w:cstheme="minorBidi"/>
        </w:rPr>
      </w:pPr>
      <w:bookmarkStart w:id="0" w:name="_Toc172291512"/>
      <w:r w:rsidRPr="354681A9">
        <w:rPr>
          <w:rFonts w:asciiTheme="minorHAnsi" w:hAnsiTheme="minorHAnsi" w:cstheme="minorBidi"/>
        </w:rPr>
        <w:lastRenderedPageBreak/>
        <w:t>Background</w:t>
      </w:r>
      <w:bookmarkEnd w:id="0"/>
      <w:r w:rsidRPr="354681A9">
        <w:rPr>
          <w:rFonts w:asciiTheme="minorHAnsi" w:hAnsiTheme="minorHAnsi" w:cstheme="minorBidi"/>
        </w:rPr>
        <w:t xml:space="preserve"> </w:t>
      </w:r>
    </w:p>
    <w:p w14:paraId="3382A50B" w14:textId="2811C61A" w:rsidR="00574307" w:rsidRPr="00574307" w:rsidRDefault="00574307" w:rsidP="00574307">
      <w:r w:rsidRPr="00574307">
        <w:t>The national medicines optimisation opportunities dashboard has been developed with NHS England to bring together data to support the </w:t>
      </w:r>
      <w:hyperlink r:id="rId11" w:history="1">
        <w:r w:rsidRPr="00574307">
          <w:rPr>
            <w:rStyle w:val="HyperlinkinparaChar"/>
            <w:rFonts w:eastAsiaTheme="minorHAnsi"/>
          </w:rPr>
          <w:t>national medicines optimisation opportunities 2023/24</w:t>
        </w:r>
      </w:hyperlink>
      <w:r w:rsidRPr="00574307">
        <w:t xml:space="preserve">. It includes </w:t>
      </w:r>
      <w:r w:rsidR="00631D7E">
        <w:t>a</w:t>
      </w:r>
      <w:r>
        <w:t xml:space="preserve"> </w:t>
      </w:r>
      <w:r w:rsidR="00631D7E">
        <w:t xml:space="preserve">collation </w:t>
      </w:r>
      <w:r>
        <w:t xml:space="preserve">of the </w:t>
      </w:r>
      <w:r w:rsidR="00631D7E">
        <w:t xml:space="preserve">headline </w:t>
      </w:r>
      <w:r>
        <w:t>metrics</w:t>
      </w:r>
      <w:r w:rsidRPr="00574307">
        <w:t xml:space="preserve"> </w:t>
      </w:r>
      <w:r>
        <w:t xml:space="preserve">that have been selected to </w:t>
      </w:r>
      <w:r w:rsidRPr="00574307">
        <w:t xml:space="preserve">support </w:t>
      </w:r>
      <w:r>
        <w:t xml:space="preserve">the </w:t>
      </w:r>
      <w:r w:rsidRPr="00574307">
        <w:t>opportunity areas described in the guidance.</w:t>
      </w:r>
      <w:r>
        <w:t xml:space="preserve"> </w:t>
      </w:r>
      <w:r w:rsidR="00631D7E">
        <w:t>Metrics for any remaining opportunities</w:t>
      </w:r>
      <w:r>
        <w:t xml:space="preserve"> will be added when they have been developed and agreed by NHS England.</w:t>
      </w:r>
    </w:p>
    <w:p w14:paraId="1953C9FD" w14:textId="6136E9F2" w:rsidR="00845B0A" w:rsidRDefault="00ED2827" w:rsidP="0035674C">
      <w:pPr>
        <w:rPr>
          <w:rFonts w:cstheme="minorHAnsi"/>
        </w:rPr>
      </w:pPr>
      <w:r w:rsidRPr="001F3797">
        <w:rPr>
          <w:rFonts w:cstheme="minorHAnsi"/>
        </w:rPr>
        <w:t xml:space="preserve">This specification is a technical document </w:t>
      </w:r>
      <w:r w:rsidR="00533A65">
        <w:rPr>
          <w:rFonts w:cstheme="minorHAnsi"/>
        </w:rPr>
        <w:t xml:space="preserve">including </w:t>
      </w:r>
      <w:r w:rsidR="00574307">
        <w:rPr>
          <w:rFonts w:cstheme="minorHAnsi"/>
        </w:rPr>
        <w:t>details on the calculation of each metric</w:t>
      </w:r>
      <w:r w:rsidR="00533A65">
        <w:rPr>
          <w:rFonts w:cstheme="minorHAnsi"/>
        </w:rPr>
        <w:t xml:space="preserve"> included in the dashboard and other supporting information.</w:t>
      </w:r>
    </w:p>
    <w:p w14:paraId="7EDF0B17" w14:textId="31CEE620" w:rsidR="00DC6747" w:rsidRDefault="00DC6747" w:rsidP="354681A9">
      <w:pPr>
        <w:pStyle w:val="Heading1"/>
        <w:numPr>
          <w:ilvl w:val="0"/>
          <w:numId w:val="11"/>
        </w:numPr>
        <w:rPr>
          <w:rFonts w:cstheme="minorBidi"/>
        </w:rPr>
      </w:pPr>
      <w:bookmarkStart w:id="1" w:name="_Toc172291513"/>
      <w:r w:rsidRPr="354681A9">
        <w:rPr>
          <w:rFonts w:cstheme="minorBidi"/>
        </w:rPr>
        <w:t>Purpose</w:t>
      </w:r>
      <w:bookmarkEnd w:id="1"/>
    </w:p>
    <w:p w14:paraId="23C7CF48" w14:textId="1D9BC265" w:rsidR="0052208D" w:rsidRDefault="0052208D" w:rsidP="0052208D">
      <w:r>
        <w:t xml:space="preserve">This dashboard aims to offer a streamlined solution to monitoring multiple opportunities, so that the position across the different areas can be seen in only one place. For each opportunity, it is possible to track progress, compare against peers, </w:t>
      </w:r>
      <w:r w:rsidR="00BC2AD0">
        <w:t xml:space="preserve">and </w:t>
      </w:r>
      <w:r>
        <w:t xml:space="preserve">identify good practice or scope for improvement. The headline metrics in this dashboard reflect the policy framework and aim to shed light on multiple areas of improvement, spanning aspects such as value for money, patient safety, quality, and environmental benefits. </w:t>
      </w:r>
    </w:p>
    <w:p w14:paraId="373F2C01" w14:textId="51ECEBB8" w:rsidR="003D1BA3" w:rsidRPr="003D1BA3" w:rsidRDefault="0052208D" w:rsidP="0052208D">
      <w:r>
        <w:t xml:space="preserve">This dashboard signposts to more detailed dashboards or products for each opportunity area and does not intend to offer a comprehensive, detailed view of each of the opportunities. Once opportunities are selected by systems, it is intended that this product is used in combination with more detailed reports and information about the chosen opportunities. </w:t>
      </w:r>
      <w:r w:rsidR="00F94D3C">
        <w:t>Supporting materials and additional links to data sources for all opportunities can be found in the following</w:t>
      </w:r>
      <w:r>
        <w:t xml:space="preserve"> </w:t>
      </w:r>
      <w:hyperlink r:id="rId12">
        <w:r w:rsidRPr="4257620F">
          <w:rPr>
            <w:rStyle w:val="Hyperlink"/>
          </w:rPr>
          <w:t>publication</w:t>
        </w:r>
      </w:hyperlink>
      <w:r>
        <w:t>.</w:t>
      </w:r>
    </w:p>
    <w:p w14:paraId="1113500F" w14:textId="35D51B8D" w:rsidR="00574307" w:rsidRDefault="00574307" w:rsidP="354681A9">
      <w:pPr>
        <w:pStyle w:val="Heading1"/>
        <w:numPr>
          <w:ilvl w:val="0"/>
          <w:numId w:val="11"/>
        </w:numPr>
        <w:rPr>
          <w:rFonts w:asciiTheme="minorHAnsi" w:hAnsiTheme="minorHAnsi" w:cstheme="minorBidi"/>
        </w:rPr>
      </w:pPr>
      <w:bookmarkStart w:id="2" w:name="_Toc172291514"/>
      <w:r w:rsidRPr="354681A9">
        <w:rPr>
          <w:rFonts w:asciiTheme="minorHAnsi" w:hAnsiTheme="minorHAnsi" w:cstheme="minorBidi"/>
        </w:rPr>
        <w:t>General technical notes</w:t>
      </w:r>
      <w:bookmarkEnd w:id="2"/>
    </w:p>
    <w:p w14:paraId="5042DE10" w14:textId="5675B398" w:rsidR="00B273EA" w:rsidRDefault="00574307" w:rsidP="00DF5DEA">
      <w:pPr>
        <w:rPr>
          <w:rFonts w:cstheme="minorHAnsi"/>
        </w:rPr>
      </w:pPr>
      <w:r>
        <w:rPr>
          <w:rFonts w:cstheme="minorHAnsi"/>
        </w:rPr>
        <w:t xml:space="preserve">Data has been presented at the level of </w:t>
      </w:r>
      <w:r w:rsidR="008361B0">
        <w:rPr>
          <w:rFonts w:cstheme="minorHAnsi"/>
        </w:rPr>
        <w:t>England (</w:t>
      </w:r>
      <w:r>
        <w:rPr>
          <w:rFonts w:cstheme="minorHAnsi"/>
        </w:rPr>
        <w:t>N</w:t>
      </w:r>
      <w:r w:rsidR="008361B0">
        <w:rPr>
          <w:rFonts w:cstheme="minorHAnsi"/>
        </w:rPr>
        <w:t>ational)</w:t>
      </w:r>
      <w:r>
        <w:rPr>
          <w:rFonts w:cstheme="minorHAnsi"/>
        </w:rPr>
        <w:t>, Region</w:t>
      </w:r>
      <w:r w:rsidR="008361B0">
        <w:rPr>
          <w:rFonts w:cstheme="minorHAnsi"/>
        </w:rPr>
        <w:t xml:space="preserve"> and</w:t>
      </w:r>
      <w:r>
        <w:rPr>
          <w:rFonts w:cstheme="minorHAnsi"/>
        </w:rPr>
        <w:t xml:space="preserve"> </w:t>
      </w:r>
      <w:r w:rsidR="008361B0">
        <w:rPr>
          <w:rFonts w:cstheme="minorHAnsi"/>
        </w:rPr>
        <w:t>Integrated Care Board (</w:t>
      </w:r>
      <w:r>
        <w:rPr>
          <w:rFonts w:cstheme="minorHAnsi"/>
        </w:rPr>
        <w:t>ICB</w:t>
      </w:r>
      <w:r w:rsidR="008361B0">
        <w:rPr>
          <w:rFonts w:cstheme="minorHAnsi"/>
        </w:rPr>
        <w:t>)</w:t>
      </w:r>
      <w:r>
        <w:rPr>
          <w:rFonts w:cstheme="minorHAnsi"/>
        </w:rPr>
        <w:t xml:space="preserve"> </w:t>
      </w:r>
      <w:r w:rsidR="008361B0">
        <w:rPr>
          <w:rFonts w:cstheme="minorHAnsi"/>
        </w:rPr>
        <w:t>A</w:t>
      </w:r>
      <w:r>
        <w:rPr>
          <w:rFonts w:cstheme="minorHAnsi"/>
        </w:rPr>
        <w:t xml:space="preserve">n additional view showing the lowest level </w:t>
      </w:r>
      <w:r w:rsidR="00E33005">
        <w:rPr>
          <w:rFonts w:cstheme="minorHAnsi"/>
        </w:rPr>
        <w:t>organisations within</w:t>
      </w:r>
      <w:r w:rsidR="008361B0">
        <w:rPr>
          <w:rFonts w:cstheme="minorHAnsi"/>
        </w:rPr>
        <w:t xml:space="preserve"> each ICBs </w:t>
      </w:r>
      <w:r>
        <w:rPr>
          <w:rFonts w:cstheme="minorHAnsi"/>
        </w:rPr>
        <w:t>for which the metric is available</w:t>
      </w:r>
      <w:r w:rsidR="00533A65">
        <w:rPr>
          <w:rFonts w:cstheme="minorHAnsi"/>
        </w:rPr>
        <w:t>. Normally this lowest level view will be</w:t>
      </w:r>
      <w:r w:rsidR="00B273EA">
        <w:rPr>
          <w:rFonts w:cstheme="minorHAnsi"/>
        </w:rPr>
        <w:t>:</w:t>
      </w:r>
    </w:p>
    <w:p w14:paraId="3D5CBF1C" w14:textId="01D5079A" w:rsidR="00B273EA" w:rsidRPr="00B273EA" w:rsidRDefault="00574307" w:rsidP="00E33005">
      <w:pPr>
        <w:pStyle w:val="ListParagraph"/>
        <w:numPr>
          <w:ilvl w:val="0"/>
          <w:numId w:val="41"/>
        </w:numPr>
        <w:rPr>
          <w:rFonts w:cstheme="minorHAnsi"/>
        </w:rPr>
      </w:pPr>
      <w:r w:rsidRPr="00B273EA">
        <w:rPr>
          <w:rFonts w:cstheme="minorHAnsi"/>
        </w:rPr>
        <w:t>GP Practice or Primary Care</w:t>
      </w:r>
      <w:r w:rsidR="00C57EEE" w:rsidRPr="00B273EA">
        <w:rPr>
          <w:rFonts w:cstheme="minorHAnsi"/>
        </w:rPr>
        <w:t xml:space="preserve"> Prescribing Cost Centre</w:t>
      </w:r>
      <w:r w:rsidR="00533A65" w:rsidRPr="00B273EA">
        <w:rPr>
          <w:rFonts w:cstheme="minorHAnsi"/>
        </w:rPr>
        <w:t xml:space="preserve"> for primary care metrics</w:t>
      </w:r>
      <w:r w:rsidR="00C57EEE" w:rsidRPr="00B273EA">
        <w:rPr>
          <w:rFonts w:cstheme="minorHAnsi"/>
        </w:rPr>
        <w:t xml:space="preserve">, </w:t>
      </w:r>
    </w:p>
    <w:p w14:paraId="4AE92A6C" w14:textId="64915CE9" w:rsidR="00C57EEE" w:rsidRPr="00B273EA" w:rsidRDefault="00C57EEE" w:rsidP="00E33005">
      <w:pPr>
        <w:pStyle w:val="ListParagraph"/>
        <w:numPr>
          <w:ilvl w:val="0"/>
          <w:numId w:val="41"/>
        </w:numPr>
        <w:rPr>
          <w:rFonts w:cstheme="minorHAnsi"/>
        </w:rPr>
      </w:pPr>
      <w:r w:rsidRPr="00B273EA">
        <w:rPr>
          <w:rFonts w:cstheme="minorHAnsi"/>
        </w:rPr>
        <w:t>NHS trust for secondary care metrics.</w:t>
      </w:r>
    </w:p>
    <w:p w14:paraId="0D49DC22" w14:textId="2989F1F4" w:rsidR="00574307" w:rsidRDefault="00C57EEE" w:rsidP="4257620F">
      <w:r w:rsidRPr="4257620F">
        <w:t xml:space="preserve">Most of the metrics are available in more detail in other </w:t>
      </w:r>
      <w:r w:rsidR="00B273EA" w:rsidRPr="4257620F">
        <w:t xml:space="preserve">platforms or products, </w:t>
      </w:r>
      <w:r w:rsidRPr="4257620F">
        <w:t>and the calculation follows these other sources as closely as possible.</w:t>
      </w:r>
      <w:r w:rsidR="00E36D67" w:rsidRPr="4257620F">
        <w:t xml:space="preserve"> Th</w:t>
      </w:r>
      <w:r w:rsidR="00533A65" w:rsidRPr="4257620F">
        <w:t xml:space="preserve">is may </w:t>
      </w:r>
      <w:r w:rsidR="00F94D3C">
        <w:t>mean that metrics tend to focus on either primary or secondary care settings and do not necessarily cover both settings</w:t>
      </w:r>
      <w:r w:rsidR="00533A65" w:rsidRPr="4257620F">
        <w:t>. For example, ePACT2 dashboards based on GP Practice Prescribing would typically exclude any prescriptions dispensed in community pharmacies that had been prescribed by Prescribing Cost Centres linked to NHS Trusts. The detailed specification for each metric given here will highlight any such exclusions.</w:t>
      </w:r>
    </w:p>
    <w:p w14:paraId="7C7BCB80" w14:textId="459A90B3" w:rsidR="005B58B0" w:rsidRPr="004D2A10" w:rsidRDefault="00CF1E20" w:rsidP="354681A9">
      <w:pPr>
        <w:pStyle w:val="Heading1"/>
        <w:numPr>
          <w:ilvl w:val="0"/>
          <w:numId w:val="11"/>
        </w:numPr>
        <w:rPr>
          <w:rFonts w:asciiTheme="minorHAnsi" w:hAnsiTheme="minorHAnsi" w:cstheme="minorBidi"/>
        </w:rPr>
      </w:pPr>
      <w:bookmarkStart w:id="3" w:name="_Toc172291515"/>
      <w:r w:rsidRPr="354681A9">
        <w:rPr>
          <w:rFonts w:asciiTheme="minorHAnsi" w:hAnsiTheme="minorHAnsi" w:cstheme="minorBidi"/>
        </w:rPr>
        <w:t>Primary care prescribing metrics – general notes</w:t>
      </w:r>
      <w:bookmarkEnd w:id="3"/>
    </w:p>
    <w:p w14:paraId="71D8700C" w14:textId="299FAC3F" w:rsidR="00B81CA3" w:rsidRPr="001F3797" w:rsidRDefault="00B81CA3" w:rsidP="0035674C">
      <w:pPr>
        <w:rPr>
          <w:rFonts w:cstheme="minorHAnsi"/>
        </w:rPr>
      </w:pPr>
      <w:r w:rsidRPr="001F3797">
        <w:rPr>
          <w:rFonts w:cstheme="minorHAnsi"/>
        </w:rPr>
        <w:t>All data is based on</w:t>
      </w:r>
      <w:r w:rsidR="005B58B0" w:rsidRPr="001F3797">
        <w:rPr>
          <w:rFonts w:cstheme="minorHAnsi"/>
        </w:rPr>
        <w:t xml:space="preserve"> prescriptions from</w:t>
      </w:r>
      <w:r w:rsidRPr="001F3797">
        <w:rPr>
          <w:rFonts w:cstheme="minorHAnsi"/>
        </w:rPr>
        <w:t xml:space="preserve"> English prescribing organisations </w:t>
      </w:r>
      <w:r w:rsidR="005B58B0" w:rsidRPr="001F3797">
        <w:rPr>
          <w:rFonts w:cstheme="minorHAnsi"/>
        </w:rPr>
        <w:t>that were submitted to the NHSBSA for processing.</w:t>
      </w:r>
    </w:p>
    <w:p w14:paraId="2F0DC3DA" w14:textId="4DEAA817" w:rsidR="00B81CA3" w:rsidRPr="00A45C76" w:rsidRDefault="00B81CA3" w:rsidP="0035674C">
      <w:pPr>
        <w:rPr>
          <w:rFonts w:cstheme="minorHAnsi"/>
          <w:b/>
        </w:rPr>
      </w:pPr>
      <w:r w:rsidRPr="001F3797">
        <w:rPr>
          <w:rFonts w:cstheme="minorHAnsi"/>
        </w:rPr>
        <w:t xml:space="preserve">English prescribing that has been dispensed in Wales, Scotland, Guernsey / Alderney, Jersey and </w:t>
      </w:r>
      <w:r w:rsidRPr="00A45C76">
        <w:rPr>
          <w:rFonts w:cstheme="minorHAnsi"/>
        </w:rPr>
        <w:t>Isle of Man is also included – however</w:t>
      </w:r>
      <w:r w:rsidR="000079BA">
        <w:rPr>
          <w:rFonts w:cstheme="minorHAnsi"/>
        </w:rPr>
        <w:t>,</w:t>
      </w:r>
      <w:r w:rsidRPr="00A45C76">
        <w:rPr>
          <w:rFonts w:cstheme="minorHAnsi"/>
        </w:rPr>
        <w:t xml:space="preserve"> these items may </w:t>
      </w:r>
      <w:r w:rsidR="005B58B0" w:rsidRPr="00A45C76">
        <w:rPr>
          <w:rFonts w:cstheme="minorHAnsi"/>
        </w:rPr>
        <w:t xml:space="preserve">be </w:t>
      </w:r>
      <w:r w:rsidRPr="00A45C76">
        <w:rPr>
          <w:rFonts w:cstheme="minorHAnsi"/>
        </w:rPr>
        <w:t xml:space="preserve">effectively excluded </w:t>
      </w:r>
      <w:r w:rsidR="005B58B0" w:rsidRPr="00A45C76">
        <w:rPr>
          <w:rFonts w:cstheme="minorHAnsi"/>
        </w:rPr>
        <w:t>from the comparators that include only prescriptions items for which a patient could be identified</w:t>
      </w:r>
      <w:r w:rsidRPr="00A45C76">
        <w:rPr>
          <w:rFonts w:cstheme="minorHAnsi"/>
        </w:rPr>
        <w:t>.</w:t>
      </w:r>
    </w:p>
    <w:p w14:paraId="5CBA6A2F" w14:textId="33778F7B" w:rsidR="00B81CA3" w:rsidRPr="00A45C76" w:rsidRDefault="00B81CA3" w:rsidP="004E0147">
      <w:pPr>
        <w:rPr>
          <w:rFonts w:cstheme="minorHAnsi"/>
        </w:rPr>
      </w:pPr>
      <w:r w:rsidRPr="00A45C76">
        <w:rPr>
          <w:rFonts w:cstheme="minorHAnsi"/>
        </w:rPr>
        <w:t>All data excludes:</w:t>
      </w:r>
    </w:p>
    <w:p w14:paraId="2AE64496" w14:textId="77777777" w:rsidR="00B81CA3" w:rsidRPr="001F3797" w:rsidRDefault="00B81CA3" w:rsidP="0016551E">
      <w:pPr>
        <w:pStyle w:val="ListParagraph"/>
        <w:numPr>
          <w:ilvl w:val="0"/>
          <w:numId w:val="7"/>
        </w:numPr>
        <w:rPr>
          <w:rFonts w:cstheme="minorHAnsi"/>
        </w:rPr>
      </w:pPr>
      <w:r w:rsidRPr="00A45C76">
        <w:rPr>
          <w:rFonts w:cstheme="minorHAnsi"/>
        </w:rPr>
        <w:t>Items not dispensed</w:t>
      </w:r>
      <w:r w:rsidRPr="001F3797">
        <w:rPr>
          <w:rFonts w:cstheme="minorHAnsi"/>
        </w:rPr>
        <w:t xml:space="preserve">, disallowed and those returned to the contractor for further clarification. </w:t>
      </w:r>
    </w:p>
    <w:p w14:paraId="5EE1F872" w14:textId="77777777" w:rsidR="00B81CA3" w:rsidRPr="001F3797" w:rsidRDefault="00B81CA3" w:rsidP="0016551E">
      <w:pPr>
        <w:pStyle w:val="ListParagraph"/>
        <w:numPr>
          <w:ilvl w:val="0"/>
          <w:numId w:val="7"/>
        </w:numPr>
        <w:rPr>
          <w:rFonts w:cstheme="minorHAnsi"/>
        </w:rPr>
      </w:pPr>
      <w:r w:rsidRPr="001F3797">
        <w:rPr>
          <w:rFonts w:cstheme="minorHAnsi"/>
        </w:rPr>
        <w:t>Prescriptions prescribed and dispensed in Prisons, Hospitals and Private prescriptions.</w:t>
      </w:r>
    </w:p>
    <w:p w14:paraId="1E0511F8" w14:textId="4136E623" w:rsidR="00B81CA3" w:rsidRDefault="00B81CA3" w:rsidP="0016551E">
      <w:pPr>
        <w:pStyle w:val="ListParagraph"/>
        <w:numPr>
          <w:ilvl w:val="0"/>
          <w:numId w:val="7"/>
        </w:numPr>
        <w:rPr>
          <w:rFonts w:cstheme="minorHAnsi"/>
        </w:rPr>
      </w:pPr>
      <w:r w:rsidRPr="001F3797">
        <w:rPr>
          <w:rFonts w:cstheme="minorHAnsi"/>
        </w:rPr>
        <w:t>Items prescribed but not presented for dispensing or not submitted to NHS Prescription Services by the dispenser</w:t>
      </w:r>
    </w:p>
    <w:p w14:paraId="5E1093BD" w14:textId="069FD1F1" w:rsidR="00CB31AD" w:rsidRPr="00CB31AD" w:rsidRDefault="00CB31AD" w:rsidP="00CB31AD">
      <w:pPr>
        <w:rPr>
          <w:rFonts w:cstheme="minorHAnsi"/>
        </w:rPr>
      </w:pPr>
      <w:r>
        <w:rPr>
          <w:rFonts w:cstheme="minorHAnsi"/>
        </w:rPr>
        <w:t xml:space="preserve">Medicine groups </w:t>
      </w:r>
      <w:r w:rsidR="00987A04">
        <w:rPr>
          <w:rFonts w:cstheme="minorHAnsi"/>
        </w:rPr>
        <w:t>are</w:t>
      </w:r>
      <w:r w:rsidR="00987A04">
        <w:rPr>
          <w:rFonts w:ascii="Arial" w:eastAsia="Arial" w:hAnsi="Arial" w:cs="Arial"/>
        </w:rPr>
        <w:t xml:space="preserve"> based on the </w:t>
      </w:r>
      <w:r w:rsidR="00987A04" w:rsidRPr="0027709B">
        <w:rPr>
          <w:rFonts w:ascii="Arial" w:eastAsia="Arial" w:hAnsi="Arial" w:cs="Arial"/>
        </w:rPr>
        <w:t xml:space="preserve">British National Formulary (BNF) </w:t>
      </w:r>
      <w:r w:rsidR="00987A04">
        <w:rPr>
          <w:rFonts w:ascii="Arial" w:eastAsia="Arial" w:hAnsi="Arial" w:cs="Arial"/>
        </w:rPr>
        <w:t xml:space="preserve">classification system prior to BNF edition 70. This also includes pseudo-BNF codes assigned to appliances and several annual updates made by NHSBSA. A mapping document showing how these BNF codes map to SNOMED codes can be found on the NHSBSA website – </w:t>
      </w:r>
      <w:hyperlink r:id="rId13" w:history="1">
        <w:r w:rsidR="00987A04" w:rsidRPr="00E54E2E">
          <w:rPr>
            <w:rStyle w:val="Hyperlink"/>
            <w:rFonts w:ascii="Arial" w:eastAsia="Arial" w:hAnsi="Arial" w:cs="Arial"/>
          </w:rPr>
          <w:t xml:space="preserve">‘BNF to </w:t>
        </w:r>
        <w:r w:rsidR="00E33005" w:rsidRPr="00E54E2E">
          <w:rPr>
            <w:rStyle w:val="Hyperlink"/>
            <w:rFonts w:ascii="Arial" w:eastAsia="Arial" w:hAnsi="Arial" w:cs="Arial"/>
          </w:rPr>
          <w:t>SNOMED</w:t>
        </w:r>
        <w:r w:rsidR="00987A04" w:rsidRPr="00E54E2E">
          <w:rPr>
            <w:rStyle w:val="Hyperlink"/>
            <w:rFonts w:ascii="Arial" w:eastAsia="Arial" w:hAnsi="Arial" w:cs="Arial"/>
          </w:rPr>
          <w:t xml:space="preserve"> Mapping Document’</w:t>
        </w:r>
      </w:hyperlink>
      <w:r w:rsidR="00E54E2E">
        <w:rPr>
          <w:rFonts w:ascii="Arial" w:eastAsia="Arial" w:hAnsi="Arial" w:cs="Arial"/>
        </w:rPr>
        <w:t xml:space="preserve">. </w:t>
      </w:r>
      <w:r w:rsidR="00987A04">
        <w:rPr>
          <w:rFonts w:ascii="Arial" w:eastAsia="Arial" w:hAnsi="Arial" w:cs="Arial"/>
        </w:rPr>
        <w:br/>
      </w:r>
      <w:r w:rsidR="00987A04">
        <w:rPr>
          <w:rFonts w:ascii="Arial" w:eastAsia="Arial" w:hAnsi="Arial" w:cs="Arial"/>
        </w:rPr>
        <w:lastRenderedPageBreak/>
        <w:br/>
        <w:t xml:space="preserve">More information on annual updates can be found on the NHSBSA website – for example: </w:t>
      </w:r>
      <w:hyperlink r:id="rId14" w:history="1">
        <w:r w:rsidR="00E54E2E">
          <w:rPr>
            <w:rStyle w:val="Hyperlink"/>
            <w:rFonts w:ascii="Arial" w:eastAsia="Arial" w:hAnsi="Arial" w:cs="Arial"/>
          </w:rPr>
          <w:t>‘BNF Code Changes January 2022’</w:t>
        </w:r>
      </w:hyperlink>
      <w:r w:rsidR="00987A04">
        <w:rPr>
          <w:rFonts w:ascii="Arial" w:eastAsia="Arial" w:hAnsi="Arial" w:cs="Arial"/>
        </w:rPr>
        <w:t xml:space="preserve">. </w:t>
      </w:r>
      <w:r w:rsidR="00987A04">
        <w:rPr>
          <w:rFonts w:ascii="Arial" w:eastAsia="Arial" w:hAnsi="Arial" w:cs="Arial"/>
        </w:rPr>
        <w:br/>
      </w:r>
      <w:r w:rsidR="00987A04">
        <w:rPr>
          <w:rFonts w:ascii="Arial" w:eastAsia="Arial" w:hAnsi="Arial" w:cs="Arial"/>
        </w:rPr>
        <w:br/>
        <w:t xml:space="preserve">The specific BNF Chapters, Sections, </w:t>
      </w:r>
      <w:r w:rsidR="00F85E0C">
        <w:rPr>
          <w:rFonts w:ascii="Arial" w:eastAsia="Arial" w:hAnsi="Arial" w:cs="Arial"/>
        </w:rPr>
        <w:t>Paragraphs</w:t>
      </w:r>
      <w:r w:rsidR="008361B0">
        <w:rPr>
          <w:rFonts w:ascii="Arial" w:eastAsia="Arial" w:hAnsi="Arial" w:cs="Arial"/>
        </w:rPr>
        <w:t xml:space="preserve"> used for each metric are given below or in other specifications referred to below. Note that BNF classifications are based on a primary therapeutic area for a product and do not necessarily reflect the specific indication for a prescription.</w:t>
      </w:r>
    </w:p>
    <w:p w14:paraId="5CDCE5A6" w14:textId="42724D78" w:rsidR="00CF1E20" w:rsidRDefault="00CF1E20" w:rsidP="354681A9">
      <w:pPr>
        <w:pStyle w:val="Heading1"/>
        <w:numPr>
          <w:ilvl w:val="0"/>
          <w:numId w:val="11"/>
        </w:numPr>
        <w:rPr>
          <w:rFonts w:asciiTheme="minorHAnsi" w:hAnsiTheme="minorHAnsi" w:cstheme="minorBidi"/>
        </w:rPr>
      </w:pPr>
      <w:bookmarkStart w:id="4" w:name="_Toc172291516"/>
      <w:r w:rsidRPr="354681A9">
        <w:rPr>
          <w:rFonts w:asciiTheme="minorHAnsi" w:hAnsiTheme="minorHAnsi" w:cstheme="minorBidi"/>
        </w:rPr>
        <w:t>Secondary care prescribing metrics – general notes</w:t>
      </w:r>
      <w:bookmarkEnd w:id="4"/>
    </w:p>
    <w:p w14:paraId="34B59A8E" w14:textId="77777777" w:rsidR="00144458" w:rsidRDefault="000D4813" w:rsidP="00656F9E">
      <w:r w:rsidRPr="000D4813">
        <w:t xml:space="preserve">For the purpose of bringing all opportunities data together, this product features some secondary data care data which is licensed but not owned by NHSBSA. Secondary care data is collected, collated and standardised by Rx-info. The data is derived from multiple hospital sources (in-patient pharmacy system, homecare, FP10HNC, third-party out-patient provider, etc.) and results into a reportable dataset. NHSBSA receive bespoke data extracts which are then ingested into ePACT2. </w:t>
      </w:r>
    </w:p>
    <w:p w14:paraId="728B55AB" w14:textId="011DC41D" w:rsidR="00AD40BD" w:rsidRDefault="00AD40BD" w:rsidP="00EA38C4">
      <w:pPr>
        <w:spacing w:after="0" w:line="240" w:lineRule="auto"/>
      </w:pPr>
      <w:r w:rsidRPr="00AD40BD">
        <w:t>Specifically, data within this dashboard is pulled from two of the Rx-info packages, Define and Exend+. These packages derive from Trusts allowing data sharing within the NHS through national license agreements. Define has been designed to gather issues data about medicines used in hospitals and benchmark their use against others in a cohort. Exend+ monitors contract tendering and NHS contract adherence performance, through contract variance reporting.</w:t>
      </w:r>
    </w:p>
    <w:p w14:paraId="74324F0C" w14:textId="77777777" w:rsidR="00EA38C4" w:rsidRDefault="00EA38C4" w:rsidP="00EA38C4">
      <w:pPr>
        <w:spacing w:after="0" w:line="240" w:lineRule="auto"/>
      </w:pPr>
    </w:p>
    <w:p w14:paraId="75CBE527" w14:textId="3B7EF8CF" w:rsidR="00656F9E" w:rsidRDefault="00656F9E" w:rsidP="00656F9E">
      <w:r>
        <w:t xml:space="preserve">To prevent the disclosure of commercially confidential information at NHS Trust level, some information may be supressed (e.g., numerators and denominators behind the metric displaying the % of contract variance). </w:t>
      </w:r>
    </w:p>
    <w:p w14:paraId="466969EA" w14:textId="77777777" w:rsidR="003A24B1" w:rsidRDefault="003A24B1" w:rsidP="00656F9E">
      <w:r w:rsidRPr="003A24B1">
        <w:t xml:space="preserve">A few Trusts have missing data for this metric due to pharmacy stock control system integration issues with Exend+. Work is ongoing to remediate this. </w:t>
      </w:r>
    </w:p>
    <w:p w14:paraId="373CCF01" w14:textId="77777777" w:rsidR="003E4075" w:rsidRDefault="003E4075" w:rsidP="00656F9E">
      <w:r w:rsidRPr="003E4075">
        <w:t>A few Trusts might have small negative values (due to medicines returns) or other inconsistent data points in some months, these might be removed or suppressed to keep the metric within the expected range. These issues are noted in the supporting information for the relevant metrics.</w:t>
      </w:r>
    </w:p>
    <w:p w14:paraId="33A715FE" w14:textId="0F8FC2AD" w:rsidR="00BE3E18" w:rsidRPr="00BE3E18" w:rsidRDefault="008D22A7" w:rsidP="008D22A7">
      <w:r w:rsidRPr="008D22A7">
        <w:t xml:space="preserve">Rx-info </w:t>
      </w:r>
      <w:r w:rsidR="00BE3E18" w:rsidRPr="00BE3E18">
        <w:t xml:space="preserve">uses </w:t>
      </w:r>
      <w:hyperlink r:id="rId15" w:history="1">
        <w:r w:rsidR="00BE3E18" w:rsidRPr="00BE3E18">
          <w:rPr>
            <w:rStyle w:val="Hyperlink"/>
          </w:rPr>
          <w:t>current ODS portal published codes</w:t>
        </w:r>
      </w:hyperlink>
      <w:r w:rsidR="00BE3E18" w:rsidRPr="00BE3E18">
        <w:t xml:space="preserve"> and has merged organisations in accordance with current NHS structure. </w:t>
      </w:r>
      <w:r w:rsidR="008B2786" w:rsidRPr="008B2786">
        <w:t xml:space="preserve"> </w:t>
      </w:r>
      <w:r w:rsidR="008B2786">
        <w:t xml:space="preserve">For historic data, </w:t>
      </w:r>
      <w:r w:rsidR="008B2786" w:rsidRPr="00BE3E18">
        <w:t xml:space="preserve">Rx-info Define data extracts use </w:t>
      </w:r>
      <w:r w:rsidR="008B2786">
        <w:t xml:space="preserve">the </w:t>
      </w:r>
      <w:r w:rsidR="008B2786" w:rsidRPr="00BE3E18">
        <w:t>historic trust codes, for some of the metrics these have been mapped onto new trust</w:t>
      </w:r>
      <w:r w:rsidR="008B2786" w:rsidRPr="008D22A7">
        <w:t>.</w:t>
      </w:r>
    </w:p>
    <w:p w14:paraId="75439FA8" w14:textId="7DED7BF1" w:rsidR="00656F9E" w:rsidRDefault="00656F9E" w:rsidP="00656F9E">
      <w:r>
        <w:t xml:space="preserve">Data is revised in Rx-info, with the monthly updates reflecting the snapshot at the time of update. Each month, the time series is updated with the most recent data at the time of update. Extraction timings can explain discrepancies between the dashboard and data extracted directly from Rx-info at a different point in time. </w:t>
      </w:r>
      <w:r w:rsidR="00D76719" w:rsidRPr="00D76719">
        <w:t>Data is collated on a daily basis and backtracking of issues and purchases will take place in Define and Exend+</w:t>
      </w:r>
      <w:r w:rsidR="00D76719">
        <w:t xml:space="preserve">. </w:t>
      </w:r>
    </w:p>
    <w:p w14:paraId="1C6D3DB3" w14:textId="3E5EA017" w:rsidR="00D2673B" w:rsidRPr="00D76719" w:rsidRDefault="00961F23" w:rsidP="00961F23">
      <w:pPr>
        <w:pStyle w:val="Heading1"/>
        <w:rPr>
          <w:rFonts w:asciiTheme="minorHAnsi" w:hAnsiTheme="minorHAnsi" w:cstheme="minorBidi"/>
        </w:rPr>
      </w:pPr>
      <w:bookmarkStart w:id="5" w:name="_Toc172291517"/>
      <w:r w:rsidRPr="354681A9">
        <w:rPr>
          <w:rFonts w:asciiTheme="minorHAnsi" w:hAnsiTheme="minorHAnsi" w:cstheme="minorBidi"/>
        </w:rPr>
        <w:t>Approach to ranking organisations in terms of high and low opportunities</w:t>
      </w:r>
      <w:bookmarkEnd w:id="5"/>
    </w:p>
    <w:p w14:paraId="7C9DF026" w14:textId="475C5618" w:rsidR="00D2673B" w:rsidRDefault="00790019" w:rsidP="00D76719">
      <w:pPr>
        <w:keepNext/>
      </w:pPr>
      <w:r>
        <w:t>The Region and ICB pages offer a ranked view across all opportunities, this ranks organisations</w:t>
      </w:r>
      <w:r w:rsidR="00767D43">
        <w:t xml:space="preserve"> for each opportunity according to the value of their headline metric on a given period. Organisations or geographies are ranked according to the improvement direction of each metric – </w:t>
      </w:r>
      <w:r w:rsidR="00F14E2A">
        <w:t>this can be found in the table below.</w:t>
      </w:r>
      <w:r w:rsidR="00D2673B">
        <w:br/>
      </w:r>
      <w:r w:rsidR="00D2673B">
        <w:br/>
        <w:t>For example:</w:t>
      </w:r>
    </w:p>
    <w:p w14:paraId="43BFC811" w14:textId="3EC44515" w:rsidR="00F14E2A" w:rsidRDefault="00D2673B" w:rsidP="008D5598">
      <w:pPr>
        <w:pStyle w:val="ListParagraph"/>
        <w:numPr>
          <w:ilvl w:val="0"/>
          <w:numId w:val="43"/>
        </w:numPr>
      </w:pPr>
      <w:r>
        <w:t>For Problematic Polypharmacy (</w:t>
      </w:r>
      <w:r w:rsidRPr="008B3C3E">
        <w:rPr>
          <w:b/>
          <w:bCs w:val="0"/>
        </w:rPr>
        <w:t>Lower</w:t>
      </w:r>
      <w:r>
        <w:t xml:space="preserve">) a rank of 1 represents the </w:t>
      </w:r>
      <w:r w:rsidRPr="008B3C3E">
        <w:rPr>
          <w:b/>
          <w:bCs w:val="0"/>
        </w:rPr>
        <w:t>highest</w:t>
      </w:r>
      <w:r>
        <w:t xml:space="preserve"> metric value, and therefore the greatest scope for improvement. Higher ranks represent a lower scope for improvement.</w:t>
      </w:r>
    </w:p>
    <w:p w14:paraId="3E0FEA24" w14:textId="59CCCC55" w:rsidR="00D2673B" w:rsidRDefault="00D2673B" w:rsidP="008B3C3E">
      <w:pPr>
        <w:pStyle w:val="ListParagraph"/>
        <w:numPr>
          <w:ilvl w:val="0"/>
          <w:numId w:val="43"/>
        </w:numPr>
      </w:pPr>
      <w:r>
        <w:t xml:space="preserve">For </w:t>
      </w:r>
      <w:r w:rsidRPr="00D57B02">
        <w:t>Reducing course length of antimicrobial prescribing</w:t>
      </w:r>
      <w:r>
        <w:t xml:space="preserve"> (</w:t>
      </w:r>
      <w:r w:rsidRPr="008B3C3E">
        <w:rPr>
          <w:b/>
          <w:bCs w:val="0"/>
        </w:rPr>
        <w:t>Higher</w:t>
      </w:r>
      <w:r>
        <w:t xml:space="preserve">) a rank of 1 represents the </w:t>
      </w:r>
      <w:r w:rsidRPr="008B3C3E">
        <w:rPr>
          <w:b/>
          <w:bCs w:val="0"/>
        </w:rPr>
        <w:t>lowest</w:t>
      </w:r>
      <w:r>
        <w:t xml:space="preserve"> metric value, and therefore the greatest scope for improvement. Higher ranks represent a lower scope for improvement.</w:t>
      </w:r>
    </w:p>
    <w:p w14:paraId="190D2F25" w14:textId="03164089" w:rsidR="004314E1" w:rsidRDefault="00F14E2A" w:rsidP="00961F23">
      <w:r>
        <w:lastRenderedPageBreak/>
        <w:t xml:space="preserve">The ranked view can </w:t>
      </w:r>
      <w:r w:rsidR="009070E4">
        <w:t>provide a relative view of which opportunities have the highest scope of improvement</w:t>
      </w:r>
      <w:r w:rsidR="00D2673B">
        <w:t xml:space="preserve"> in relation to other organisations. The metric value view can show the absolute value and the size of differences between organisations</w:t>
      </w:r>
      <w:r w:rsidR="009070E4">
        <w:t xml:space="preserve">. </w:t>
      </w:r>
    </w:p>
    <w:p w14:paraId="301FF6C4" w14:textId="1E301AB8" w:rsidR="002A75B6" w:rsidRDefault="004314E1" w:rsidP="00961F23">
      <w:r>
        <w:t xml:space="preserve">Note that we do not expect this to be read in isolation. </w:t>
      </w:r>
      <w:r w:rsidR="009070E4">
        <w:t xml:space="preserve">In some instances, it will be </w:t>
      </w:r>
      <w:r>
        <w:t>relevant</w:t>
      </w:r>
      <w:r w:rsidR="009070E4">
        <w:t xml:space="preserve"> to compare the trend of a specific organisation to assess the </w:t>
      </w:r>
      <w:r w:rsidR="006D03C0">
        <w:t xml:space="preserve">trajectory of </w:t>
      </w:r>
      <w:r w:rsidR="00D2673B">
        <w:t>the metric for an</w:t>
      </w:r>
      <w:r w:rsidR="006D03C0">
        <w:t xml:space="preserve"> opportunity</w:t>
      </w:r>
      <w:r>
        <w:t>, or</w:t>
      </w:r>
      <w:r w:rsidR="006D03C0">
        <w:t xml:space="preserve"> </w:t>
      </w:r>
      <w:r>
        <w:t>to compare a selected organisation or geography to similar peers</w:t>
      </w:r>
      <w:r w:rsidR="00D2673B">
        <w:t xml:space="preserve"> – see the next section for more information.</w:t>
      </w:r>
    </w:p>
    <w:tbl>
      <w:tblPr>
        <w:tblStyle w:val="TableGrid"/>
        <w:tblW w:w="0" w:type="auto"/>
        <w:tblLook w:val="04A0" w:firstRow="1" w:lastRow="0" w:firstColumn="1" w:lastColumn="0" w:noHBand="0" w:noVBand="1"/>
      </w:tblPr>
      <w:tblGrid>
        <w:gridCol w:w="3603"/>
        <w:gridCol w:w="3763"/>
        <w:gridCol w:w="1650"/>
      </w:tblGrid>
      <w:tr w:rsidR="00D57B02" w:rsidRPr="00D57B02" w14:paraId="6285BF3A" w14:textId="77777777" w:rsidTr="004A7C9D">
        <w:trPr>
          <w:trHeight w:val="288"/>
        </w:trPr>
        <w:tc>
          <w:tcPr>
            <w:tcW w:w="3603" w:type="dxa"/>
            <w:noWrap/>
            <w:hideMark/>
          </w:tcPr>
          <w:p w14:paraId="5E0E1E5E" w14:textId="0A2BA992" w:rsidR="00D57B02" w:rsidRPr="004A7C9D" w:rsidRDefault="00D57B02">
            <w:pPr>
              <w:rPr>
                <w:b/>
                <w:bCs w:val="0"/>
              </w:rPr>
            </w:pPr>
            <w:r w:rsidRPr="004A7C9D">
              <w:rPr>
                <w:b/>
                <w:bCs w:val="0"/>
              </w:rPr>
              <w:t>Opportunity</w:t>
            </w:r>
          </w:p>
        </w:tc>
        <w:tc>
          <w:tcPr>
            <w:tcW w:w="3763" w:type="dxa"/>
            <w:noWrap/>
            <w:hideMark/>
          </w:tcPr>
          <w:p w14:paraId="5EAFE891" w14:textId="3FE89334" w:rsidR="00D57B02" w:rsidRPr="004A7C9D" w:rsidRDefault="00D57B02">
            <w:pPr>
              <w:rPr>
                <w:b/>
                <w:bCs w:val="0"/>
              </w:rPr>
            </w:pPr>
            <w:r w:rsidRPr="004A7C9D">
              <w:rPr>
                <w:b/>
                <w:bCs w:val="0"/>
              </w:rPr>
              <w:t>Headline metric</w:t>
            </w:r>
          </w:p>
        </w:tc>
        <w:tc>
          <w:tcPr>
            <w:tcW w:w="1650" w:type="dxa"/>
            <w:noWrap/>
            <w:hideMark/>
          </w:tcPr>
          <w:p w14:paraId="1D79FC83" w14:textId="56E0D8E0" w:rsidR="00D57B02" w:rsidRPr="004A7C9D" w:rsidRDefault="00D57B02">
            <w:pPr>
              <w:rPr>
                <w:b/>
                <w:bCs w:val="0"/>
              </w:rPr>
            </w:pPr>
            <w:r w:rsidRPr="004A7C9D">
              <w:rPr>
                <w:b/>
                <w:bCs w:val="0"/>
              </w:rPr>
              <w:t>Improvement direction</w:t>
            </w:r>
          </w:p>
        </w:tc>
      </w:tr>
      <w:tr w:rsidR="00D57B02" w:rsidRPr="00D57B02" w14:paraId="3D89901F" w14:textId="77777777" w:rsidTr="004A7C9D">
        <w:trPr>
          <w:trHeight w:val="288"/>
        </w:trPr>
        <w:tc>
          <w:tcPr>
            <w:tcW w:w="3603" w:type="dxa"/>
            <w:noWrap/>
            <w:hideMark/>
          </w:tcPr>
          <w:p w14:paraId="7C3EC3D3" w14:textId="77777777" w:rsidR="00D57B02" w:rsidRPr="00D57B02" w:rsidRDefault="00D57B02">
            <w:r w:rsidRPr="00D57B02">
              <w:t>Addressing problematic polypharmacy</w:t>
            </w:r>
          </w:p>
        </w:tc>
        <w:tc>
          <w:tcPr>
            <w:tcW w:w="3763" w:type="dxa"/>
            <w:noWrap/>
            <w:hideMark/>
          </w:tcPr>
          <w:p w14:paraId="0EEB70C3" w14:textId="77777777" w:rsidR="00D57B02" w:rsidRPr="00D57B02" w:rsidRDefault="00D57B02">
            <w:r w:rsidRPr="00D57B02">
              <w:t>Percentage of patients aged 75 and over on 10 or more unique medicines</w:t>
            </w:r>
          </w:p>
        </w:tc>
        <w:tc>
          <w:tcPr>
            <w:tcW w:w="1650" w:type="dxa"/>
            <w:noWrap/>
            <w:hideMark/>
          </w:tcPr>
          <w:p w14:paraId="7951AD19" w14:textId="77777777" w:rsidR="00D57B02" w:rsidRPr="00D57B02" w:rsidRDefault="00D57B02">
            <w:r w:rsidRPr="00D57B02">
              <w:t>Lower</w:t>
            </w:r>
          </w:p>
        </w:tc>
      </w:tr>
      <w:tr w:rsidR="00D57B02" w:rsidRPr="00D57B02" w14:paraId="53C6039B" w14:textId="77777777" w:rsidTr="004A7C9D">
        <w:trPr>
          <w:trHeight w:val="288"/>
        </w:trPr>
        <w:tc>
          <w:tcPr>
            <w:tcW w:w="3603" w:type="dxa"/>
            <w:noWrap/>
            <w:hideMark/>
          </w:tcPr>
          <w:p w14:paraId="0A5BBD22" w14:textId="77777777" w:rsidR="00D57B02" w:rsidRPr="00D57B02" w:rsidRDefault="00D57B02">
            <w:r w:rsidRPr="00D57B02">
              <w:t>Improving valproate safety</w:t>
            </w:r>
          </w:p>
        </w:tc>
        <w:tc>
          <w:tcPr>
            <w:tcW w:w="3763" w:type="dxa"/>
            <w:noWrap/>
            <w:hideMark/>
          </w:tcPr>
          <w:p w14:paraId="7C737E57" w14:textId="77777777" w:rsidR="00D57B02" w:rsidRPr="00D57B02" w:rsidRDefault="00D57B02">
            <w:r w:rsidRPr="00D57B02">
              <w:t>Number of female patients prescribed valproate per 1,000 population</w:t>
            </w:r>
          </w:p>
        </w:tc>
        <w:tc>
          <w:tcPr>
            <w:tcW w:w="1650" w:type="dxa"/>
            <w:noWrap/>
            <w:hideMark/>
          </w:tcPr>
          <w:p w14:paraId="75C2CA43" w14:textId="77777777" w:rsidR="00D57B02" w:rsidRPr="00D57B02" w:rsidRDefault="00D57B02">
            <w:r w:rsidRPr="00D57B02">
              <w:t>Lower</w:t>
            </w:r>
          </w:p>
        </w:tc>
      </w:tr>
      <w:tr w:rsidR="00D57B02" w:rsidRPr="00D57B02" w14:paraId="0B0E9E13" w14:textId="77777777" w:rsidTr="004A7C9D">
        <w:trPr>
          <w:trHeight w:val="288"/>
        </w:trPr>
        <w:tc>
          <w:tcPr>
            <w:tcW w:w="3603" w:type="dxa"/>
            <w:noWrap/>
            <w:hideMark/>
          </w:tcPr>
          <w:p w14:paraId="554ECD70" w14:textId="77777777" w:rsidR="00D57B02" w:rsidRPr="00D57B02" w:rsidRDefault="00D57B02">
            <w:r w:rsidRPr="00D57B02">
              <w:t>Addressing low priority prescribing</w:t>
            </w:r>
          </w:p>
        </w:tc>
        <w:tc>
          <w:tcPr>
            <w:tcW w:w="3763" w:type="dxa"/>
            <w:noWrap/>
            <w:hideMark/>
          </w:tcPr>
          <w:p w14:paraId="4B2C1D66" w14:textId="77777777" w:rsidR="00D57B02" w:rsidRPr="00D57B02" w:rsidRDefault="00D57B02">
            <w:r w:rsidRPr="00D57B02">
              <w:t>Total cost per 1,000 registered patients for NHS England low priority treatments</w:t>
            </w:r>
          </w:p>
        </w:tc>
        <w:tc>
          <w:tcPr>
            <w:tcW w:w="1650" w:type="dxa"/>
            <w:noWrap/>
            <w:hideMark/>
          </w:tcPr>
          <w:p w14:paraId="7670B87B" w14:textId="77777777" w:rsidR="00D57B02" w:rsidRPr="00D57B02" w:rsidRDefault="00D57B02">
            <w:r w:rsidRPr="00D57B02">
              <w:t>Lower</w:t>
            </w:r>
          </w:p>
        </w:tc>
      </w:tr>
      <w:tr w:rsidR="00D57B02" w:rsidRPr="00D57B02" w14:paraId="0C95E187" w14:textId="77777777" w:rsidTr="004A7C9D">
        <w:trPr>
          <w:trHeight w:val="288"/>
        </w:trPr>
        <w:tc>
          <w:tcPr>
            <w:tcW w:w="3603" w:type="dxa"/>
            <w:noWrap/>
            <w:hideMark/>
          </w:tcPr>
          <w:p w14:paraId="1A441275" w14:textId="77777777" w:rsidR="00D57B02" w:rsidRPr="00D57B02" w:rsidRDefault="00D57B02">
            <w:r w:rsidRPr="00D57B02">
              <w:t>Appropriate prescribing and supply of blood glucose and ketone meters, and testing strips</w:t>
            </w:r>
          </w:p>
        </w:tc>
        <w:tc>
          <w:tcPr>
            <w:tcW w:w="3763" w:type="dxa"/>
            <w:noWrap/>
            <w:hideMark/>
          </w:tcPr>
          <w:p w14:paraId="4084E0E1" w14:textId="77777777" w:rsidR="00D57B02" w:rsidRPr="00D57B02" w:rsidRDefault="00D57B02">
            <w:r w:rsidRPr="00D57B02">
              <w:t>Percentage of spend on recommended blood glucose and ketone testing strips for 12-month rolling period</w:t>
            </w:r>
          </w:p>
        </w:tc>
        <w:tc>
          <w:tcPr>
            <w:tcW w:w="1650" w:type="dxa"/>
            <w:noWrap/>
            <w:hideMark/>
          </w:tcPr>
          <w:p w14:paraId="44B3F16D" w14:textId="77777777" w:rsidR="00D57B02" w:rsidRPr="00D57B02" w:rsidRDefault="00D57B02">
            <w:r w:rsidRPr="00D57B02">
              <w:t>Higher</w:t>
            </w:r>
          </w:p>
        </w:tc>
      </w:tr>
      <w:tr w:rsidR="00D57B02" w:rsidRPr="00D57B02" w14:paraId="3E26BF98" w14:textId="77777777" w:rsidTr="004A7C9D">
        <w:trPr>
          <w:trHeight w:val="288"/>
        </w:trPr>
        <w:tc>
          <w:tcPr>
            <w:tcW w:w="3603" w:type="dxa"/>
            <w:noWrap/>
            <w:hideMark/>
          </w:tcPr>
          <w:p w14:paraId="6556AA4B" w14:textId="77777777" w:rsidR="00D57B02" w:rsidRPr="00D57B02" w:rsidRDefault="00D57B02">
            <w:r w:rsidRPr="00D57B02">
              <w:t>Improving respiratory outcomes while reducing the carbon emissions from inhalers</w:t>
            </w:r>
          </w:p>
        </w:tc>
        <w:tc>
          <w:tcPr>
            <w:tcW w:w="3763" w:type="dxa"/>
            <w:noWrap/>
            <w:hideMark/>
          </w:tcPr>
          <w:p w14:paraId="48CFF316" w14:textId="77777777" w:rsidR="00D57B02" w:rsidRPr="00D57B02" w:rsidRDefault="00D57B02">
            <w:r w:rsidRPr="00D57B02">
              <w:t>Greenhouse gas emissions (kgCO2e) from   inhalers per patient</w:t>
            </w:r>
          </w:p>
        </w:tc>
        <w:tc>
          <w:tcPr>
            <w:tcW w:w="1650" w:type="dxa"/>
            <w:noWrap/>
            <w:hideMark/>
          </w:tcPr>
          <w:p w14:paraId="6CAD65C9" w14:textId="77777777" w:rsidR="00D57B02" w:rsidRPr="00D57B02" w:rsidRDefault="00D57B02">
            <w:r w:rsidRPr="00D57B02">
              <w:t>Lower</w:t>
            </w:r>
          </w:p>
        </w:tc>
      </w:tr>
      <w:tr w:rsidR="00D57B02" w:rsidRPr="00D57B02" w14:paraId="16E8AB8C" w14:textId="77777777" w:rsidTr="004A7C9D">
        <w:trPr>
          <w:trHeight w:val="288"/>
        </w:trPr>
        <w:tc>
          <w:tcPr>
            <w:tcW w:w="3603" w:type="dxa"/>
            <w:noWrap/>
            <w:hideMark/>
          </w:tcPr>
          <w:p w14:paraId="11685F65" w14:textId="77777777" w:rsidR="00D57B02" w:rsidRPr="00D57B02" w:rsidRDefault="00D57B02">
            <w:r w:rsidRPr="00D57B02">
              <w:t>Reducing course length of antimicrobial prescribing</w:t>
            </w:r>
          </w:p>
        </w:tc>
        <w:tc>
          <w:tcPr>
            <w:tcW w:w="3763" w:type="dxa"/>
            <w:noWrap/>
            <w:hideMark/>
          </w:tcPr>
          <w:p w14:paraId="6C2050B3" w14:textId="77777777" w:rsidR="00D57B02" w:rsidRPr="00D57B02" w:rsidRDefault="00D57B02">
            <w:r w:rsidRPr="00D57B02">
              <w:t>Percentage of shorter (5-day) antibiotic courses</w:t>
            </w:r>
          </w:p>
        </w:tc>
        <w:tc>
          <w:tcPr>
            <w:tcW w:w="1650" w:type="dxa"/>
            <w:noWrap/>
            <w:hideMark/>
          </w:tcPr>
          <w:p w14:paraId="2EC4C6E8" w14:textId="77777777" w:rsidR="00D57B02" w:rsidRPr="00D57B02" w:rsidRDefault="00D57B02">
            <w:r w:rsidRPr="00D57B02">
              <w:t>Higher</w:t>
            </w:r>
          </w:p>
        </w:tc>
      </w:tr>
      <w:tr w:rsidR="00D57B02" w:rsidRPr="00D57B02" w14:paraId="76B04C40" w14:textId="77777777" w:rsidTr="004A7C9D">
        <w:trPr>
          <w:trHeight w:val="288"/>
        </w:trPr>
        <w:tc>
          <w:tcPr>
            <w:tcW w:w="3603" w:type="dxa"/>
            <w:noWrap/>
            <w:hideMark/>
          </w:tcPr>
          <w:p w14:paraId="463D0A66" w14:textId="77777777" w:rsidR="00D57B02" w:rsidRPr="00D57B02" w:rsidRDefault="00D57B02">
            <w:r w:rsidRPr="00D57B02">
              <w:t>Switching intravenous antibiotics to oral</w:t>
            </w:r>
          </w:p>
        </w:tc>
        <w:tc>
          <w:tcPr>
            <w:tcW w:w="3763" w:type="dxa"/>
            <w:noWrap/>
            <w:hideMark/>
          </w:tcPr>
          <w:p w14:paraId="2EC4C100" w14:textId="77777777" w:rsidR="00D57B02" w:rsidRPr="00D57B02" w:rsidRDefault="00D57B02">
            <w:r w:rsidRPr="00D57B02">
              <w:t>Proportion of total antibiotic treatment days administered intravenously</w:t>
            </w:r>
          </w:p>
        </w:tc>
        <w:tc>
          <w:tcPr>
            <w:tcW w:w="1650" w:type="dxa"/>
            <w:noWrap/>
            <w:hideMark/>
          </w:tcPr>
          <w:p w14:paraId="4D2CDD96" w14:textId="77777777" w:rsidR="00D57B02" w:rsidRPr="00D57B02" w:rsidRDefault="00D57B02">
            <w:r w:rsidRPr="00D57B02">
              <w:t>Lower</w:t>
            </w:r>
          </w:p>
        </w:tc>
      </w:tr>
      <w:tr w:rsidR="00D57B02" w:rsidRPr="00D57B02" w14:paraId="14C53820" w14:textId="77777777" w:rsidTr="004A7C9D">
        <w:trPr>
          <w:trHeight w:val="288"/>
        </w:trPr>
        <w:tc>
          <w:tcPr>
            <w:tcW w:w="3603" w:type="dxa"/>
            <w:noWrap/>
            <w:hideMark/>
          </w:tcPr>
          <w:p w14:paraId="5316B187" w14:textId="77777777" w:rsidR="00D57B02" w:rsidRPr="00D57B02" w:rsidRDefault="00D57B02">
            <w:r w:rsidRPr="00D57B02">
              <w:t>Obtaining secondary care medicines in line with NHS England commercial medicines framework agreements</w:t>
            </w:r>
          </w:p>
        </w:tc>
        <w:tc>
          <w:tcPr>
            <w:tcW w:w="3763" w:type="dxa"/>
            <w:noWrap/>
            <w:hideMark/>
          </w:tcPr>
          <w:p w14:paraId="28A57178" w14:textId="77777777" w:rsidR="00D57B02" w:rsidRPr="00D57B02" w:rsidRDefault="00D57B02">
            <w:r w:rsidRPr="00D57B02">
              <w:t>Contract variance as a percentage of total spend</w:t>
            </w:r>
          </w:p>
        </w:tc>
        <w:tc>
          <w:tcPr>
            <w:tcW w:w="1650" w:type="dxa"/>
            <w:noWrap/>
            <w:hideMark/>
          </w:tcPr>
          <w:p w14:paraId="6DFED1DF" w14:textId="77777777" w:rsidR="00D57B02" w:rsidRPr="00D57B02" w:rsidRDefault="00D57B02">
            <w:r w:rsidRPr="00D57B02">
              <w:t>Lower</w:t>
            </w:r>
          </w:p>
        </w:tc>
      </w:tr>
      <w:tr w:rsidR="00D57B02" w:rsidRPr="00D57B02" w14:paraId="358975A2" w14:textId="77777777" w:rsidTr="004A7C9D">
        <w:trPr>
          <w:trHeight w:val="288"/>
        </w:trPr>
        <w:tc>
          <w:tcPr>
            <w:tcW w:w="3603" w:type="dxa"/>
            <w:noWrap/>
            <w:hideMark/>
          </w:tcPr>
          <w:p w14:paraId="4927DF44" w14:textId="77777777" w:rsidR="00D57B02" w:rsidRPr="00D57B02" w:rsidRDefault="00D57B02">
            <w:r w:rsidRPr="00D57B02">
              <w:t>Reducing opioid use in chronic non-cancer pain</w:t>
            </w:r>
          </w:p>
        </w:tc>
        <w:tc>
          <w:tcPr>
            <w:tcW w:w="3763" w:type="dxa"/>
            <w:noWrap/>
            <w:hideMark/>
          </w:tcPr>
          <w:p w14:paraId="19AD02D4" w14:textId="77777777" w:rsidR="00D57B02" w:rsidRPr="00D57B02" w:rsidRDefault="00D57B02">
            <w:r w:rsidRPr="00D57B02">
              <w:t>Patients aged 18+ currently prescribed an oral or transdermal opioid for more than three months per 1,000 patients in GP list</w:t>
            </w:r>
          </w:p>
        </w:tc>
        <w:tc>
          <w:tcPr>
            <w:tcW w:w="1650" w:type="dxa"/>
            <w:noWrap/>
            <w:hideMark/>
          </w:tcPr>
          <w:p w14:paraId="1D5251AA" w14:textId="77777777" w:rsidR="00D57B02" w:rsidRPr="00D57B02" w:rsidRDefault="00D57B02">
            <w:r w:rsidRPr="00D57B02">
              <w:t>Lower</w:t>
            </w:r>
          </w:p>
        </w:tc>
      </w:tr>
      <w:tr w:rsidR="00D57B02" w:rsidRPr="00D57B02" w14:paraId="40A56BCC" w14:textId="77777777" w:rsidTr="004A7C9D">
        <w:trPr>
          <w:trHeight w:val="288"/>
        </w:trPr>
        <w:tc>
          <w:tcPr>
            <w:tcW w:w="3603" w:type="dxa"/>
            <w:noWrap/>
            <w:hideMark/>
          </w:tcPr>
          <w:p w14:paraId="5F134A51" w14:textId="77777777" w:rsidR="00D57B02" w:rsidRPr="00D57B02" w:rsidRDefault="00D57B02">
            <w:r w:rsidRPr="00D57B02">
              <w:t>Patients using best value direct-acting oral anticoagulants</w:t>
            </w:r>
          </w:p>
        </w:tc>
        <w:tc>
          <w:tcPr>
            <w:tcW w:w="3763" w:type="dxa"/>
            <w:noWrap/>
            <w:hideMark/>
          </w:tcPr>
          <w:p w14:paraId="0216FC7E" w14:textId="77777777" w:rsidR="00D57B02" w:rsidRPr="00D57B02" w:rsidRDefault="00D57B02">
            <w:r w:rsidRPr="00D57B02">
              <w:t>Percentage of direct-acting oral anticoagulant prescription items that were generic apixaban</w:t>
            </w:r>
          </w:p>
        </w:tc>
        <w:tc>
          <w:tcPr>
            <w:tcW w:w="1650" w:type="dxa"/>
            <w:noWrap/>
            <w:hideMark/>
          </w:tcPr>
          <w:p w14:paraId="46E112F0" w14:textId="77777777" w:rsidR="00D57B02" w:rsidRPr="00D57B02" w:rsidRDefault="00D57B02">
            <w:r w:rsidRPr="00D57B02">
              <w:t>Higher</w:t>
            </w:r>
          </w:p>
        </w:tc>
      </w:tr>
      <w:tr w:rsidR="00D57B02" w:rsidRPr="00D57B02" w14:paraId="1E8995BE" w14:textId="77777777" w:rsidTr="004A7C9D">
        <w:trPr>
          <w:trHeight w:val="288"/>
        </w:trPr>
        <w:tc>
          <w:tcPr>
            <w:tcW w:w="3603" w:type="dxa"/>
            <w:noWrap/>
            <w:hideMark/>
          </w:tcPr>
          <w:p w14:paraId="7A5AFE02" w14:textId="77777777" w:rsidR="00D57B02" w:rsidRPr="00D57B02" w:rsidRDefault="00D57B02">
            <w:r w:rsidRPr="00D57B02">
              <w:t>Using best value biologic medicines in line with NHS England commissioning recommendations</w:t>
            </w:r>
          </w:p>
        </w:tc>
        <w:tc>
          <w:tcPr>
            <w:tcW w:w="3763" w:type="dxa"/>
            <w:noWrap/>
            <w:hideMark/>
          </w:tcPr>
          <w:p w14:paraId="0FCF836C" w14:textId="77777777" w:rsidR="00D57B02" w:rsidRPr="00D57B02" w:rsidRDefault="00D57B02">
            <w:r w:rsidRPr="00D57B02">
              <w:t>Biosimilar share of ranibizumab singles</w:t>
            </w:r>
          </w:p>
        </w:tc>
        <w:tc>
          <w:tcPr>
            <w:tcW w:w="1650" w:type="dxa"/>
            <w:noWrap/>
            <w:hideMark/>
          </w:tcPr>
          <w:p w14:paraId="26F180E8" w14:textId="77777777" w:rsidR="00D57B02" w:rsidRPr="00D57B02" w:rsidRDefault="00D57B02">
            <w:r w:rsidRPr="00D57B02">
              <w:t>Higher</w:t>
            </w:r>
          </w:p>
        </w:tc>
      </w:tr>
    </w:tbl>
    <w:p w14:paraId="1D83467A" w14:textId="77777777" w:rsidR="00BE6236" w:rsidRDefault="00BE6236" w:rsidP="00961F23"/>
    <w:p w14:paraId="094503D9" w14:textId="6EED99AE" w:rsidR="00D2673B" w:rsidRDefault="00D2673B" w:rsidP="00961F23">
      <w:pPr>
        <w:pStyle w:val="Heading1"/>
      </w:pPr>
      <w:bookmarkStart w:id="6" w:name="_Toc172291518"/>
      <w:r>
        <w:t>Selecting peer groups for comparison</w:t>
      </w:r>
      <w:bookmarkEnd w:id="6"/>
    </w:p>
    <w:p w14:paraId="63BDA637" w14:textId="2D228CC2" w:rsidR="00D2673B" w:rsidRDefault="00D2673B" w:rsidP="008D5598">
      <w:pPr>
        <w:spacing w:after="0" w:line="240" w:lineRule="auto"/>
      </w:pPr>
      <w:r>
        <w:t>The dashboard offers an ICB Comparison view that enable analysis of many comparators across many ICBs together. On this page there are prompts that enable the user to choose a set of ICBs and Comparators.</w:t>
      </w:r>
      <w:r w:rsidR="00C05B75">
        <w:br/>
      </w:r>
      <w:r>
        <w:br/>
      </w:r>
      <w:r w:rsidR="00280DA9">
        <w:t xml:space="preserve">Any set of ICBs can be selected but a User may prefer to select ICB from their region, or to consult information on “similar 10” organisations based on information available in the </w:t>
      </w:r>
      <w:hyperlink r:id="rId16" w:history="1">
        <w:r w:rsidR="00280DA9">
          <w:rPr>
            <w:rStyle w:val="Hyperlink"/>
          </w:rPr>
          <w:t>NHS RightCare Methods Toolbox in FutureNHS</w:t>
        </w:r>
      </w:hyperlink>
      <w:r w:rsidR="00280DA9">
        <w:t xml:space="preserve">. </w:t>
      </w:r>
    </w:p>
    <w:p w14:paraId="01BD0914" w14:textId="77777777" w:rsidR="007C5C9A" w:rsidRDefault="007C5C9A" w:rsidP="008D5598">
      <w:pPr>
        <w:spacing w:after="0" w:line="240" w:lineRule="auto"/>
      </w:pPr>
    </w:p>
    <w:p w14:paraId="5F33FB93" w14:textId="59DC2516" w:rsidR="00C05B75" w:rsidRDefault="00280DA9" w:rsidP="008D5598">
      <w:pPr>
        <w:spacing w:after="0" w:line="240" w:lineRule="auto"/>
      </w:pPr>
      <w:r>
        <w:t xml:space="preserve">Users who have </w:t>
      </w:r>
      <w:r w:rsidR="00C05B75">
        <w:t>selected a</w:t>
      </w:r>
      <w:r>
        <w:t xml:space="preserve"> preferred peer group may find the ePACT2 “Save</w:t>
      </w:r>
      <w:r w:rsidR="00C05B75">
        <w:t xml:space="preserve"> Current Customisation” option useful so they can easily return to previously selected groups. This can be after selecting the preferred ICBs and Metrics by using the “Gear” icon towards the top </w:t>
      </w:r>
      <w:r w:rsidR="007C5C9A">
        <w:t>right-hand</w:t>
      </w:r>
      <w:r w:rsidR="00C05B75">
        <w:t xml:space="preserve"> corner of the ePACT2 screen.</w:t>
      </w:r>
    </w:p>
    <w:p w14:paraId="4F82E66D" w14:textId="14641987" w:rsidR="00280DA9" w:rsidRPr="00D2673B" w:rsidRDefault="00C05B75" w:rsidP="005377C6">
      <w:pPr>
        <w:spacing w:after="0" w:line="240" w:lineRule="auto"/>
        <w:jc w:val="center"/>
      </w:pPr>
      <w:r>
        <w:lastRenderedPageBreak/>
        <w:br/>
      </w:r>
      <w:r w:rsidRPr="00C05B75">
        <w:rPr>
          <w:noProof/>
        </w:rPr>
        <w:drawing>
          <wp:inline distT="0" distB="0" distL="0" distR="0" wp14:anchorId="27A6D1BE" wp14:editId="748D4ED2">
            <wp:extent cx="2378484" cy="1696720"/>
            <wp:effectExtent l="19050" t="19050" r="22225" b="17780"/>
            <wp:docPr id="153914527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45276" name="Picture 1" descr="A screenshot of a computer&#10;&#10;Description automatically generated"/>
                    <pic:cNvPicPr/>
                  </pic:nvPicPr>
                  <pic:blipFill>
                    <a:blip r:embed="rId17"/>
                    <a:stretch>
                      <a:fillRect/>
                    </a:stretch>
                  </pic:blipFill>
                  <pic:spPr>
                    <a:xfrm>
                      <a:off x="0" y="0"/>
                      <a:ext cx="2381548" cy="1698905"/>
                    </a:xfrm>
                    <a:prstGeom prst="rect">
                      <a:avLst/>
                    </a:prstGeom>
                    <a:ln w="15875">
                      <a:solidFill>
                        <a:schemeClr val="accent1"/>
                      </a:solidFill>
                    </a:ln>
                  </pic:spPr>
                </pic:pic>
              </a:graphicData>
            </a:graphic>
          </wp:inline>
        </w:drawing>
      </w:r>
      <w:r>
        <w:br/>
      </w:r>
    </w:p>
    <w:p w14:paraId="1E2F79C2" w14:textId="460F8938" w:rsidR="00961F23" w:rsidRDefault="00961F23" w:rsidP="00961F23">
      <w:pPr>
        <w:pStyle w:val="Heading1"/>
      </w:pPr>
      <w:bookmarkStart w:id="7" w:name="_Toc172291519"/>
      <w:r>
        <w:t xml:space="preserve">Thresholds for </w:t>
      </w:r>
      <w:r w:rsidR="00494446">
        <w:t xml:space="preserve">highlighting </w:t>
      </w:r>
      <w:r>
        <w:t>high and low opportunit</w:t>
      </w:r>
      <w:r w:rsidR="00494446">
        <w:t>y organisations</w:t>
      </w:r>
      <w:bookmarkEnd w:id="7"/>
    </w:p>
    <w:p w14:paraId="6D2BCC6C" w14:textId="77777777" w:rsidR="00D82A8E" w:rsidRDefault="00D82A8E" w:rsidP="00D82A8E">
      <w:r>
        <w:t>Some of the dashboard sections show the number of organisations with “high” or “low” scope for improvement. This is based on a distribution of lower-level organisations nationally and depends on the set threshold which users can personalise.</w:t>
      </w:r>
    </w:p>
    <w:p w14:paraId="444E3F4C" w14:textId="209F1541" w:rsidR="00D82A8E" w:rsidRDefault="00D82A8E" w:rsidP="00D82A8E">
      <w:r>
        <w:t>For the example of a</w:t>
      </w:r>
      <w:r w:rsidRPr="004C061B">
        <w:t>ddressing problematic polypharmacy</w:t>
      </w:r>
      <w:r>
        <w:t xml:space="preserve">, with a </w:t>
      </w:r>
      <w:r w:rsidR="00C05B75">
        <w:t xml:space="preserve">chosen </w:t>
      </w:r>
      <w:r>
        <w:t>threshold of 20%:</w:t>
      </w:r>
    </w:p>
    <w:p w14:paraId="08DF2E64" w14:textId="5E41AB7B" w:rsidR="00D82A8E" w:rsidRDefault="00D82A8E" w:rsidP="00D82A8E">
      <w:r>
        <w:t xml:space="preserve">The organisations classed as “high scope for improvement” will be those on the top 20% of the </w:t>
      </w:r>
      <w:r w:rsidR="00C05B75">
        <w:t xml:space="preserve">national </w:t>
      </w:r>
      <w:r>
        <w:t xml:space="preserve">distribution of the percentage of patients aged 75 and over on 10 or more unique medicines, across all practices in England. </w:t>
      </w:r>
      <w:r>
        <w:br/>
      </w:r>
      <w:r>
        <w:br/>
      </w:r>
      <w:r w:rsidR="1682DE30">
        <w:t xml:space="preserve">Note that as the thresholds are set based on the national distribution of trusts or primary care prescribing cost centres it is possible for an ICB to have no </w:t>
      </w:r>
      <w:r w:rsidR="14CDDC79">
        <w:t>sub-</w:t>
      </w:r>
      <w:r w:rsidR="1682DE30">
        <w:t>organisations above the upper or below t</w:t>
      </w:r>
      <w:r w:rsidR="2B896199">
        <w:t>he lower level.</w:t>
      </w:r>
      <w:r>
        <w:br/>
      </w:r>
      <w:r>
        <w:br/>
      </w:r>
      <w:r w:rsidR="00C05B75">
        <w:t>The ICB Organisations page demonstrates this distribution and the classification of the low level organisations</w:t>
      </w:r>
      <w:r w:rsidR="000D298D">
        <w:t xml:space="preserve"> within the selected ICB.</w:t>
      </w:r>
      <w:r>
        <w:br/>
      </w:r>
      <w:r w:rsidR="00C05B75">
        <w:rPr>
          <w:noProof/>
        </w:rPr>
        <w:drawing>
          <wp:inline distT="0" distB="0" distL="0" distR="0" wp14:anchorId="471B5517" wp14:editId="15FDE1BC">
            <wp:extent cx="5731510" cy="3069590"/>
            <wp:effectExtent l="19050" t="19050" r="21590" b="16510"/>
            <wp:docPr id="20391261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5731510" cy="3069590"/>
                    </a:xfrm>
                    <a:prstGeom prst="rect">
                      <a:avLst/>
                    </a:prstGeom>
                    <a:ln w="15875">
                      <a:solidFill>
                        <a:schemeClr val="accent1"/>
                      </a:solidFill>
                    </a:ln>
                  </pic:spPr>
                </pic:pic>
              </a:graphicData>
            </a:graphic>
          </wp:inline>
        </w:drawing>
      </w:r>
      <w:r>
        <w:br/>
      </w:r>
      <w:r>
        <w:br/>
      </w:r>
      <w:r w:rsidR="00C05B75">
        <w:t>Choosing a lower Threshold Percentile will highlight practices that are further towards the top or bottom of the distribution. For example, choosing 5% for this metric</w:t>
      </w:r>
      <w:r w:rsidR="000D298D">
        <w:t xml:space="preserve"> highlights a smaller number of practices.</w:t>
      </w:r>
      <w:r>
        <w:br/>
      </w:r>
      <w:r w:rsidR="000D298D">
        <w:rPr>
          <w:noProof/>
        </w:rPr>
        <w:lastRenderedPageBreak/>
        <w:drawing>
          <wp:inline distT="0" distB="0" distL="0" distR="0" wp14:anchorId="01E7922C" wp14:editId="28C23847">
            <wp:extent cx="5731510" cy="2757805"/>
            <wp:effectExtent l="19050" t="19050" r="21590" b="23495"/>
            <wp:docPr id="2967180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731510" cy="2757805"/>
                    </a:xfrm>
                    <a:prstGeom prst="rect">
                      <a:avLst/>
                    </a:prstGeom>
                    <a:ln w="15875">
                      <a:solidFill>
                        <a:schemeClr val="accent1"/>
                      </a:solidFill>
                    </a:ln>
                  </pic:spPr>
                </pic:pic>
              </a:graphicData>
            </a:graphic>
          </wp:inline>
        </w:drawing>
      </w:r>
      <w:r>
        <w:br/>
      </w:r>
    </w:p>
    <w:p w14:paraId="32C752F0" w14:textId="0203B81C" w:rsidR="00D82A8E" w:rsidRPr="00961F23" w:rsidRDefault="00377EDA" w:rsidP="00D82A8E">
      <w:r>
        <w:t xml:space="preserve">For the example of </w:t>
      </w:r>
      <w:r w:rsidR="00C75629">
        <w:t>a</w:t>
      </w:r>
      <w:r w:rsidR="00C75629" w:rsidRPr="00C75629">
        <w:t>ppropriate prescribing and supply of blood glucose and ketone meters, and testing strips</w:t>
      </w:r>
      <w:r w:rsidR="00D6665A">
        <w:t>, with a threshold of 25%:</w:t>
      </w:r>
    </w:p>
    <w:p w14:paraId="14E7CB36" w14:textId="3DC18877" w:rsidR="00D82A8E" w:rsidRDefault="00D6665A" w:rsidP="00961F23">
      <w:r>
        <w:t xml:space="preserve">The organisations classed as “high scope for improvement” will be those on the top 25% of the </w:t>
      </w:r>
      <w:r w:rsidR="00C05B75">
        <w:t xml:space="preserve">national </w:t>
      </w:r>
      <w:r>
        <w:t>distribution of the p</w:t>
      </w:r>
      <w:r w:rsidRPr="00D6665A">
        <w:t>ercentage of spend on recommended blood glucose and ketone testing strips</w:t>
      </w:r>
      <w:r>
        <w:t xml:space="preserve">, across all </w:t>
      </w:r>
      <w:r w:rsidR="000D298D">
        <w:t>Practices</w:t>
      </w:r>
      <w:r>
        <w:t xml:space="preserve"> in England. </w:t>
      </w:r>
      <w:r w:rsidR="000D298D">
        <w:br/>
      </w:r>
      <w:r w:rsidR="000D298D" w:rsidRPr="000D298D">
        <w:rPr>
          <w:noProof/>
        </w:rPr>
        <w:drawing>
          <wp:inline distT="0" distB="0" distL="0" distR="0" wp14:anchorId="131D777F" wp14:editId="7896C7C0">
            <wp:extent cx="5731510" cy="2557780"/>
            <wp:effectExtent l="19050" t="19050" r="21590" b="13970"/>
            <wp:docPr id="130488644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86444" name="Picture 1" descr="A screenshot of a computer&#10;&#10;Description automatically generated"/>
                    <pic:cNvPicPr/>
                  </pic:nvPicPr>
                  <pic:blipFill>
                    <a:blip r:embed="rId20"/>
                    <a:stretch>
                      <a:fillRect/>
                    </a:stretch>
                  </pic:blipFill>
                  <pic:spPr>
                    <a:xfrm>
                      <a:off x="0" y="0"/>
                      <a:ext cx="5731510" cy="2557780"/>
                    </a:xfrm>
                    <a:prstGeom prst="rect">
                      <a:avLst/>
                    </a:prstGeom>
                    <a:ln w="15875">
                      <a:solidFill>
                        <a:schemeClr val="accent1"/>
                      </a:solidFill>
                    </a:ln>
                  </pic:spPr>
                </pic:pic>
              </a:graphicData>
            </a:graphic>
          </wp:inline>
        </w:drawing>
      </w:r>
      <w:r w:rsidR="000D298D">
        <w:br/>
      </w:r>
      <w:r w:rsidR="000D298D">
        <w:br/>
        <w:t>Secondary care measures are more sensitive to the selection of the threshold percentile as these are typically reported at the level of NHS Trusts meaning there are fewer organisations nationally, and fewer within each ICB that for GP Practices. Any missing data for a Trust can skew the position for an ICB quite significantly.</w:t>
      </w:r>
    </w:p>
    <w:p w14:paraId="23456BCD" w14:textId="3B6653E7" w:rsidR="004D2A10" w:rsidRDefault="00CF1E20" w:rsidP="354681A9">
      <w:pPr>
        <w:pStyle w:val="Heading1"/>
        <w:rPr>
          <w:rFonts w:asciiTheme="minorHAnsi" w:hAnsiTheme="minorHAnsi" w:cstheme="minorBidi"/>
        </w:rPr>
      </w:pPr>
      <w:bookmarkStart w:id="8" w:name="_Toc172291520"/>
      <w:r w:rsidRPr="354681A9">
        <w:rPr>
          <w:rFonts w:asciiTheme="minorHAnsi" w:hAnsiTheme="minorHAnsi" w:cstheme="minorBidi"/>
        </w:rPr>
        <w:t>Metric</w:t>
      </w:r>
      <w:r w:rsidR="004D2A10" w:rsidRPr="354681A9">
        <w:rPr>
          <w:rFonts w:asciiTheme="minorHAnsi" w:hAnsiTheme="minorHAnsi" w:cstheme="minorBidi"/>
        </w:rPr>
        <w:t xml:space="preserve"> Specifications</w:t>
      </w:r>
      <w:bookmarkEnd w:id="8"/>
    </w:p>
    <w:p w14:paraId="5AE12E2C" w14:textId="7037F5A2" w:rsidR="00CF1E20" w:rsidRDefault="000B5B0E" w:rsidP="00CF1E20">
      <w:r>
        <w:t xml:space="preserve">Please note as new </w:t>
      </w:r>
      <w:r w:rsidR="00CF1E20">
        <w:t>metrics</w:t>
      </w:r>
      <w:r>
        <w:t xml:space="preserve"> are developed and added to the dashboard more information may be added here.</w:t>
      </w:r>
      <w:r w:rsidR="00CB6966">
        <w:t xml:space="preserve"> </w:t>
      </w:r>
      <w:r w:rsidR="009B7AA8">
        <w:t xml:space="preserve"> Metrics are ordered and given a number that matches the National medicines optimisation opportunities 2023/24 guidance document. Where a </w:t>
      </w:r>
      <w:r w:rsidR="00C93A5C">
        <w:t xml:space="preserve">headline </w:t>
      </w:r>
      <w:r w:rsidR="009B7AA8">
        <w:t>metric is not available</w:t>
      </w:r>
      <w:r w:rsidR="00C93A5C">
        <w:t>,</w:t>
      </w:r>
      <w:r w:rsidR="009B7AA8">
        <w:t xml:space="preserve"> there may be gaps in the sequence of numbers.</w:t>
      </w:r>
    </w:p>
    <w:p w14:paraId="6A11C97F" w14:textId="201E0B56" w:rsidR="004B2BDA" w:rsidRDefault="003623C3" w:rsidP="004B2BDA">
      <w:pPr>
        <w:pStyle w:val="Heading2"/>
      </w:pPr>
      <w:r w:rsidRPr="00F23844">
        <w:br w:type="page"/>
      </w:r>
    </w:p>
    <w:p w14:paraId="7D209F4C" w14:textId="5B5DE6AF" w:rsidR="00F90C7B" w:rsidRDefault="009B7AA8" w:rsidP="00F90C7B">
      <w:pPr>
        <w:pStyle w:val="Heading2"/>
      </w:pPr>
      <w:bookmarkStart w:id="9" w:name="_Toc172291521"/>
      <w:r>
        <w:lastRenderedPageBreak/>
        <w:t>Metric 01.Problematic polypharmacy</w:t>
      </w:r>
      <w:bookmarkEnd w:id="9"/>
    </w:p>
    <w:tbl>
      <w:tblPr>
        <w:tblW w:w="8920" w:type="dxa"/>
        <w:tblLook w:val="04A0" w:firstRow="1" w:lastRow="0" w:firstColumn="1" w:lastColumn="0" w:noHBand="0" w:noVBand="1"/>
      </w:tblPr>
      <w:tblGrid>
        <w:gridCol w:w="2120"/>
        <w:gridCol w:w="6800"/>
      </w:tblGrid>
      <w:tr w:rsidR="00F90C7B" w:rsidRPr="00F90C7B" w14:paraId="4E906164" w14:textId="77777777" w:rsidTr="417983D8">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7227DFC9"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7EC10958"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Problematic polypharmacy</w:t>
            </w:r>
          </w:p>
        </w:tc>
      </w:tr>
      <w:tr w:rsidR="00F90C7B" w:rsidRPr="00F90C7B" w14:paraId="656199D1"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3F50CE0"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3AFBB528"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Addressing problematic polypharmacy</w:t>
            </w:r>
          </w:p>
        </w:tc>
      </w:tr>
      <w:tr w:rsidR="00F90C7B" w:rsidRPr="00F90C7B" w14:paraId="01FE53C0" w14:textId="77777777" w:rsidTr="417983D8">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6C56E268"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5C3896CE" w14:textId="2CFED8D9" w:rsidR="00F90C7B" w:rsidRPr="00CE67C3" w:rsidRDefault="00F90C7B" w:rsidP="00F90C7B">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5BEFD120" w:rsidRPr="4257620F">
              <w:rPr>
                <w:rFonts w:ascii="Arial" w:eastAsia="Times New Roman" w:hAnsi="Arial" w:cs="Arial"/>
                <w:color w:val="000000" w:themeColor="text1"/>
                <w:sz w:val="22"/>
                <w:szCs w:val="22"/>
                <w:lang w:eastAsia="en-GB"/>
              </w:rPr>
              <w:t xml:space="preserve"> care</w:t>
            </w:r>
          </w:p>
        </w:tc>
      </w:tr>
      <w:tr w:rsidR="00F90C7B" w:rsidRPr="00F90C7B" w14:paraId="271C1AA8"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4DFAA58"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6396B149"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Percentage of patients aged 75 and over on 10 or more unique medicines</w:t>
            </w:r>
          </w:p>
        </w:tc>
      </w:tr>
      <w:tr w:rsidR="00F90C7B" w:rsidRPr="00F90C7B" w14:paraId="2DEB5965"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C377066"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75E0034B"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Lower</w:t>
            </w:r>
          </w:p>
        </w:tc>
      </w:tr>
      <w:tr w:rsidR="00F90C7B" w:rsidRPr="00F90C7B" w14:paraId="5C7BD11E"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38D148FD"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4FE9EED2" w14:textId="13FC5C97" w:rsidR="00F90C7B" w:rsidRPr="00CE67C3" w:rsidRDefault="00F90C7B" w:rsidP="00F90C7B">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Number of patients aged 75 or over prescribed 10 or more unique medicines from BNF Chapters 1-4,</w:t>
            </w:r>
            <w:r w:rsidR="1ED746B8" w:rsidRPr="4257620F">
              <w:rPr>
                <w:rFonts w:ascii="Arial" w:eastAsia="Times New Roman" w:hAnsi="Arial" w:cs="Arial"/>
                <w:color w:val="000000" w:themeColor="text1"/>
                <w:sz w:val="22"/>
                <w:szCs w:val="22"/>
                <w:lang w:eastAsia="en-GB"/>
              </w:rPr>
              <w:t>6</w:t>
            </w:r>
            <w:r w:rsidRPr="4257620F">
              <w:rPr>
                <w:rFonts w:ascii="Arial" w:eastAsia="Times New Roman" w:hAnsi="Arial" w:cs="Arial"/>
                <w:color w:val="000000" w:themeColor="text1"/>
                <w:sz w:val="22"/>
                <w:szCs w:val="22"/>
                <w:lang w:eastAsia="en-GB"/>
              </w:rPr>
              <w:t>-10 in a single month</w:t>
            </w:r>
          </w:p>
        </w:tc>
      </w:tr>
      <w:tr w:rsidR="00F90C7B" w:rsidRPr="00F90C7B" w14:paraId="63EA8493"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5125C25"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7C65AEA9"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w:t>
            </w:r>
          </w:p>
        </w:tc>
      </w:tr>
      <w:tr w:rsidR="00F90C7B" w:rsidRPr="00F90C7B" w14:paraId="3D637601" w14:textId="77777777" w:rsidTr="417983D8">
        <w:trPr>
          <w:trHeight w:val="1215"/>
        </w:trPr>
        <w:tc>
          <w:tcPr>
            <w:tcW w:w="2120" w:type="dxa"/>
            <w:tcBorders>
              <w:top w:val="nil"/>
              <w:left w:val="single" w:sz="4" w:space="0" w:color="auto"/>
              <w:bottom w:val="single" w:sz="4" w:space="0" w:color="auto"/>
              <w:right w:val="single" w:sz="4" w:space="0" w:color="auto"/>
            </w:tcBorders>
            <w:shd w:val="clear" w:color="auto" w:fill="auto"/>
            <w:hideMark/>
          </w:tcPr>
          <w:p w14:paraId="36ECECEB"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3A49D454"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Total number of patients aged 75 and over, prescribed one or more</w:t>
            </w:r>
            <w:r w:rsidRPr="00CE67C3">
              <w:rPr>
                <w:rFonts w:ascii="Arial" w:eastAsia="Times New Roman" w:hAnsi="Arial" w:cs="Arial"/>
                <w:bCs w:val="0"/>
                <w:color w:val="000000"/>
                <w:sz w:val="22"/>
                <w:szCs w:val="22"/>
                <w:lang w:eastAsia="en-GB"/>
              </w:rPr>
              <w:br/>
              <w:t>medicines within BNF chapters 1 to 4 and 6 to 10 during same time period</w:t>
            </w:r>
          </w:p>
        </w:tc>
      </w:tr>
      <w:tr w:rsidR="00F90C7B" w:rsidRPr="00F90C7B" w14:paraId="2F957DD7" w14:textId="77777777" w:rsidTr="417983D8">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BB2D5E3" w14:textId="77777777" w:rsidR="00F90C7B" w:rsidRPr="004A7C9D" w:rsidRDefault="00F90C7B" w:rsidP="00F90C7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06C430EC" w14:textId="77777777" w:rsidR="00F90C7B" w:rsidRPr="00CE67C3" w:rsidRDefault="00F90C7B" w:rsidP="00F90C7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w:t>
            </w:r>
          </w:p>
        </w:tc>
      </w:tr>
      <w:tr w:rsidR="00BA75C0" w:rsidRPr="00F90C7B" w14:paraId="0422D889" w14:textId="77777777" w:rsidTr="417983D8">
        <w:trPr>
          <w:trHeight w:val="373"/>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96C1D" w14:textId="551AE667" w:rsidR="00BA75C0" w:rsidRPr="004A7C9D" w:rsidRDefault="00BA75C0" w:rsidP="00BA75C0">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Hyperlinks to supporting information</w:t>
            </w:r>
          </w:p>
        </w:tc>
        <w:tc>
          <w:tcPr>
            <w:tcW w:w="6800" w:type="dxa"/>
            <w:tcBorders>
              <w:top w:val="single" w:sz="4" w:space="0" w:color="auto"/>
              <w:left w:val="nil"/>
              <w:bottom w:val="nil"/>
              <w:right w:val="single" w:sz="4" w:space="0" w:color="auto"/>
            </w:tcBorders>
            <w:shd w:val="clear" w:color="auto" w:fill="auto"/>
          </w:tcPr>
          <w:p w14:paraId="25854132" w14:textId="3E6AD569" w:rsidR="00BA75C0" w:rsidRPr="00CE67C3" w:rsidRDefault="00BA75C0" w:rsidP="009C5723">
            <w:pPr>
              <w:pStyle w:val="Hyperlinkinpara"/>
              <w:rPr>
                <w:szCs w:val="22"/>
              </w:rPr>
            </w:pPr>
            <w:r w:rsidRPr="00CE67C3">
              <w:rPr>
                <w:szCs w:val="22"/>
              </w:rPr>
              <w:t>NHSBSA - Polypharmacy Prescribing Comparators - Summary webpage</w:t>
            </w:r>
          </w:p>
        </w:tc>
      </w:tr>
      <w:tr w:rsidR="00BA75C0" w:rsidRPr="00F90C7B" w14:paraId="50D0BF91" w14:textId="77777777" w:rsidTr="417983D8">
        <w:trPr>
          <w:trHeight w:val="50"/>
        </w:trPr>
        <w:tc>
          <w:tcPr>
            <w:tcW w:w="2120" w:type="dxa"/>
            <w:vMerge/>
            <w:hideMark/>
          </w:tcPr>
          <w:p w14:paraId="47D9AA2E" w14:textId="74191C9D" w:rsidR="00BA75C0" w:rsidRPr="004A7C9D" w:rsidRDefault="00BA75C0" w:rsidP="005809EB">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vAlign w:val="center"/>
          </w:tcPr>
          <w:p w14:paraId="04627936" w14:textId="753A15A7" w:rsidR="00BA75C0" w:rsidRPr="00CE67C3" w:rsidRDefault="00430238" w:rsidP="009C5723">
            <w:pPr>
              <w:pStyle w:val="Hyperlinkinpara"/>
              <w:rPr>
                <w:szCs w:val="22"/>
              </w:rPr>
            </w:pPr>
            <w:hyperlink r:id="rId21" w:history="1">
              <w:r w:rsidR="00BA75C0" w:rsidRPr="00CE67C3">
                <w:rPr>
                  <w:rStyle w:val="Hyperlink"/>
                  <w:color w:val="0072CE"/>
                  <w:szCs w:val="22"/>
                </w:rPr>
                <w:t>Health Innovation Wessex - Polypharmacy Overview</w:t>
              </w:r>
            </w:hyperlink>
          </w:p>
        </w:tc>
      </w:tr>
      <w:tr w:rsidR="005809EB" w:rsidRPr="00F90C7B" w14:paraId="41C8A9EA" w14:textId="77777777" w:rsidTr="417983D8">
        <w:trPr>
          <w:trHeight w:val="379"/>
        </w:trPr>
        <w:tc>
          <w:tcPr>
            <w:tcW w:w="2120" w:type="dxa"/>
            <w:tcBorders>
              <w:top w:val="single" w:sz="4" w:space="0" w:color="auto"/>
              <w:left w:val="single" w:sz="4" w:space="0" w:color="auto"/>
              <w:bottom w:val="nil"/>
              <w:right w:val="single" w:sz="4" w:space="0" w:color="auto"/>
            </w:tcBorders>
            <w:shd w:val="clear" w:color="auto" w:fill="auto"/>
            <w:hideMark/>
          </w:tcPr>
          <w:p w14:paraId="38AAA673" w14:textId="77777777" w:rsidR="005809EB" w:rsidRPr="004A7C9D" w:rsidRDefault="005809EB" w:rsidP="005809E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Notes</w:t>
            </w:r>
          </w:p>
        </w:tc>
        <w:tc>
          <w:tcPr>
            <w:tcW w:w="6800" w:type="dxa"/>
            <w:tcBorders>
              <w:top w:val="single" w:sz="4" w:space="0" w:color="auto"/>
              <w:left w:val="nil"/>
              <w:bottom w:val="nil"/>
              <w:right w:val="single" w:sz="4" w:space="0" w:color="auto"/>
            </w:tcBorders>
            <w:shd w:val="clear" w:color="auto" w:fill="auto"/>
            <w:hideMark/>
          </w:tcPr>
          <w:p w14:paraId="05C06AAA" w14:textId="77777777" w:rsidR="005809EB" w:rsidRPr="00CE67C3" w:rsidRDefault="005809EB" w:rsidP="005809E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Includes items prescribed by English GP Practices with 'active' status.</w:t>
            </w:r>
          </w:p>
        </w:tc>
      </w:tr>
      <w:tr w:rsidR="005809EB" w:rsidRPr="00F90C7B" w14:paraId="3C494960" w14:textId="77777777" w:rsidTr="417983D8">
        <w:trPr>
          <w:trHeight w:val="276"/>
        </w:trPr>
        <w:tc>
          <w:tcPr>
            <w:tcW w:w="2120" w:type="dxa"/>
            <w:tcBorders>
              <w:top w:val="nil"/>
              <w:left w:val="single" w:sz="4" w:space="0" w:color="auto"/>
              <w:bottom w:val="nil"/>
              <w:right w:val="single" w:sz="4" w:space="0" w:color="auto"/>
            </w:tcBorders>
            <w:shd w:val="clear" w:color="auto" w:fill="auto"/>
            <w:hideMark/>
          </w:tcPr>
          <w:p w14:paraId="4A2B4BA7" w14:textId="77777777" w:rsidR="005809EB" w:rsidRPr="004A7C9D" w:rsidRDefault="005809EB" w:rsidP="005809E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7A0210BE" w14:textId="77777777" w:rsidR="005809EB" w:rsidRPr="00CE67C3" w:rsidRDefault="005809EB" w:rsidP="005809E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 may appear in the numerator or denominator for multiple organisations, and in many months.</w:t>
            </w:r>
          </w:p>
        </w:tc>
      </w:tr>
      <w:tr w:rsidR="005809EB" w:rsidRPr="00F90C7B" w14:paraId="4C7E0407" w14:textId="77777777" w:rsidTr="417983D8">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6290C78F" w14:textId="77777777" w:rsidR="005809EB" w:rsidRPr="004A7C9D" w:rsidRDefault="005809EB" w:rsidP="005809EB">
            <w:pPr>
              <w:spacing w:after="0" w:line="240" w:lineRule="auto"/>
              <w:rPr>
                <w:rFonts w:ascii="Arial" w:eastAsia="Times New Roman" w:hAnsi="Arial" w:cs="Arial"/>
                <w:bCs w:val="0"/>
                <w:color w:val="000000"/>
                <w:sz w:val="22"/>
                <w:szCs w:val="22"/>
                <w:lang w:eastAsia="en-GB"/>
              </w:rPr>
            </w:pPr>
            <w:r w:rsidRPr="004A7C9D">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67449110" w14:textId="77777777" w:rsidR="005809EB" w:rsidRPr="00CE67C3" w:rsidRDefault="005809EB" w:rsidP="005809EB">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Unique medicines are defined as the count of unique BNF Chemical substances dispensed for the patient in the reporting month.</w:t>
            </w:r>
          </w:p>
        </w:tc>
      </w:tr>
      <w:tr w:rsidR="005809EB" w:rsidRPr="00F90C7B" w14:paraId="1C2C1221" w14:textId="77777777" w:rsidTr="417983D8">
        <w:trPr>
          <w:trHeight w:val="3216"/>
        </w:trPr>
        <w:tc>
          <w:tcPr>
            <w:tcW w:w="2120" w:type="dxa"/>
            <w:tcBorders>
              <w:top w:val="nil"/>
              <w:left w:val="single" w:sz="4" w:space="0" w:color="auto"/>
              <w:bottom w:val="single" w:sz="4" w:space="0" w:color="auto"/>
              <w:right w:val="single" w:sz="4" w:space="0" w:color="auto"/>
            </w:tcBorders>
            <w:shd w:val="clear" w:color="auto" w:fill="auto"/>
            <w:hideMark/>
          </w:tcPr>
          <w:p w14:paraId="196D6BFE" w14:textId="77777777" w:rsidR="005809EB" w:rsidRPr="004A7C9D" w:rsidRDefault="005809EB" w:rsidP="005809EB">
            <w:pPr>
              <w:spacing w:after="0" w:line="240" w:lineRule="auto"/>
              <w:rPr>
                <w:rFonts w:ascii="Arial" w:eastAsia="Times New Roman" w:hAnsi="Arial" w:cs="Arial"/>
                <w:bCs w:val="0"/>
                <w:sz w:val="22"/>
                <w:szCs w:val="22"/>
                <w:lang w:eastAsia="en-GB"/>
              </w:rPr>
            </w:pPr>
            <w:r w:rsidRPr="004A7C9D">
              <w:rPr>
                <w:rFonts w:ascii="Arial" w:eastAsia="Times New Roman" w:hAnsi="Arial" w:cs="Arial"/>
                <w:bCs w:val="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2F6D17F3" w14:textId="1409BD6F" w:rsidR="005809EB" w:rsidRPr="00CE67C3" w:rsidRDefault="005809EB" w:rsidP="005809EB">
            <w:pPr>
              <w:rPr>
                <w:sz w:val="22"/>
                <w:szCs w:val="22"/>
              </w:rPr>
            </w:pPr>
            <w:r w:rsidRPr="00CE67C3">
              <w:rPr>
                <w:sz w:val="22"/>
                <w:szCs w:val="22"/>
              </w:rPr>
              <w:t>All BNF Chemical Substances that are mapped to the following BNF Chapters are included.</w:t>
            </w:r>
          </w:p>
          <w:tbl>
            <w:tblPr>
              <w:tblW w:w="6270" w:type="dxa"/>
              <w:tblLook w:val="04A0" w:firstRow="1" w:lastRow="0" w:firstColumn="1" w:lastColumn="0" w:noHBand="0" w:noVBand="1"/>
            </w:tblPr>
            <w:tblGrid>
              <w:gridCol w:w="1593"/>
              <w:gridCol w:w="4677"/>
            </w:tblGrid>
            <w:tr w:rsidR="00FA2713" w:rsidRPr="00CE67C3" w14:paraId="5FB8F220" w14:textId="77777777" w:rsidTr="004A7C9D">
              <w:trPr>
                <w:trHeight w:val="552"/>
              </w:trPr>
              <w:tc>
                <w:tcPr>
                  <w:tcW w:w="1593" w:type="dxa"/>
                  <w:tcBorders>
                    <w:top w:val="nil"/>
                    <w:left w:val="nil"/>
                    <w:bottom w:val="nil"/>
                    <w:right w:val="nil"/>
                  </w:tcBorders>
                  <w:shd w:val="clear" w:color="auto" w:fill="005EB8" w:themeFill="text2"/>
                  <w:hideMark/>
                </w:tcPr>
                <w:p w14:paraId="211F1A4B" w14:textId="77777777" w:rsidR="005809EB" w:rsidRPr="00CE67C3" w:rsidRDefault="005809EB" w:rsidP="005809EB">
                  <w:pPr>
                    <w:spacing w:after="0" w:line="240" w:lineRule="auto"/>
                    <w:jc w:val="center"/>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Chapter Code</w:t>
                  </w:r>
                </w:p>
              </w:tc>
              <w:tc>
                <w:tcPr>
                  <w:tcW w:w="4677" w:type="dxa"/>
                  <w:tcBorders>
                    <w:top w:val="nil"/>
                    <w:left w:val="nil"/>
                    <w:bottom w:val="nil"/>
                    <w:right w:val="nil"/>
                  </w:tcBorders>
                  <w:shd w:val="clear" w:color="auto" w:fill="005EB8" w:themeFill="text2"/>
                  <w:noWrap/>
                  <w:hideMark/>
                </w:tcPr>
                <w:p w14:paraId="41406D96" w14:textId="77777777" w:rsidR="005809EB" w:rsidRPr="00CE67C3" w:rsidRDefault="005809EB" w:rsidP="005809EB">
                  <w:pPr>
                    <w:spacing w:after="0" w:line="240" w:lineRule="auto"/>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Chapter</w:t>
                  </w:r>
                </w:p>
              </w:tc>
            </w:tr>
            <w:tr w:rsidR="00FA2713" w:rsidRPr="00CE67C3" w14:paraId="1A57533D" w14:textId="77777777" w:rsidTr="009C51E7">
              <w:trPr>
                <w:trHeight w:val="276"/>
              </w:trPr>
              <w:tc>
                <w:tcPr>
                  <w:tcW w:w="1593" w:type="dxa"/>
                  <w:tcBorders>
                    <w:top w:val="nil"/>
                    <w:left w:val="nil"/>
                    <w:bottom w:val="nil"/>
                    <w:right w:val="nil"/>
                  </w:tcBorders>
                  <w:shd w:val="clear" w:color="auto" w:fill="auto"/>
                  <w:noWrap/>
                  <w:hideMark/>
                </w:tcPr>
                <w:p w14:paraId="552D9F46"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01</w:t>
                  </w:r>
                </w:p>
              </w:tc>
              <w:tc>
                <w:tcPr>
                  <w:tcW w:w="4677" w:type="dxa"/>
                  <w:tcBorders>
                    <w:top w:val="nil"/>
                    <w:left w:val="nil"/>
                    <w:bottom w:val="nil"/>
                    <w:right w:val="nil"/>
                  </w:tcBorders>
                  <w:shd w:val="clear" w:color="auto" w:fill="auto"/>
                  <w:noWrap/>
                  <w:hideMark/>
                </w:tcPr>
                <w:p w14:paraId="52441E9D"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Gastro-Intestinal System</w:t>
                  </w:r>
                </w:p>
              </w:tc>
            </w:tr>
            <w:tr w:rsidR="00FA2713" w:rsidRPr="00CE67C3" w14:paraId="14104F6F" w14:textId="77777777" w:rsidTr="004A7C9D">
              <w:trPr>
                <w:trHeight w:val="276"/>
              </w:trPr>
              <w:tc>
                <w:tcPr>
                  <w:tcW w:w="1593" w:type="dxa"/>
                  <w:tcBorders>
                    <w:top w:val="nil"/>
                    <w:left w:val="nil"/>
                    <w:bottom w:val="nil"/>
                    <w:right w:val="nil"/>
                  </w:tcBorders>
                  <w:shd w:val="clear" w:color="auto" w:fill="F2F2F2" w:themeFill="background1" w:themeFillShade="F2"/>
                  <w:noWrap/>
                  <w:hideMark/>
                </w:tcPr>
                <w:p w14:paraId="23211BB6"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w:t>
                  </w:r>
                </w:p>
              </w:tc>
              <w:tc>
                <w:tcPr>
                  <w:tcW w:w="4677" w:type="dxa"/>
                  <w:tcBorders>
                    <w:top w:val="nil"/>
                    <w:left w:val="nil"/>
                    <w:bottom w:val="nil"/>
                    <w:right w:val="nil"/>
                  </w:tcBorders>
                  <w:shd w:val="clear" w:color="auto" w:fill="F2F2F2" w:themeFill="background1" w:themeFillShade="F2"/>
                  <w:noWrap/>
                  <w:hideMark/>
                </w:tcPr>
                <w:p w14:paraId="4830D2B5"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Cardiovascular System</w:t>
                  </w:r>
                </w:p>
              </w:tc>
            </w:tr>
            <w:tr w:rsidR="00FA2713" w:rsidRPr="00CE67C3" w14:paraId="4EAECD9B" w14:textId="77777777" w:rsidTr="009C51E7">
              <w:trPr>
                <w:trHeight w:val="276"/>
              </w:trPr>
              <w:tc>
                <w:tcPr>
                  <w:tcW w:w="1593" w:type="dxa"/>
                  <w:tcBorders>
                    <w:top w:val="nil"/>
                    <w:left w:val="nil"/>
                    <w:bottom w:val="nil"/>
                    <w:right w:val="nil"/>
                  </w:tcBorders>
                  <w:shd w:val="clear" w:color="auto" w:fill="auto"/>
                  <w:noWrap/>
                  <w:hideMark/>
                </w:tcPr>
                <w:p w14:paraId="50C41B75"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03</w:t>
                  </w:r>
                </w:p>
              </w:tc>
              <w:tc>
                <w:tcPr>
                  <w:tcW w:w="4677" w:type="dxa"/>
                  <w:tcBorders>
                    <w:top w:val="nil"/>
                    <w:left w:val="nil"/>
                    <w:bottom w:val="nil"/>
                    <w:right w:val="nil"/>
                  </w:tcBorders>
                  <w:shd w:val="clear" w:color="auto" w:fill="auto"/>
                  <w:noWrap/>
                  <w:hideMark/>
                </w:tcPr>
                <w:p w14:paraId="0E5E31F2"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Respiratory System</w:t>
                  </w:r>
                </w:p>
              </w:tc>
            </w:tr>
            <w:tr w:rsidR="00FA2713" w:rsidRPr="00CE67C3" w14:paraId="0D1BBA7F" w14:textId="77777777" w:rsidTr="004A7C9D">
              <w:trPr>
                <w:trHeight w:val="276"/>
              </w:trPr>
              <w:tc>
                <w:tcPr>
                  <w:tcW w:w="1593" w:type="dxa"/>
                  <w:tcBorders>
                    <w:top w:val="nil"/>
                    <w:left w:val="nil"/>
                    <w:bottom w:val="nil"/>
                    <w:right w:val="nil"/>
                  </w:tcBorders>
                  <w:shd w:val="clear" w:color="auto" w:fill="F2F2F2" w:themeFill="background1" w:themeFillShade="F2"/>
                  <w:noWrap/>
                  <w:hideMark/>
                </w:tcPr>
                <w:p w14:paraId="23129218"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04</w:t>
                  </w:r>
                </w:p>
              </w:tc>
              <w:tc>
                <w:tcPr>
                  <w:tcW w:w="4677" w:type="dxa"/>
                  <w:tcBorders>
                    <w:top w:val="nil"/>
                    <w:left w:val="nil"/>
                    <w:bottom w:val="nil"/>
                    <w:right w:val="nil"/>
                  </w:tcBorders>
                  <w:shd w:val="clear" w:color="auto" w:fill="F2F2F2" w:themeFill="background1" w:themeFillShade="F2"/>
                  <w:noWrap/>
                  <w:hideMark/>
                </w:tcPr>
                <w:p w14:paraId="1A7B73F2"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Central Nervous System</w:t>
                  </w:r>
                </w:p>
              </w:tc>
            </w:tr>
            <w:tr w:rsidR="00FA2713" w:rsidRPr="00CE67C3" w14:paraId="3561C916" w14:textId="77777777" w:rsidTr="009C51E7">
              <w:trPr>
                <w:trHeight w:val="276"/>
              </w:trPr>
              <w:tc>
                <w:tcPr>
                  <w:tcW w:w="1593" w:type="dxa"/>
                  <w:tcBorders>
                    <w:top w:val="nil"/>
                    <w:left w:val="nil"/>
                    <w:bottom w:val="nil"/>
                    <w:right w:val="nil"/>
                  </w:tcBorders>
                  <w:shd w:val="clear" w:color="auto" w:fill="auto"/>
                  <w:noWrap/>
                  <w:hideMark/>
                </w:tcPr>
                <w:p w14:paraId="7BCE5AB9"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06</w:t>
                  </w:r>
                </w:p>
              </w:tc>
              <w:tc>
                <w:tcPr>
                  <w:tcW w:w="4677" w:type="dxa"/>
                  <w:tcBorders>
                    <w:top w:val="nil"/>
                    <w:left w:val="nil"/>
                    <w:bottom w:val="nil"/>
                    <w:right w:val="nil"/>
                  </w:tcBorders>
                  <w:shd w:val="clear" w:color="auto" w:fill="auto"/>
                  <w:noWrap/>
                  <w:hideMark/>
                </w:tcPr>
                <w:p w14:paraId="367B5B13"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Endocrine System</w:t>
                  </w:r>
                </w:p>
              </w:tc>
            </w:tr>
            <w:tr w:rsidR="00FA2713" w:rsidRPr="00CE67C3" w14:paraId="1B43282F" w14:textId="77777777" w:rsidTr="004A7C9D">
              <w:trPr>
                <w:trHeight w:val="276"/>
              </w:trPr>
              <w:tc>
                <w:tcPr>
                  <w:tcW w:w="1593" w:type="dxa"/>
                  <w:tcBorders>
                    <w:top w:val="nil"/>
                    <w:left w:val="nil"/>
                    <w:bottom w:val="nil"/>
                    <w:right w:val="nil"/>
                  </w:tcBorders>
                  <w:shd w:val="clear" w:color="auto" w:fill="F2F2F2" w:themeFill="background1" w:themeFillShade="F2"/>
                  <w:noWrap/>
                  <w:hideMark/>
                </w:tcPr>
                <w:p w14:paraId="036C1B06"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07</w:t>
                  </w:r>
                </w:p>
              </w:tc>
              <w:tc>
                <w:tcPr>
                  <w:tcW w:w="4677" w:type="dxa"/>
                  <w:tcBorders>
                    <w:top w:val="nil"/>
                    <w:left w:val="nil"/>
                    <w:bottom w:val="nil"/>
                    <w:right w:val="nil"/>
                  </w:tcBorders>
                  <w:shd w:val="clear" w:color="auto" w:fill="F2F2F2" w:themeFill="background1" w:themeFillShade="F2"/>
                  <w:noWrap/>
                  <w:hideMark/>
                </w:tcPr>
                <w:p w14:paraId="65557A56" w14:textId="2659A71A"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Obstetrics, Gyn. and Urinary Tract Disorders</w:t>
                  </w:r>
                </w:p>
              </w:tc>
            </w:tr>
            <w:tr w:rsidR="00FA2713" w:rsidRPr="00CE67C3" w14:paraId="7D70E2EF" w14:textId="77777777" w:rsidTr="009C51E7">
              <w:trPr>
                <w:trHeight w:val="276"/>
              </w:trPr>
              <w:tc>
                <w:tcPr>
                  <w:tcW w:w="1593" w:type="dxa"/>
                  <w:tcBorders>
                    <w:top w:val="nil"/>
                    <w:left w:val="nil"/>
                    <w:bottom w:val="nil"/>
                    <w:right w:val="nil"/>
                  </w:tcBorders>
                  <w:shd w:val="clear" w:color="auto" w:fill="auto"/>
                  <w:noWrap/>
                  <w:hideMark/>
                </w:tcPr>
                <w:p w14:paraId="7A695EF9"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08</w:t>
                  </w:r>
                </w:p>
              </w:tc>
              <w:tc>
                <w:tcPr>
                  <w:tcW w:w="4677" w:type="dxa"/>
                  <w:tcBorders>
                    <w:top w:val="nil"/>
                    <w:left w:val="nil"/>
                    <w:bottom w:val="nil"/>
                    <w:right w:val="nil"/>
                  </w:tcBorders>
                  <w:shd w:val="clear" w:color="auto" w:fill="auto"/>
                  <w:noWrap/>
                  <w:hideMark/>
                </w:tcPr>
                <w:p w14:paraId="376D76BC" w14:textId="662C3146"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Malignant Disease and Immunosuppression</w:t>
                  </w:r>
                </w:p>
              </w:tc>
            </w:tr>
            <w:tr w:rsidR="00FA2713" w:rsidRPr="00CE67C3" w14:paraId="73B6C4DA" w14:textId="77777777" w:rsidTr="004A7C9D">
              <w:trPr>
                <w:trHeight w:val="276"/>
              </w:trPr>
              <w:tc>
                <w:tcPr>
                  <w:tcW w:w="1593" w:type="dxa"/>
                  <w:tcBorders>
                    <w:top w:val="nil"/>
                    <w:left w:val="nil"/>
                    <w:bottom w:val="nil"/>
                    <w:right w:val="nil"/>
                  </w:tcBorders>
                  <w:shd w:val="clear" w:color="auto" w:fill="F2F2F2" w:themeFill="background1" w:themeFillShade="F2"/>
                  <w:noWrap/>
                  <w:hideMark/>
                </w:tcPr>
                <w:p w14:paraId="6EBEE674"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09</w:t>
                  </w:r>
                </w:p>
              </w:tc>
              <w:tc>
                <w:tcPr>
                  <w:tcW w:w="4677" w:type="dxa"/>
                  <w:tcBorders>
                    <w:top w:val="nil"/>
                    <w:left w:val="nil"/>
                    <w:bottom w:val="nil"/>
                    <w:right w:val="nil"/>
                  </w:tcBorders>
                  <w:shd w:val="clear" w:color="auto" w:fill="F2F2F2" w:themeFill="background1" w:themeFillShade="F2"/>
                  <w:noWrap/>
                  <w:hideMark/>
                </w:tcPr>
                <w:p w14:paraId="2C9BE541" w14:textId="77777777"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Nutrition And Blood</w:t>
                  </w:r>
                </w:p>
              </w:tc>
            </w:tr>
            <w:tr w:rsidR="00FA2713" w:rsidRPr="00CE67C3" w14:paraId="6EAC7BDF" w14:textId="77777777" w:rsidTr="009C51E7">
              <w:trPr>
                <w:trHeight w:val="276"/>
              </w:trPr>
              <w:tc>
                <w:tcPr>
                  <w:tcW w:w="1593" w:type="dxa"/>
                  <w:tcBorders>
                    <w:top w:val="nil"/>
                    <w:left w:val="nil"/>
                    <w:bottom w:val="nil"/>
                    <w:right w:val="nil"/>
                  </w:tcBorders>
                  <w:shd w:val="clear" w:color="auto" w:fill="auto"/>
                  <w:noWrap/>
                  <w:hideMark/>
                </w:tcPr>
                <w:p w14:paraId="45AAE205" w14:textId="77777777" w:rsidR="005809EB" w:rsidRPr="00CE67C3" w:rsidRDefault="005809EB" w:rsidP="005809EB">
                  <w:pPr>
                    <w:spacing w:after="0" w:line="240" w:lineRule="auto"/>
                    <w:jc w:val="center"/>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10</w:t>
                  </w:r>
                </w:p>
              </w:tc>
              <w:tc>
                <w:tcPr>
                  <w:tcW w:w="4677" w:type="dxa"/>
                  <w:tcBorders>
                    <w:top w:val="nil"/>
                    <w:left w:val="nil"/>
                    <w:bottom w:val="nil"/>
                    <w:right w:val="nil"/>
                  </w:tcBorders>
                  <w:shd w:val="clear" w:color="auto" w:fill="auto"/>
                  <w:noWrap/>
                  <w:hideMark/>
                </w:tcPr>
                <w:p w14:paraId="47ADB95A" w14:textId="43F0025E" w:rsidR="005809EB" w:rsidRPr="00CE67C3" w:rsidRDefault="005809EB" w:rsidP="005809EB">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Musculoskeletal and Joint Diseases</w:t>
                  </w:r>
                </w:p>
              </w:tc>
            </w:tr>
          </w:tbl>
          <w:p w14:paraId="15D4B4E2" w14:textId="62CB022B" w:rsidR="005809EB" w:rsidRPr="00CE67C3" w:rsidRDefault="005809EB" w:rsidP="005809EB">
            <w:pPr>
              <w:spacing w:after="0" w:line="240" w:lineRule="auto"/>
              <w:rPr>
                <w:rFonts w:ascii="Arial" w:eastAsia="Times New Roman" w:hAnsi="Arial" w:cs="Arial"/>
                <w:bCs w:val="0"/>
                <w:sz w:val="22"/>
                <w:szCs w:val="22"/>
                <w:lang w:eastAsia="en-GB"/>
              </w:rPr>
            </w:pPr>
          </w:p>
        </w:tc>
      </w:tr>
      <w:tr w:rsidR="005809EB" w:rsidRPr="00F90C7B" w14:paraId="7C7404BE" w14:textId="77777777" w:rsidTr="417983D8">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61C02F2A" w14:textId="77777777" w:rsidR="005809EB" w:rsidRPr="004A7C9D" w:rsidRDefault="005809EB" w:rsidP="005809EB">
            <w:pPr>
              <w:spacing w:after="0" w:line="240" w:lineRule="auto"/>
              <w:rPr>
                <w:rFonts w:ascii="Arial" w:eastAsia="Times New Roman" w:hAnsi="Arial" w:cs="Arial"/>
                <w:bCs w:val="0"/>
                <w:sz w:val="22"/>
                <w:szCs w:val="22"/>
                <w:lang w:eastAsia="en-GB"/>
              </w:rPr>
            </w:pPr>
            <w:r w:rsidRPr="004A7C9D">
              <w:rPr>
                <w:rFonts w:ascii="Arial" w:eastAsia="Times New Roman" w:hAnsi="Arial" w:cs="Arial"/>
                <w:bCs w:val="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hideMark/>
          </w:tcPr>
          <w:p w14:paraId="24DE3A6C" w14:textId="14957E98" w:rsidR="005809EB" w:rsidRPr="00CE67C3" w:rsidRDefault="798CBA4B" w:rsidP="005809EB">
            <w:pPr>
              <w:spacing w:after="0" w:line="240" w:lineRule="auto"/>
              <w:rPr>
                <w:rFonts w:ascii="Arial" w:eastAsia="Times New Roman" w:hAnsi="Arial" w:cs="Arial"/>
                <w:sz w:val="22"/>
                <w:szCs w:val="22"/>
                <w:lang w:eastAsia="en-GB"/>
              </w:rPr>
            </w:pPr>
            <w:r w:rsidRPr="00CE67C3">
              <w:rPr>
                <w:rFonts w:ascii="Arial" w:eastAsia="Times New Roman" w:hAnsi="Arial" w:cs="Arial"/>
                <w:sz w:val="22"/>
                <w:szCs w:val="22"/>
                <w:lang w:eastAsia="en-GB"/>
                <w14:props3d w14:extrusionH="0" w14:contourW="0" w14:prstMaterial="matte"/>
              </w:rPr>
              <w:t>Includes a</w:t>
            </w:r>
            <w:r w:rsidR="59F53AD4" w:rsidRPr="00CE67C3">
              <w:rPr>
                <w:rFonts w:ascii="Arial" w:eastAsia="Times New Roman" w:hAnsi="Arial" w:cs="Arial"/>
                <w:sz w:val="22"/>
                <w:szCs w:val="22"/>
                <w:lang w:eastAsia="en-GB"/>
                <w14:props3d w14:extrusionH="0" w14:contourW="0" w14:prstMaterial="matte"/>
              </w:rPr>
              <w:t>ctive English GP Practices only</w:t>
            </w:r>
          </w:p>
        </w:tc>
      </w:tr>
    </w:tbl>
    <w:p w14:paraId="79D583C2" w14:textId="77777777" w:rsidR="00F90C7B" w:rsidRDefault="00F90C7B">
      <w:pPr>
        <w:rPr>
          <w:rFonts w:asciiTheme="majorHAnsi" w:eastAsiaTheme="majorEastAsia" w:hAnsiTheme="majorHAnsi" w:cstheme="majorBidi"/>
          <w:color w:val="005EB8" w:themeColor="text2"/>
          <w:sz w:val="24"/>
          <w:szCs w:val="26"/>
        </w:rPr>
      </w:pPr>
    </w:p>
    <w:p w14:paraId="3D5B3B46" w14:textId="77777777" w:rsidR="00F90C7B" w:rsidRDefault="00F90C7B">
      <w:pPr>
        <w:rPr>
          <w:rFonts w:asciiTheme="majorHAnsi" w:eastAsiaTheme="majorEastAsia" w:hAnsiTheme="majorHAnsi" w:cstheme="majorBidi"/>
          <w:color w:val="005EB8" w:themeColor="text2"/>
          <w:sz w:val="24"/>
          <w:szCs w:val="26"/>
        </w:rPr>
      </w:pPr>
      <w:r>
        <w:br w:type="page"/>
      </w:r>
    </w:p>
    <w:p w14:paraId="10E2ABBB" w14:textId="67F27420" w:rsidR="009B7AA8" w:rsidRDefault="00F90C7B" w:rsidP="009B7AA8">
      <w:pPr>
        <w:pStyle w:val="Heading2"/>
      </w:pPr>
      <w:bookmarkStart w:id="10" w:name="_Toc172291522"/>
      <w:r>
        <w:lastRenderedPageBreak/>
        <w:t>M</w:t>
      </w:r>
      <w:r w:rsidR="009B7AA8">
        <w:t>etric 02.Low priority prescribing</w:t>
      </w:r>
      <w:bookmarkEnd w:id="10"/>
    </w:p>
    <w:tbl>
      <w:tblPr>
        <w:tblW w:w="8920" w:type="dxa"/>
        <w:tblLook w:val="04A0" w:firstRow="1" w:lastRow="0" w:firstColumn="1" w:lastColumn="0" w:noHBand="0" w:noVBand="1"/>
      </w:tblPr>
      <w:tblGrid>
        <w:gridCol w:w="2120"/>
        <w:gridCol w:w="6800"/>
      </w:tblGrid>
      <w:tr w:rsidR="00C23E6D" w:rsidRPr="00C23E6D" w14:paraId="77C2509D"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B20916E"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6B780E1D"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Low priority prescribing</w:t>
            </w:r>
          </w:p>
        </w:tc>
      </w:tr>
      <w:tr w:rsidR="00C23E6D" w:rsidRPr="00C23E6D" w14:paraId="75B7659D"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49B8E65"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0EB2A02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Addressing low priority prescribing</w:t>
            </w:r>
          </w:p>
        </w:tc>
      </w:tr>
      <w:tr w:rsidR="00C23E6D" w:rsidRPr="00C23E6D" w14:paraId="07B81518"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17C229A1"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0EC3C70E" w14:textId="603F84DD" w:rsidR="00C23E6D" w:rsidRPr="00CE67C3"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300194EB" w:rsidRPr="4257620F">
              <w:rPr>
                <w:rFonts w:ascii="Arial" w:eastAsia="Times New Roman" w:hAnsi="Arial" w:cs="Arial"/>
                <w:color w:val="000000" w:themeColor="text1"/>
                <w:sz w:val="22"/>
                <w:szCs w:val="22"/>
                <w:lang w:eastAsia="en-GB"/>
              </w:rPr>
              <w:t xml:space="preserve"> care</w:t>
            </w:r>
          </w:p>
        </w:tc>
      </w:tr>
      <w:tr w:rsidR="00C23E6D" w:rsidRPr="00C23E6D" w14:paraId="0E07DABA"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3C0DE541"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7C20B68B"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Total actual cost per 1,000 registered patients for NHS England low priority treatments</w:t>
            </w:r>
          </w:p>
        </w:tc>
      </w:tr>
      <w:tr w:rsidR="00C23E6D" w:rsidRPr="00C23E6D" w14:paraId="0E5BFA1B"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E5EB82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72CBC546"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Lower</w:t>
            </w:r>
          </w:p>
        </w:tc>
      </w:tr>
      <w:tr w:rsidR="00C23E6D" w:rsidRPr="00C23E6D" w14:paraId="1786A71A"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996920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206D2DE6" w14:textId="532BE15D"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Total Actual Cost of all items in the medicines value programme items which should not be routinely prescribed in primary care</w:t>
            </w:r>
            <w:r w:rsidR="00776DD4">
              <w:rPr>
                <w:rFonts w:ascii="Arial" w:eastAsia="Times New Roman" w:hAnsi="Arial" w:cs="Arial"/>
                <w:bCs w:val="0"/>
                <w:color w:val="000000"/>
                <w:sz w:val="22"/>
                <w:szCs w:val="22"/>
                <w:lang w:eastAsia="en-GB"/>
              </w:rPr>
              <w:t xml:space="preserve"> in the rolling 3 month period</w:t>
            </w:r>
          </w:p>
        </w:tc>
      </w:tr>
      <w:tr w:rsidR="00C23E6D" w:rsidRPr="00C23E6D" w14:paraId="1D0EAEA7"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3C53C0E"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609DB3F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Actual Cost GBP</w:t>
            </w:r>
          </w:p>
        </w:tc>
      </w:tr>
      <w:tr w:rsidR="00C23E6D" w:rsidRPr="00C23E6D" w14:paraId="3D53B550"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74F09EB"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0E3C60A1" w14:textId="6B0858B0"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Total number of registered patients</w:t>
            </w:r>
            <w:r w:rsidR="00776DD4">
              <w:rPr>
                <w:rFonts w:ascii="Arial" w:eastAsia="Times New Roman" w:hAnsi="Arial" w:cs="Arial"/>
                <w:bCs w:val="0"/>
                <w:color w:val="000000"/>
                <w:sz w:val="22"/>
                <w:szCs w:val="22"/>
                <w:lang w:eastAsia="en-GB"/>
              </w:rPr>
              <w:t xml:space="preserve"> in the rolling 3 month period</w:t>
            </w:r>
          </w:p>
        </w:tc>
      </w:tr>
      <w:tr w:rsidR="00C23E6D" w:rsidRPr="00C23E6D" w14:paraId="115B5B14"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4F5F9A13"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21A6A6D7"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w:t>
            </w:r>
          </w:p>
        </w:tc>
      </w:tr>
      <w:tr w:rsidR="00BA75C0" w:rsidRPr="00C23E6D" w14:paraId="2600CE26" w14:textId="77777777" w:rsidTr="00F94D3C">
        <w:trPr>
          <w:trHeight w:val="423"/>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87AD6B7" w14:textId="77777777" w:rsidR="00BA75C0" w:rsidRPr="00CE67C3" w:rsidRDefault="00BA75C0"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Hyperlinks to supporting information</w:t>
            </w:r>
          </w:p>
          <w:p w14:paraId="78C1C0FD" w14:textId="316E33C1" w:rsidR="00BA75C0" w:rsidRPr="00CE67C3" w:rsidRDefault="00BA75C0"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tcPr>
          <w:p w14:paraId="3C15A8FD" w14:textId="37B62F2B" w:rsidR="00BA75C0" w:rsidRPr="00CE67C3" w:rsidRDefault="00430238" w:rsidP="009C5723">
            <w:pPr>
              <w:pStyle w:val="Hyperlinkinpara"/>
              <w:rPr>
                <w:szCs w:val="22"/>
              </w:rPr>
            </w:pPr>
            <w:hyperlink r:id="rId22" w:tgtFrame="_parent" w:history="1">
              <w:r w:rsidR="00BA75C0" w:rsidRPr="00CE67C3">
                <w:rPr>
                  <w:rStyle w:val="Hyperlink"/>
                  <w:color w:val="0072CE"/>
                  <w:szCs w:val="22"/>
                </w:rPr>
                <w:t>NHS England - Items which should not be routinely prescribed in primary care</w:t>
              </w:r>
            </w:hyperlink>
          </w:p>
        </w:tc>
      </w:tr>
      <w:tr w:rsidR="00BA75C0" w:rsidRPr="00C23E6D" w14:paraId="0C293CD8" w14:textId="77777777" w:rsidTr="00F94D3C">
        <w:trPr>
          <w:trHeight w:val="552"/>
        </w:trPr>
        <w:tc>
          <w:tcPr>
            <w:tcW w:w="2120" w:type="dxa"/>
            <w:vMerge/>
            <w:tcBorders>
              <w:left w:val="single" w:sz="4" w:space="0" w:color="auto"/>
              <w:bottom w:val="single" w:sz="4" w:space="0" w:color="auto"/>
              <w:right w:val="single" w:sz="4" w:space="0" w:color="auto"/>
            </w:tcBorders>
            <w:hideMark/>
          </w:tcPr>
          <w:p w14:paraId="07F1524A" w14:textId="3F2388E2" w:rsidR="00BA75C0" w:rsidRPr="00CE67C3" w:rsidRDefault="00BA75C0" w:rsidP="002272C5">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nil"/>
              <w:right w:val="single" w:sz="4" w:space="0" w:color="auto"/>
            </w:tcBorders>
            <w:shd w:val="clear" w:color="auto" w:fill="auto"/>
            <w:vAlign w:val="center"/>
          </w:tcPr>
          <w:p w14:paraId="4FEE8320" w14:textId="725713F9" w:rsidR="00BA75C0" w:rsidRPr="00CE67C3" w:rsidRDefault="00430238" w:rsidP="009C5723">
            <w:pPr>
              <w:pStyle w:val="Hyperlinkinpara"/>
              <w:rPr>
                <w:szCs w:val="22"/>
              </w:rPr>
            </w:pPr>
            <w:hyperlink r:id="rId23" w:history="1">
              <w:r w:rsidR="00BA75C0" w:rsidRPr="00CE67C3">
                <w:rPr>
                  <w:rStyle w:val="Hyperlink"/>
                  <w:color w:val="0072CE"/>
                  <w:szCs w:val="22"/>
                </w:rPr>
                <w:t>NHSBSA - Items which should not be routinely prescribed in primary care - Summary webpage</w:t>
              </w:r>
            </w:hyperlink>
          </w:p>
        </w:tc>
      </w:tr>
      <w:tr w:rsidR="00BA75C0" w:rsidRPr="00C23E6D" w14:paraId="44CAF2F0" w14:textId="77777777" w:rsidTr="00F94D3C">
        <w:trPr>
          <w:trHeight w:val="552"/>
        </w:trPr>
        <w:tc>
          <w:tcPr>
            <w:tcW w:w="2120" w:type="dxa"/>
            <w:vMerge/>
            <w:tcBorders>
              <w:left w:val="single" w:sz="4" w:space="0" w:color="auto"/>
              <w:bottom w:val="single" w:sz="4" w:space="0" w:color="auto"/>
              <w:right w:val="single" w:sz="4" w:space="0" w:color="auto"/>
            </w:tcBorders>
            <w:hideMark/>
          </w:tcPr>
          <w:p w14:paraId="250FD242" w14:textId="6EF0523F" w:rsidR="00BA75C0" w:rsidRPr="00CE67C3" w:rsidRDefault="00BA75C0" w:rsidP="002272C5">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vAlign w:val="center"/>
          </w:tcPr>
          <w:p w14:paraId="6B01F2C2" w14:textId="2B574BEC" w:rsidR="00BA75C0" w:rsidRPr="00CE67C3" w:rsidRDefault="00430238" w:rsidP="009C5723">
            <w:pPr>
              <w:pStyle w:val="Hyperlinkinpara"/>
              <w:rPr>
                <w:szCs w:val="22"/>
              </w:rPr>
            </w:pPr>
            <w:hyperlink r:id="rId24" w:history="1">
              <w:r w:rsidR="00BA75C0" w:rsidRPr="00CE67C3">
                <w:rPr>
                  <w:rStyle w:val="Hyperlink"/>
                  <w:color w:val="0072CE"/>
                  <w:szCs w:val="22"/>
                </w:rPr>
                <w:t>OpenPrescribing - Items which should not routinely be prescribed in primary care</w:t>
              </w:r>
            </w:hyperlink>
          </w:p>
        </w:tc>
      </w:tr>
      <w:tr w:rsidR="002272C5" w:rsidRPr="00C23E6D" w14:paraId="707BCA87" w14:textId="77777777" w:rsidTr="00F94D3C">
        <w:trPr>
          <w:trHeight w:val="828"/>
        </w:trPr>
        <w:tc>
          <w:tcPr>
            <w:tcW w:w="2120" w:type="dxa"/>
            <w:tcBorders>
              <w:top w:val="single" w:sz="4" w:space="0" w:color="auto"/>
              <w:left w:val="single" w:sz="4" w:space="0" w:color="auto"/>
              <w:bottom w:val="nil"/>
              <w:right w:val="single" w:sz="4" w:space="0" w:color="auto"/>
            </w:tcBorders>
            <w:shd w:val="clear" w:color="auto" w:fill="auto"/>
            <w:hideMark/>
          </w:tcPr>
          <w:p w14:paraId="38D6C1C5"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Notes</w:t>
            </w:r>
          </w:p>
        </w:tc>
        <w:tc>
          <w:tcPr>
            <w:tcW w:w="6800" w:type="dxa"/>
            <w:tcBorders>
              <w:top w:val="nil"/>
              <w:left w:val="nil"/>
              <w:bottom w:val="nil"/>
              <w:right w:val="single" w:sz="4" w:space="0" w:color="auto"/>
            </w:tcBorders>
            <w:shd w:val="clear" w:color="auto" w:fill="auto"/>
            <w:hideMark/>
          </w:tcPr>
          <w:p w14:paraId="21D48194"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Does not include the costs of prescribing of over the counter items which should not be routinely prescribed in primary care. See ePACT2 'Over the counter' dashboard for further details.</w:t>
            </w:r>
          </w:p>
        </w:tc>
      </w:tr>
      <w:tr w:rsidR="002272C5" w:rsidRPr="00C23E6D" w14:paraId="073B83CF" w14:textId="77777777" w:rsidTr="4257620F">
        <w:trPr>
          <w:trHeight w:val="276"/>
        </w:trPr>
        <w:tc>
          <w:tcPr>
            <w:tcW w:w="2120" w:type="dxa"/>
            <w:tcBorders>
              <w:top w:val="nil"/>
              <w:left w:val="single" w:sz="4" w:space="0" w:color="auto"/>
              <w:bottom w:val="nil"/>
              <w:right w:val="single" w:sz="4" w:space="0" w:color="auto"/>
            </w:tcBorders>
            <w:shd w:val="clear" w:color="auto" w:fill="auto"/>
            <w:hideMark/>
          </w:tcPr>
          <w:p w14:paraId="58158CFC"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4DCE87C6"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2272C5" w:rsidRPr="00C23E6D" w14:paraId="573DC45E"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113C5D9D"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53E01977"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2272C5" w:rsidRPr="00C23E6D" w14:paraId="4B9760D6" w14:textId="77777777" w:rsidTr="4257620F">
        <w:trPr>
          <w:trHeight w:val="1026"/>
        </w:trPr>
        <w:tc>
          <w:tcPr>
            <w:tcW w:w="2120" w:type="dxa"/>
            <w:tcBorders>
              <w:top w:val="nil"/>
              <w:left w:val="single" w:sz="4" w:space="0" w:color="auto"/>
              <w:bottom w:val="single" w:sz="4" w:space="0" w:color="auto"/>
              <w:right w:val="single" w:sz="4" w:space="0" w:color="auto"/>
            </w:tcBorders>
            <w:shd w:val="clear" w:color="auto" w:fill="auto"/>
            <w:hideMark/>
          </w:tcPr>
          <w:p w14:paraId="77A337B1"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7FE6230B" w14:textId="77777777" w:rsidR="002272C5" w:rsidRPr="00CE67C3" w:rsidRDefault="0021056C" w:rsidP="002272C5">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 xml:space="preserve">All medicines included in the ePACT2 dashboard ‘Items not for routine prescribing – see the Supporting Information page Drug Classifications section for the detailed </w:t>
            </w:r>
            <w:r w:rsidR="008F58BD" w:rsidRPr="00CE67C3">
              <w:rPr>
                <w:rFonts w:ascii="Arial" w:eastAsia="Times New Roman" w:hAnsi="Arial" w:cs="Arial"/>
                <w:bCs w:val="0"/>
                <w:sz w:val="22"/>
                <w:szCs w:val="22"/>
                <w:lang w:eastAsia="en-GB"/>
              </w:rPr>
              <w:t>list.</w:t>
            </w:r>
            <w:r w:rsidRPr="00CE67C3">
              <w:rPr>
                <w:rFonts w:ascii="Arial" w:eastAsia="Times New Roman" w:hAnsi="Arial" w:cs="Arial"/>
                <w:bCs w:val="0"/>
                <w:sz w:val="22"/>
                <w:szCs w:val="22"/>
                <w:lang w:eastAsia="en-GB"/>
              </w:rPr>
              <w:t xml:space="preserve"> </w:t>
            </w:r>
          </w:p>
          <w:p w14:paraId="0A7C9755" w14:textId="77777777" w:rsidR="00BE192A" w:rsidRPr="00CE67C3" w:rsidRDefault="00BE192A" w:rsidP="002272C5">
            <w:pPr>
              <w:spacing w:after="0" w:line="240" w:lineRule="auto"/>
              <w:rPr>
                <w:rFonts w:ascii="Arial" w:eastAsia="Times New Roman" w:hAnsi="Arial" w:cs="Arial"/>
                <w:bCs w:val="0"/>
                <w:sz w:val="22"/>
                <w:szCs w:val="22"/>
                <w:lang w:eastAsia="en-GB"/>
              </w:rPr>
            </w:pPr>
          </w:p>
          <w:p w14:paraId="4B9C7092" w14:textId="6F82D35F" w:rsidR="00BE192A" w:rsidRPr="00CE67C3" w:rsidRDefault="00AA2402" w:rsidP="002272C5">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Alternatively</w:t>
            </w:r>
            <w:r w:rsidR="00BE192A" w:rsidRPr="00CE67C3">
              <w:rPr>
                <w:rFonts w:ascii="Arial" w:eastAsia="Times New Roman" w:hAnsi="Arial" w:cs="Arial"/>
                <w:bCs w:val="0"/>
                <w:sz w:val="22"/>
                <w:szCs w:val="22"/>
                <w:lang w:eastAsia="en-GB"/>
              </w:rPr>
              <w:t xml:space="preserve">, </w:t>
            </w:r>
            <w:r w:rsidRPr="00CE67C3">
              <w:rPr>
                <w:rFonts w:ascii="Arial" w:eastAsia="Times New Roman" w:hAnsi="Arial" w:cs="Arial"/>
                <w:bCs w:val="0"/>
                <w:sz w:val="22"/>
                <w:szCs w:val="22"/>
                <w:lang w:eastAsia="en-GB"/>
              </w:rPr>
              <w:t xml:space="preserve">medication groups can be found in the following guidance: </w:t>
            </w:r>
            <w:hyperlink r:id="rId25" w:history="1">
              <w:r w:rsidRPr="00CE67C3">
                <w:rPr>
                  <w:rStyle w:val="Hyperlink"/>
                  <w:rFonts w:ascii="Arial" w:eastAsia="Times New Roman" w:hAnsi="Arial" w:cs="Arial"/>
                  <w:sz w:val="22"/>
                  <w:szCs w:val="22"/>
                  <w:lang w:eastAsia="en-GB"/>
                </w:rPr>
                <w:t>NHS England » Items which should not routinely be prescribed in primary care: policy guidance</w:t>
              </w:r>
            </w:hyperlink>
          </w:p>
        </w:tc>
      </w:tr>
      <w:tr w:rsidR="002272C5" w:rsidRPr="00C23E6D" w14:paraId="05231ED4" w14:textId="77777777" w:rsidTr="4257620F">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096ADCBE" w14:textId="77777777" w:rsidR="002272C5" w:rsidRPr="00CE67C3" w:rsidRDefault="002272C5" w:rsidP="002272C5">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hideMark/>
          </w:tcPr>
          <w:p w14:paraId="63A3272F" w14:textId="0CB96014" w:rsidR="002272C5" w:rsidRPr="00CE67C3" w:rsidRDefault="0C9798BA" w:rsidP="4257620F">
            <w:pPr>
              <w:spacing w:after="0" w:line="240" w:lineRule="auto"/>
              <w:rPr>
                <w:rFonts w:ascii="Arial" w:eastAsia="Times New Roman" w:hAnsi="Arial" w:cs="Arial"/>
                <w:sz w:val="22"/>
                <w:szCs w:val="22"/>
                <w:lang w:eastAsia="en-GB"/>
              </w:rPr>
            </w:pPr>
            <w:r w:rsidRPr="4257620F">
              <w:rPr>
                <w:rFonts w:ascii="Arial" w:eastAsia="Times New Roman" w:hAnsi="Arial" w:cs="Arial"/>
                <w:sz w:val="22"/>
                <w:szCs w:val="22"/>
                <w:lang w:eastAsia="en-GB"/>
              </w:rPr>
              <w:t>Includes a</w:t>
            </w:r>
            <w:r w:rsidR="63283B0B" w:rsidRPr="4257620F">
              <w:rPr>
                <w:rFonts w:ascii="Arial" w:eastAsia="Times New Roman" w:hAnsi="Arial" w:cs="Arial"/>
                <w:sz w:val="22"/>
                <w:szCs w:val="22"/>
                <w:lang w:eastAsia="en-GB"/>
              </w:rPr>
              <w:t>ctive English GP Practices with list size of 1 or greater</w:t>
            </w:r>
          </w:p>
        </w:tc>
      </w:tr>
    </w:tbl>
    <w:p w14:paraId="201FE260" w14:textId="77777777" w:rsidR="00C23E6D" w:rsidRDefault="00C23E6D"/>
    <w:p w14:paraId="1E13B0D5" w14:textId="14D08F8D" w:rsidR="009B7AA8" w:rsidRDefault="009B7AA8">
      <w:pPr>
        <w:rPr>
          <w:rFonts w:asciiTheme="majorHAnsi" w:eastAsiaTheme="majorEastAsia" w:hAnsiTheme="majorHAnsi" w:cstheme="majorBidi"/>
          <w:color w:val="005EB8" w:themeColor="text2"/>
          <w:sz w:val="24"/>
          <w:szCs w:val="26"/>
        </w:rPr>
      </w:pPr>
      <w:r>
        <w:br w:type="page"/>
      </w:r>
    </w:p>
    <w:p w14:paraId="62E2F0E9" w14:textId="349DA019" w:rsidR="009B7AA8" w:rsidRDefault="009B7AA8" w:rsidP="009B7AA8">
      <w:pPr>
        <w:pStyle w:val="Heading2"/>
      </w:pPr>
      <w:bookmarkStart w:id="11" w:name="_Toc172291523"/>
      <w:r>
        <w:lastRenderedPageBreak/>
        <w:t>Metric 04.Secondary care commercial framework</w:t>
      </w:r>
      <w:bookmarkEnd w:id="11"/>
    </w:p>
    <w:tbl>
      <w:tblPr>
        <w:tblW w:w="8920" w:type="dxa"/>
        <w:tblLook w:val="04A0" w:firstRow="1" w:lastRow="0" w:firstColumn="1" w:lastColumn="0" w:noHBand="0" w:noVBand="1"/>
      </w:tblPr>
      <w:tblGrid>
        <w:gridCol w:w="2120"/>
        <w:gridCol w:w="6800"/>
      </w:tblGrid>
      <w:tr w:rsidR="00C23E6D" w:rsidRPr="00C23E6D" w14:paraId="65FEF644"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415B5C0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68E64C03"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Secondary care commercial framework</w:t>
            </w:r>
          </w:p>
        </w:tc>
      </w:tr>
      <w:tr w:rsidR="00C23E6D" w:rsidRPr="00C23E6D" w14:paraId="695B7C57"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13A6D1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3978C648"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Obtaining secondary care medicines in line with NHS England commercial medicines framework agreements</w:t>
            </w:r>
          </w:p>
        </w:tc>
      </w:tr>
      <w:tr w:rsidR="00C23E6D" w:rsidRPr="00C23E6D" w14:paraId="67220C53"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75BE0625"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15FEB2E7" w14:textId="5276F5E9" w:rsidR="00C23E6D" w:rsidRPr="00C23E6D"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Secondary</w:t>
            </w:r>
            <w:r w:rsidR="609EEA4A" w:rsidRPr="4257620F">
              <w:rPr>
                <w:rFonts w:ascii="Arial" w:eastAsia="Times New Roman" w:hAnsi="Arial" w:cs="Arial"/>
                <w:color w:val="000000" w:themeColor="text1"/>
                <w:sz w:val="22"/>
                <w:szCs w:val="22"/>
                <w:lang w:eastAsia="en-GB"/>
              </w:rPr>
              <w:t xml:space="preserve"> care</w:t>
            </w:r>
          </w:p>
        </w:tc>
      </w:tr>
      <w:tr w:rsidR="00C23E6D" w:rsidRPr="00C23E6D" w14:paraId="3FDBDA66"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03FC623"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49A0FB7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Percentage difference between contract price as per framework agreements and actual price paid as a percentage of total spend in secondary care medicines</w:t>
            </w:r>
          </w:p>
        </w:tc>
      </w:tr>
      <w:tr w:rsidR="00C23E6D" w:rsidRPr="00C23E6D" w14:paraId="1A314805"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056508C"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3A5CEE5D"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Lower</w:t>
            </w:r>
          </w:p>
        </w:tc>
      </w:tr>
      <w:tr w:rsidR="00C23E6D" w:rsidRPr="00C23E6D" w14:paraId="351B9083"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FA4A04F"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4AB62028" w14:textId="4D945B13" w:rsidR="00953C9B" w:rsidRDefault="00953C9B" w:rsidP="00953C9B">
            <w:pPr>
              <w:spacing w:line="240" w:lineRule="auto"/>
              <w:rPr>
                <w:rFonts w:ascii="Arial" w:eastAsia="Times New Roman" w:hAnsi="Arial" w:cs="Arial"/>
                <w:bCs w:val="0"/>
                <w:color w:val="000000"/>
                <w:sz w:val="22"/>
                <w:szCs w:val="22"/>
                <w:lang w:eastAsia="en-GB"/>
              </w:rPr>
            </w:pPr>
            <w:r w:rsidRPr="00953C9B">
              <w:rPr>
                <w:rFonts w:ascii="Arial" w:eastAsia="Times New Roman" w:hAnsi="Arial" w:cs="Arial"/>
                <w:bCs w:val="0"/>
                <w:color w:val="000000"/>
                <w:sz w:val="22"/>
                <w:szCs w:val="22"/>
                <w:lang w:eastAsia="en-GB"/>
              </w:rPr>
              <w:t xml:space="preserve">Total difference between price paid and price established in the commercial framework - rolling </w:t>
            </w:r>
            <w:r w:rsidR="005044D7" w:rsidRPr="00953C9B">
              <w:rPr>
                <w:rFonts w:ascii="Arial" w:eastAsia="Times New Roman" w:hAnsi="Arial" w:cs="Arial"/>
                <w:bCs w:val="0"/>
                <w:color w:val="000000"/>
                <w:sz w:val="22"/>
                <w:szCs w:val="22"/>
                <w:lang w:eastAsia="en-GB"/>
              </w:rPr>
              <w:t>12-month</w:t>
            </w:r>
            <w:r w:rsidRPr="00953C9B">
              <w:rPr>
                <w:rFonts w:ascii="Arial" w:eastAsia="Times New Roman" w:hAnsi="Arial" w:cs="Arial"/>
                <w:bCs w:val="0"/>
                <w:color w:val="000000"/>
                <w:sz w:val="22"/>
                <w:szCs w:val="22"/>
                <w:lang w:eastAsia="en-GB"/>
              </w:rPr>
              <w:t xml:space="preserve"> period</w:t>
            </w:r>
            <w:r>
              <w:rPr>
                <w:rFonts w:ascii="Arial" w:eastAsia="Times New Roman" w:hAnsi="Arial" w:cs="Arial"/>
                <w:bCs w:val="0"/>
                <w:color w:val="000000"/>
                <w:sz w:val="22"/>
                <w:szCs w:val="22"/>
                <w:lang w:eastAsia="en-GB"/>
              </w:rPr>
              <w:t xml:space="preserve">. </w:t>
            </w:r>
          </w:p>
          <w:p w14:paraId="19A6F541" w14:textId="1C687B6F" w:rsidR="00953C9B" w:rsidRPr="00C23E6D" w:rsidRDefault="00953C9B" w:rsidP="00953C9B">
            <w:pPr>
              <w:spacing w:line="240" w:lineRule="auto"/>
              <w:rPr>
                <w:rFonts w:ascii="Arial" w:eastAsia="Times New Roman" w:hAnsi="Arial" w:cs="Arial"/>
                <w:bCs w:val="0"/>
                <w:color w:val="000000"/>
                <w:sz w:val="22"/>
                <w:szCs w:val="22"/>
                <w:lang w:eastAsia="en-GB"/>
              </w:rPr>
            </w:pPr>
            <w:r>
              <w:rPr>
                <w:rFonts w:ascii="Arial" w:eastAsia="Times New Roman" w:hAnsi="Arial" w:cs="Arial"/>
                <w:bCs w:val="0"/>
                <w:color w:val="000000"/>
                <w:sz w:val="22"/>
                <w:szCs w:val="22"/>
                <w:lang w:eastAsia="en-GB"/>
              </w:rPr>
              <w:t>Note only the metric data is visible to users, numerator is hidden due to commercial sensitivities.</w:t>
            </w:r>
          </w:p>
        </w:tc>
      </w:tr>
      <w:tr w:rsidR="00C23E6D" w:rsidRPr="00C23E6D" w14:paraId="28D4A073"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D83B984"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41710B8B"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GBP</w:t>
            </w:r>
          </w:p>
        </w:tc>
      </w:tr>
      <w:tr w:rsidR="00C23E6D" w:rsidRPr="00C23E6D" w14:paraId="785BEB67"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01C242A"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52A3FE34" w14:textId="27ECF13E" w:rsidR="00C23E6D" w:rsidRPr="00C23E6D" w:rsidRDefault="00953C9B" w:rsidP="00C23E6D">
            <w:pPr>
              <w:spacing w:after="0" w:line="240" w:lineRule="auto"/>
              <w:rPr>
                <w:rFonts w:ascii="Arial" w:eastAsia="Times New Roman" w:hAnsi="Arial" w:cs="Arial"/>
                <w:bCs w:val="0"/>
                <w:color w:val="000000"/>
                <w:sz w:val="22"/>
                <w:szCs w:val="22"/>
                <w:lang w:eastAsia="en-GB"/>
              </w:rPr>
            </w:pPr>
            <w:r w:rsidRPr="00953C9B">
              <w:rPr>
                <w:rFonts w:ascii="Arial" w:eastAsia="Times New Roman" w:hAnsi="Arial" w:cs="Arial"/>
                <w:bCs w:val="0"/>
                <w:color w:val="000000"/>
                <w:sz w:val="22"/>
                <w:szCs w:val="22"/>
                <w:lang w:eastAsia="en-GB"/>
              </w:rPr>
              <w:t xml:space="preserve">Total difference between price paid and price established in the commercial framework - rolling </w:t>
            </w:r>
            <w:r w:rsidR="005044D7" w:rsidRPr="00953C9B">
              <w:rPr>
                <w:rFonts w:ascii="Arial" w:eastAsia="Times New Roman" w:hAnsi="Arial" w:cs="Arial"/>
                <w:bCs w:val="0"/>
                <w:color w:val="000000"/>
                <w:sz w:val="22"/>
                <w:szCs w:val="22"/>
                <w:lang w:eastAsia="en-GB"/>
              </w:rPr>
              <w:t>12-month</w:t>
            </w:r>
            <w:r w:rsidRPr="00953C9B">
              <w:rPr>
                <w:rFonts w:ascii="Arial" w:eastAsia="Times New Roman" w:hAnsi="Arial" w:cs="Arial"/>
                <w:bCs w:val="0"/>
                <w:color w:val="000000"/>
                <w:sz w:val="22"/>
                <w:szCs w:val="22"/>
                <w:lang w:eastAsia="en-GB"/>
              </w:rPr>
              <w:t xml:space="preserve"> period</w:t>
            </w:r>
            <w:r>
              <w:rPr>
                <w:rFonts w:ascii="Arial" w:eastAsia="Times New Roman" w:hAnsi="Arial" w:cs="Arial"/>
                <w:bCs w:val="0"/>
                <w:color w:val="000000"/>
                <w:sz w:val="22"/>
                <w:szCs w:val="22"/>
                <w:lang w:eastAsia="en-GB"/>
              </w:rPr>
              <w:t>.</w:t>
            </w:r>
          </w:p>
        </w:tc>
      </w:tr>
      <w:tr w:rsidR="00C23E6D" w:rsidRPr="00C23E6D" w14:paraId="0DFD0609"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962C6D3"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5D7288F5" w14:textId="77777777" w:rsidR="00C23E6D" w:rsidRPr="00776868" w:rsidRDefault="00C23E6D" w:rsidP="00C23E6D">
            <w:pPr>
              <w:spacing w:after="0" w:line="240" w:lineRule="auto"/>
            </w:pPr>
            <w:r w:rsidRPr="00C23E6D">
              <w:rPr>
                <w:rFonts w:ascii="Arial" w:eastAsia="Times New Roman" w:hAnsi="Arial" w:cs="Arial"/>
                <w:bCs w:val="0"/>
                <w:color w:val="000000"/>
                <w:sz w:val="22"/>
                <w:szCs w:val="22"/>
                <w:lang w:eastAsia="en-GB"/>
              </w:rPr>
              <w:t>GBP</w:t>
            </w:r>
          </w:p>
        </w:tc>
      </w:tr>
      <w:tr w:rsidR="00BA75C0" w:rsidRPr="00C23E6D" w14:paraId="3D05FB82" w14:textId="77777777" w:rsidTr="00F94D3C">
        <w:trPr>
          <w:trHeight w:val="40"/>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D3161" w14:textId="07AA04F0" w:rsidR="00BA75C0" w:rsidRPr="00C23E6D" w:rsidRDefault="00BA75C0"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Hyperlinks to supporting information</w:t>
            </w:r>
          </w:p>
        </w:tc>
        <w:tc>
          <w:tcPr>
            <w:tcW w:w="6800" w:type="dxa"/>
            <w:tcBorders>
              <w:top w:val="single" w:sz="4" w:space="0" w:color="auto"/>
              <w:left w:val="nil"/>
              <w:bottom w:val="nil"/>
              <w:right w:val="single" w:sz="4" w:space="0" w:color="auto"/>
            </w:tcBorders>
            <w:shd w:val="clear" w:color="auto" w:fill="auto"/>
          </w:tcPr>
          <w:p w14:paraId="46BC3339" w14:textId="23EC182C" w:rsidR="00BA75C0" w:rsidRPr="002F1FFC" w:rsidRDefault="00430238" w:rsidP="009C5723">
            <w:pPr>
              <w:pStyle w:val="Hyperlinkinpara"/>
            </w:pPr>
            <w:hyperlink r:id="rId26" w:history="1">
              <w:r w:rsidR="00BA75C0" w:rsidRPr="00115C70">
                <w:rPr>
                  <w:rStyle w:val="Hyperlink"/>
                  <w:color w:val="0072CE"/>
                </w:rPr>
                <w:t>RX-info - Exend+ data</w:t>
              </w:r>
            </w:hyperlink>
          </w:p>
        </w:tc>
      </w:tr>
      <w:tr w:rsidR="00BA75C0" w:rsidRPr="00C23E6D" w14:paraId="1A32F087" w14:textId="77777777" w:rsidTr="00F94D3C">
        <w:trPr>
          <w:trHeight w:val="552"/>
        </w:trPr>
        <w:tc>
          <w:tcPr>
            <w:tcW w:w="2120" w:type="dxa"/>
            <w:vMerge/>
            <w:tcBorders>
              <w:left w:val="single" w:sz="4" w:space="0" w:color="auto"/>
              <w:bottom w:val="single" w:sz="4" w:space="0" w:color="auto"/>
              <w:right w:val="single" w:sz="4" w:space="0" w:color="auto"/>
            </w:tcBorders>
            <w:hideMark/>
          </w:tcPr>
          <w:p w14:paraId="298E6FFD" w14:textId="23DE600F" w:rsidR="00BA75C0" w:rsidRPr="00C23E6D" w:rsidRDefault="00BA75C0" w:rsidP="00C23E6D">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tcPr>
          <w:p w14:paraId="586AF481" w14:textId="7FAB3A9D" w:rsidR="00BA75C0" w:rsidRPr="002F1FFC" w:rsidRDefault="00430238" w:rsidP="009C5723">
            <w:pPr>
              <w:pStyle w:val="Hyperlinkinpara"/>
            </w:pPr>
            <w:hyperlink r:id="rId27" w:history="1">
              <w:r w:rsidR="00BA75C0" w:rsidRPr="00115C70">
                <w:rPr>
                  <w:rStyle w:val="Hyperlink"/>
                  <w:color w:val="0072CE"/>
                </w:rPr>
                <w:t>NHS England - Medicines Efficiencies - FutureNHS Collaboration Platform</w:t>
              </w:r>
            </w:hyperlink>
          </w:p>
        </w:tc>
      </w:tr>
      <w:tr w:rsidR="00953C9B" w:rsidRPr="00C23E6D" w14:paraId="47C2994C" w14:textId="77777777" w:rsidTr="00953C9B">
        <w:trPr>
          <w:trHeight w:val="2780"/>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55279483" w14:textId="77333738" w:rsidR="00953C9B" w:rsidRPr="00C23E6D" w:rsidRDefault="00953C9B" w:rsidP="00953C9B">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Notes</w:t>
            </w:r>
          </w:p>
        </w:tc>
        <w:tc>
          <w:tcPr>
            <w:tcW w:w="6800" w:type="dxa"/>
            <w:tcBorders>
              <w:top w:val="single" w:sz="4" w:space="0" w:color="auto"/>
              <w:left w:val="nil"/>
              <w:bottom w:val="single" w:sz="4" w:space="0" w:color="auto"/>
              <w:right w:val="single" w:sz="4" w:space="0" w:color="auto"/>
            </w:tcBorders>
            <w:shd w:val="clear" w:color="auto" w:fill="auto"/>
            <w:hideMark/>
          </w:tcPr>
          <w:p w14:paraId="364E29F7" w14:textId="1B0E36E6" w:rsidR="00953C9B" w:rsidRDefault="00953C9B" w:rsidP="00953C9B">
            <w:pPr>
              <w:spacing w:line="240" w:lineRule="auto"/>
              <w:rPr>
                <w:rFonts w:ascii="Arial" w:eastAsia="Times New Roman" w:hAnsi="Arial" w:cs="Arial"/>
                <w:bCs w:val="0"/>
                <w:color w:val="000000"/>
                <w:sz w:val="22"/>
                <w:szCs w:val="22"/>
                <w:lang w:eastAsia="en-GB"/>
              </w:rPr>
            </w:pPr>
            <w:r w:rsidRPr="009A41F2">
              <w:rPr>
                <w:rFonts w:ascii="Arial" w:eastAsia="Times New Roman" w:hAnsi="Arial" w:cs="Arial"/>
                <w:bCs w:val="0"/>
                <w:color w:val="000000"/>
                <w:sz w:val="22"/>
                <w:szCs w:val="22"/>
                <w:lang w:eastAsia="en-GB"/>
              </w:rPr>
              <w:t>RX-info data may be subject to revision.</w:t>
            </w:r>
          </w:p>
          <w:p w14:paraId="0FFF86C8" w14:textId="77777777" w:rsidR="00953C9B" w:rsidRPr="00C23E6D" w:rsidRDefault="00953C9B" w:rsidP="00953C9B">
            <w:pPr>
              <w:spacing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xml:space="preserve">This metric only includes </w:t>
            </w:r>
            <w:r>
              <w:rPr>
                <w:rFonts w:ascii="Arial" w:eastAsia="Times New Roman" w:hAnsi="Arial" w:cs="Arial"/>
                <w:bCs w:val="0"/>
                <w:color w:val="000000"/>
                <w:sz w:val="22"/>
                <w:szCs w:val="22"/>
                <w:lang w:eastAsia="en-GB"/>
              </w:rPr>
              <w:t>T</w:t>
            </w:r>
            <w:r w:rsidRPr="00C23E6D">
              <w:rPr>
                <w:rFonts w:ascii="Arial" w:eastAsia="Times New Roman" w:hAnsi="Arial" w:cs="Arial"/>
                <w:bCs w:val="0"/>
                <w:color w:val="000000"/>
                <w:sz w:val="22"/>
                <w:szCs w:val="22"/>
                <w:lang w:eastAsia="en-GB"/>
              </w:rPr>
              <w:t>rusts for which the contract variance information is available.</w:t>
            </w:r>
          </w:p>
          <w:p w14:paraId="58E250EA" w14:textId="77777777" w:rsidR="00953C9B" w:rsidRPr="00115C70" w:rsidRDefault="00953C9B" w:rsidP="00953C9B">
            <w:pPr>
              <w:spacing w:line="240" w:lineRule="auto"/>
              <w:rPr>
                <w:rFonts w:ascii="Arial" w:eastAsia="Times New Roman" w:hAnsi="Arial" w:cs="Arial"/>
                <w:bCs w:val="0"/>
                <w:sz w:val="22"/>
                <w:szCs w:val="22"/>
                <w:lang w:eastAsia="en-GB"/>
              </w:rPr>
            </w:pPr>
            <w:r w:rsidRPr="00115C70">
              <w:rPr>
                <w:rFonts w:ascii="Arial" w:eastAsia="Times New Roman" w:hAnsi="Arial" w:cs="Arial"/>
                <w:bCs w:val="0"/>
                <w:sz w:val="22"/>
                <w:szCs w:val="22"/>
                <w:lang w:eastAsia="en-GB"/>
              </w:rPr>
              <w:t xml:space="preserve">Some Trusts have missing data for this metric due to integration issues with Exend+. </w:t>
            </w:r>
          </w:p>
          <w:p w14:paraId="6A793A68" w14:textId="1A3B4477" w:rsidR="00953C9B" w:rsidRPr="00953C9B" w:rsidRDefault="00953C9B" w:rsidP="00953C9B">
            <w:pPr>
              <w:rPr>
                <w:rFonts w:ascii="Arial" w:hAnsi="Arial" w:cs="Arial"/>
                <w:bCs w:val="0"/>
                <w:color w:val="000000"/>
                <w:sz w:val="22"/>
                <w:szCs w:val="22"/>
              </w:rPr>
            </w:pPr>
            <w:r>
              <w:rPr>
                <w:rFonts w:ascii="Arial" w:hAnsi="Arial" w:cs="Arial"/>
                <w:color w:val="000000"/>
                <w:sz w:val="22"/>
                <w:szCs w:val="22"/>
              </w:rPr>
              <w:t xml:space="preserve">Data from April 2024 and after is presented on a rolling </w:t>
            </w:r>
            <w:r w:rsidR="005044D7">
              <w:rPr>
                <w:rFonts w:ascii="Arial" w:hAnsi="Arial" w:cs="Arial"/>
                <w:color w:val="000000"/>
                <w:sz w:val="22"/>
                <w:szCs w:val="22"/>
              </w:rPr>
              <w:t>12-month</w:t>
            </w:r>
            <w:r>
              <w:rPr>
                <w:rFonts w:ascii="Arial" w:hAnsi="Arial" w:cs="Arial"/>
                <w:color w:val="000000"/>
                <w:sz w:val="22"/>
                <w:szCs w:val="22"/>
              </w:rPr>
              <w:t xml:space="preserve"> basis. Data before March 2024 is presented on a year-to-date basis as 12 months of historical data is not available. See "reported time period" column in the reports for details.</w:t>
            </w:r>
          </w:p>
        </w:tc>
      </w:tr>
      <w:tr w:rsidR="006C2B66" w:rsidRPr="006C2B66" w14:paraId="16B9D770" w14:textId="77777777" w:rsidTr="00953C9B">
        <w:trPr>
          <w:trHeight w:val="552"/>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0BE543A" w14:textId="77777777" w:rsidR="00C23E6D" w:rsidRPr="00115C70" w:rsidRDefault="00C23E6D" w:rsidP="00C23E6D">
            <w:pPr>
              <w:spacing w:after="0" w:line="240" w:lineRule="auto"/>
              <w:rPr>
                <w:rFonts w:ascii="Arial" w:eastAsia="Times New Roman" w:hAnsi="Arial" w:cs="Arial"/>
                <w:bCs w:val="0"/>
                <w:sz w:val="22"/>
                <w:szCs w:val="22"/>
                <w:lang w:eastAsia="en-GB"/>
              </w:rPr>
            </w:pPr>
            <w:r w:rsidRPr="00115C70">
              <w:rPr>
                <w:rFonts w:ascii="Arial" w:eastAsia="Times New Roman" w:hAnsi="Arial" w:cs="Arial"/>
                <w:bCs w:val="0"/>
                <w:sz w:val="22"/>
                <w:szCs w:val="22"/>
                <w:lang w:eastAsia="en-GB"/>
              </w:rPr>
              <w:t>Medicine Group Definitions</w:t>
            </w:r>
          </w:p>
        </w:tc>
        <w:tc>
          <w:tcPr>
            <w:tcW w:w="6800" w:type="dxa"/>
            <w:tcBorders>
              <w:top w:val="single" w:sz="4" w:space="0" w:color="auto"/>
              <w:left w:val="nil"/>
              <w:bottom w:val="single" w:sz="4" w:space="0" w:color="auto"/>
              <w:right w:val="single" w:sz="4" w:space="0" w:color="auto"/>
            </w:tcBorders>
            <w:shd w:val="clear" w:color="auto" w:fill="auto"/>
          </w:tcPr>
          <w:p w14:paraId="10B1F968" w14:textId="2637F2D8" w:rsidR="00C23E6D" w:rsidRPr="00115C70" w:rsidRDefault="00C23E6D" w:rsidP="00C23E6D">
            <w:pPr>
              <w:spacing w:after="0" w:line="240" w:lineRule="auto"/>
              <w:rPr>
                <w:rFonts w:ascii="Arial" w:eastAsia="Times New Roman" w:hAnsi="Arial" w:cs="Arial"/>
                <w:bCs w:val="0"/>
                <w:sz w:val="22"/>
                <w:szCs w:val="22"/>
                <w:lang w:eastAsia="en-GB"/>
              </w:rPr>
            </w:pPr>
          </w:p>
        </w:tc>
      </w:tr>
      <w:tr w:rsidR="006C2B66" w:rsidRPr="006C2B66" w14:paraId="2100C719" w14:textId="77777777" w:rsidTr="4257620F">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728A9031" w14:textId="77777777" w:rsidR="00C23E6D" w:rsidRPr="00115C70" w:rsidRDefault="00C23E6D" w:rsidP="00C23E6D">
            <w:pPr>
              <w:spacing w:after="0" w:line="240" w:lineRule="auto"/>
              <w:rPr>
                <w:rFonts w:ascii="Arial" w:eastAsia="Times New Roman" w:hAnsi="Arial" w:cs="Arial"/>
                <w:bCs w:val="0"/>
                <w:sz w:val="22"/>
                <w:szCs w:val="22"/>
                <w:lang w:eastAsia="en-GB"/>
              </w:rPr>
            </w:pPr>
            <w:r w:rsidRPr="00115C70">
              <w:rPr>
                <w:rFonts w:ascii="Arial" w:eastAsia="Times New Roman" w:hAnsi="Arial" w:cs="Arial"/>
                <w:bCs w:val="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tcPr>
          <w:p w14:paraId="48CAA3F5" w14:textId="232E2E59" w:rsidR="00C23E6D" w:rsidRPr="00115C70" w:rsidRDefault="00C23E6D" w:rsidP="00C23E6D">
            <w:pPr>
              <w:spacing w:after="0" w:line="240" w:lineRule="auto"/>
              <w:rPr>
                <w:rFonts w:ascii="Arial" w:eastAsia="Times New Roman" w:hAnsi="Arial" w:cs="Arial"/>
                <w:bCs w:val="0"/>
                <w:sz w:val="22"/>
                <w:szCs w:val="22"/>
                <w:lang w:eastAsia="en-GB"/>
              </w:rPr>
            </w:pPr>
          </w:p>
        </w:tc>
      </w:tr>
    </w:tbl>
    <w:p w14:paraId="5BD5D242" w14:textId="556957A9" w:rsidR="00D2031B" w:rsidRDefault="00D2031B"/>
    <w:p w14:paraId="4554DF63" w14:textId="77777777" w:rsidR="00D2031B" w:rsidRDefault="00D2031B">
      <w:r>
        <w:br w:type="page"/>
      </w:r>
    </w:p>
    <w:p w14:paraId="1CBFE0B4" w14:textId="51CAC181" w:rsidR="00D2031B" w:rsidRDefault="00D2031B" w:rsidP="00D2031B">
      <w:pPr>
        <w:pStyle w:val="Heading2"/>
      </w:pPr>
      <w:bookmarkStart w:id="12" w:name="_Toc172291524"/>
      <w:r>
        <w:lastRenderedPageBreak/>
        <w:t>Metric 05.</w:t>
      </w:r>
      <w:r w:rsidRPr="00D2031B">
        <w:t xml:space="preserve"> Standardising product formulations of aseptically compounded medicines</w:t>
      </w:r>
      <w:bookmarkEnd w:id="12"/>
    </w:p>
    <w:tbl>
      <w:tblPr>
        <w:tblW w:w="8920" w:type="dxa"/>
        <w:tblLook w:val="04A0" w:firstRow="1" w:lastRow="0" w:firstColumn="1" w:lastColumn="0" w:noHBand="0" w:noVBand="1"/>
      </w:tblPr>
      <w:tblGrid>
        <w:gridCol w:w="2120"/>
        <w:gridCol w:w="6800"/>
      </w:tblGrid>
      <w:tr w:rsidR="00D2031B" w:rsidRPr="00D2031B" w14:paraId="16DC949E" w14:textId="77777777" w:rsidTr="00D2031B">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BAD5A91"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04785189"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Standardising product formulations of aseptically compounded medicines</w:t>
            </w:r>
          </w:p>
        </w:tc>
      </w:tr>
      <w:tr w:rsidR="00D2031B" w:rsidRPr="00D2031B" w14:paraId="6BC0A7B4"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73E2C72"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173BC9FD" w14:textId="5D25E953" w:rsidR="00D2031B" w:rsidRPr="00D2031B" w:rsidRDefault="00D2031B" w:rsidP="00953C9B">
            <w:pPr>
              <w:spacing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 xml:space="preserve">This metric provides a proportion (%) of transactions for aseptically compounded products that are consistent with national dose banding standards for injectable and infusion based chemotherapy treatments for BNF chapter 8 (8.1.1 to 8.1.5) AND have a dm+d code consistent with a standard product specification. </w:t>
            </w:r>
          </w:p>
        </w:tc>
      </w:tr>
      <w:tr w:rsidR="00D2031B" w:rsidRPr="00D2031B" w14:paraId="5593DDCD" w14:textId="77777777" w:rsidTr="00D2031B">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8EE9874"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545B81EA"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Secondary</w:t>
            </w:r>
          </w:p>
        </w:tc>
      </w:tr>
      <w:tr w:rsidR="00D2031B" w:rsidRPr="00D2031B" w14:paraId="20647640"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4B0DB9D"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2FE5DD38"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This metric estimates the percentage of transactions for aseptically compounded products within BNF chapter 8 that are consistent with national standard product specifications, through calculating the proportion of dose banded products with a dm+d code used.</w:t>
            </w:r>
          </w:p>
        </w:tc>
      </w:tr>
      <w:tr w:rsidR="00D2031B" w:rsidRPr="00D2031B" w14:paraId="381EC9B2"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491944F9"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6977E87C"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Higher</w:t>
            </w:r>
          </w:p>
        </w:tc>
      </w:tr>
      <w:tr w:rsidR="00D2031B" w:rsidRPr="00D2031B" w14:paraId="0A93C8EF"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02C73AE"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145E8EAA"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This metric is derived by employing the Rx-info Define FLAG for Compounded Products and TAG for Dose Band Compliant Chemotherapy. It quantifies the percentage of products that are procured using dose banding and dm+d that are consistent with national standard product specifications.</w:t>
            </w:r>
          </w:p>
        </w:tc>
      </w:tr>
      <w:tr w:rsidR="00D2031B" w:rsidRPr="00D2031B" w14:paraId="30B2BB2F"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2901CA3"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4DA792AC"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Number of transactions per month</w:t>
            </w:r>
          </w:p>
        </w:tc>
      </w:tr>
      <w:tr w:rsidR="00D2031B" w:rsidRPr="00D2031B" w14:paraId="0B36E4D9"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3C3C6BA"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18ABA072"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This metric is derived by employing the Rx-info Define FLAG for Compounded Products and TAG for Dose Band Compliant Chemotherapy. It quantifies the percentage of products that are procured using dose banding and dm+d that are consistent with national standard product specifications.</w:t>
            </w:r>
          </w:p>
        </w:tc>
      </w:tr>
      <w:tr w:rsidR="00D2031B" w:rsidRPr="00D2031B" w14:paraId="6604FD1A" w14:textId="77777777" w:rsidTr="00D2031B">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3F60B7C"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212365CC"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Number of transactions per month</w:t>
            </w:r>
          </w:p>
        </w:tc>
      </w:tr>
      <w:tr w:rsidR="00D2031B" w:rsidRPr="00D2031B" w14:paraId="197C7E2C" w14:textId="77777777" w:rsidTr="00D2031B">
        <w:trPr>
          <w:trHeight w:val="241"/>
        </w:trPr>
        <w:tc>
          <w:tcPr>
            <w:tcW w:w="2120" w:type="dxa"/>
            <w:vMerge w:val="restart"/>
            <w:tcBorders>
              <w:top w:val="nil"/>
              <w:left w:val="single" w:sz="4" w:space="0" w:color="auto"/>
              <w:right w:val="single" w:sz="4" w:space="0" w:color="auto"/>
            </w:tcBorders>
            <w:shd w:val="clear" w:color="auto" w:fill="auto"/>
            <w:hideMark/>
          </w:tcPr>
          <w:p w14:paraId="686EBEE9" w14:textId="0CC72806"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Hyperlinks to supporting information</w:t>
            </w:r>
          </w:p>
        </w:tc>
        <w:tc>
          <w:tcPr>
            <w:tcW w:w="6800" w:type="dxa"/>
            <w:tcBorders>
              <w:top w:val="nil"/>
              <w:left w:val="nil"/>
              <w:bottom w:val="nil"/>
              <w:right w:val="single" w:sz="4" w:space="0" w:color="auto"/>
            </w:tcBorders>
            <w:shd w:val="clear" w:color="auto" w:fill="auto"/>
            <w:hideMark/>
          </w:tcPr>
          <w:p w14:paraId="7B9EE322" w14:textId="77777777" w:rsidR="00D2031B" w:rsidRPr="00D2031B" w:rsidRDefault="00430238" w:rsidP="00D2031B">
            <w:pPr>
              <w:pStyle w:val="Hyperlinkinpara"/>
            </w:pPr>
            <w:hyperlink r:id="rId28" w:tgtFrame="_parent" w:history="1">
              <w:r w:rsidR="00D2031B" w:rsidRPr="00D2031B">
                <w:t>NHS England » 2022/23 priorities and operational planning guidance</w:t>
              </w:r>
            </w:hyperlink>
          </w:p>
        </w:tc>
      </w:tr>
      <w:tr w:rsidR="00D2031B" w:rsidRPr="00D2031B" w14:paraId="10EAB43A" w14:textId="77777777" w:rsidTr="00DC67E9">
        <w:trPr>
          <w:trHeight w:val="276"/>
        </w:trPr>
        <w:tc>
          <w:tcPr>
            <w:tcW w:w="2120" w:type="dxa"/>
            <w:vMerge/>
            <w:tcBorders>
              <w:left w:val="single" w:sz="4" w:space="0" w:color="auto"/>
              <w:right w:val="single" w:sz="4" w:space="0" w:color="auto"/>
            </w:tcBorders>
            <w:shd w:val="clear" w:color="auto" w:fill="auto"/>
            <w:hideMark/>
          </w:tcPr>
          <w:p w14:paraId="58012A56" w14:textId="3B4246D6" w:rsidR="00D2031B" w:rsidRPr="00D2031B" w:rsidRDefault="00D2031B" w:rsidP="00D2031B">
            <w:pPr>
              <w:spacing w:after="0" w:line="240" w:lineRule="auto"/>
              <w:rPr>
                <w:rFonts w:ascii="Arial" w:eastAsia="Times New Roman" w:hAnsi="Arial" w:cs="Arial"/>
                <w:bCs w:val="0"/>
                <w:color w:val="000000"/>
                <w:sz w:val="22"/>
                <w:szCs w:val="22"/>
                <w:lang w:eastAsia="en-GB"/>
              </w:rPr>
            </w:pPr>
          </w:p>
        </w:tc>
        <w:tc>
          <w:tcPr>
            <w:tcW w:w="6800" w:type="dxa"/>
            <w:tcBorders>
              <w:top w:val="nil"/>
              <w:left w:val="nil"/>
              <w:bottom w:val="nil"/>
              <w:right w:val="single" w:sz="4" w:space="0" w:color="auto"/>
            </w:tcBorders>
            <w:shd w:val="clear" w:color="auto" w:fill="auto"/>
            <w:hideMark/>
          </w:tcPr>
          <w:p w14:paraId="3FC2029A" w14:textId="6E138CBA" w:rsidR="00D2031B" w:rsidRPr="00D2031B" w:rsidRDefault="00430238" w:rsidP="00D2031B">
            <w:pPr>
              <w:rPr>
                <w:rFonts w:ascii="Arial" w:hAnsi="Arial" w:cs="Arial"/>
                <w:bCs w:val="0"/>
                <w:color w:val="0072CE"/>
                <w:sz w:val="22"/>
                <w:szCs w:val="22"/>
                <w:u w:val="single"/>
              </w:rPr>
            </w:pPr>
            <w:hyperlink r:id="rId29" w:anchor="horizontal&amp;stacked&amp;zeroOrigin" w:history="1">
              <w:r w:rsidR="00D2031B">
                <w:rPr>
                  <w:rStyle w:val="Hyperlink"/>
                  <w:rFonts w:ascii="Arial" w:hAnsi="Arial" w:cs="Arial"/>
                  <w:sz w:val="22"/>
                  <w:szCs w:val="22"/>
                </w:rPr>
                <w:t>TAG numerator</w:t>
              </w:r>
            </w:hyperlink>
          </w:p>
        </w:tc>
      </w:tr>
      <w:tr w:rsidR="00D2031B" w:rsidRPr="00D2031B" w14:paraId="57FE8C2F" w14:textId="77777777" w:rsidTr="00953C9B">
        <w:trPr>
          <w:trHeight w:val="87"/>
        </w:trPr>
        <w:tc>
          <w:tcPr>
            <w:tcW w:w="2120" w:type="dxa"/>
            <w:vMerge/>
            <w:tcBorders>
              <w:left w:val="single" w:sz="4" w:space="0" w:color="auto"/>
              <w:bottom w:val="single" w:sz="4" w:space="0" w:color="auto"/>
              <w:right w:val="single" w:sz="4" w:space="0" w:color="auto"/>
            </w:tcBorders>
            <w:shd w:val="clear" w:color="auto" w:fill="auto"/>
            <w:hideMark/>
          </w:tcPr>
          <w:p w14:paraId="1710C63A" w14:textId="6468FB71" w:rsidR="00D2031B" w:rsidRPr="00D2031B" w:rsidRDefault="00D2031B" w:rsidP="00D2031B">
            <w:pPr>
              <w:spacing w:after="0" w:line="240" w:lineRule="auto"/>
              <w:rPr>
                <w:rFonts w:ascii="Arial" w:eastAsia="Times New Roman" w:hAnsi="Arial" w:cs="Arial"/>
                <w:bCs w:val="0"/>
                <w:color w:val="000000"/>
                <w:sz w:val="22"/>
                <w:szCs w:val="22"/>
                <w:lang w:eastAsia="en-GB"/>
              </w:rPr>
            </w:pPr>
          </w:p>
        </w:tc>
        <w:tc>
          <w:tcPr>
            <w:tcW w:w="6800" w:type="dxa"/>
            <w:tcBorders>
              <w:top w:val="nil"/>
              <w:left w:val="nil"/>
              <w:bottom w:val="single" w:sz="4" w:space="0" w:color="auto"/>
              <w:right w:val="single" w:sz="4" w:space="0" w:color="auto"/>
            </w:tcBorders>
            <w:shd w:val="clear" w:color="auto" w:fill="auto"/>
            <w:hideMark/>
          </w:tcPr>
          <w:p w14:paraId="7991588A" w14:textId="3ADA685E" w:rsidR="00D2031B" w:rsidRPr="00D2031B" w:rsidRDefault="00430238" w:rsidP="00D2031B">
            <w:pPr>
              <w:rPr>
                <w:rFonts w:ascii="Arial" w:hAnsi="Arial" w:cs="Arial"/>
                <w:bCs w:val="0"/>
                <w:color w:val="0072CE"/>
                <w:sz w:val="22"/>
                <w:szCs w:val="22"/>
                <w:u w:val="single"/>
              </w:rPr>
            </w:pPr>
            <w:hyperlink r:id="rId30" w:anchor="horizontal&amp;stacked&amp;zeroOrigin" w:history="1">
              <w:r w:rsidR="00D2031B">
                <w:rPr>
                  <w:rStyle w:val="Hyperlink"/>
                  <w:rFonts w:ascii="Arial" w:hAnsi="Arial" w:cs="Arial"/>
                  <w:sz w:val="22"/>
                  <w:szCs w:val="22"/>
                </w:rPr>
                <w:t>FLAG denominator</w:t>
              </w:r>
            </w:hyperlink>
          </w:p>
        </w:tc>
      </w:tr>
      <w:tr w:rsidR="00D2031B" w:rsidRPr="00D2031B" w14:paraId="7E7F284B" w14:textId="77777777" w:rsidTr="005044D7">
        <w:trPr>
          <w:trHeight w:val="41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5B54D033" w14:textId="26368EE9"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Notes </w:t>
            </w:r>
          </w:p>
        </w:tc>
        <w:tc>
          <w:tcPr>
            <w:tcW w:w="6800" w:type="dxa"/>
            <w:tcBorders>
              <w:top w:val="single" w:sz="4" w:space="0" w:color="auto"/>
              <w:left w:val="nil"/>
              <w:bottom w:val="single" w:sz="4" w:space="0" w:color="auto"/>
              <w:right w:val="single" w:sz="4" w:space="0" w:color="auto"/>
            </w:tcBorders>
            <w:shd w:val="clear" w:color="auto" w:fill="auto"/>
          </w:tcPr>
          <w:p w14:paraId="00197590" w14:textId="77777777" w:rsidR="005044D7" w:rsidRDefault="005044D7" w:rsidP="005044D7">
            <w:pPr>
              <w:spacing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 xml:space="preserve">All national product specifications have an assigned dm+d code, so can be distinguished from other aseptic products that may be dose-banded, but not consistent with the national specifications in terms of formulation. As more standard products specifications are produced and products with dm+d codes are issued in pharmacy systems, the percentage for this metric will increase. </w:t>
            </w:r>
          </w:p>
          <w:p w14:paraId="399D6701" w14:textId="12750D91" w:rsidR="00D2031B" w:rsidRDefault="005044D7" w:rsidP="00D2031B">
            <w:pPr>
              <w:spacing w:after="0" w:line="240" w:lineRule="auto"/>
              <w:rPr>
                <w:rFonts w:ascii="Arial" w:eastAsia="Times New Roman" w:hAnsi="Arial" w:cs="Arial"/>
                <w:bCs w:val="0"/>
                <w:color w:val="000000" w:themeColor="text1"/>
                <w:sz w:val="22"/>
                <w:szCs w:val="22"/>
                <w:lang w:eastAsia="en-GB"/>
              </w:rPr>
            </w:pPr>
            <w:r w:rsidRPr="00D2031B">
              <w:rPr>
                <w:rFonts w:ascii="Arial" w:eastAsia="Times New Roman" w:hAnsi="Arial" w:cs="Arial"/>
                <w:bCs w:val="0"/>
                <w:color w:val="000000"/>
                <w:sz w:val="22"/>
                <w:szCs w:val="22"/>
                <w:lang w:eastAsia="en-GB"/>
              </w:rPr>
              <w:t>It</w:t>
            </w:r>
            <w:r>
              <w:rPr>
                <w:rFonts w:ascii="Arial" w:eastAsia="Times New Roman" w:hAnsi="Arial" w:cs="Arial"/>
                <w:bCs w:val="0"/>
                <w:color w:val="000000"/>
                <w:sz w:val="22"/>
                <w:szCs w:val="22"/>
                <w:lang w:eastAsia="en-GB"/>
              </w:rPr>
              <w:t xml:space="preserve"> i</w:t>
            </w:r>
            <w:r w:rsidRPr="00D2031B">
              <w:rPr>
                <w:rFonts w:ascii="Arial" w:eastAsia="Times New Roman" w:hAnsi="Arial" w:cs="Arial"/>
                <w:bCs w:val="0"/>
                <w:color w:val="000000"/>
                <w:sz w:val="22"/>
                <w:szCs w:val="22"/>
                <w:lang w:eastAsia="en-GB"/>
              </w:rPr>
              <w:t>s important to note that some compounded products may be listed as complete ‘vials’ in RxInfo reporting due to variety in local trust descriptors in the pharmacy stock control system, and they lack a dose band and dm+d code. However, as these compounded products become compliant with dose banding and acquire dm+d codes, both the data quality and the metric indicator will significantly improve.</w:t>
            </w:r>
          </w:p>
          <w:p w14:paraId="5FC4084C" w14:textId="5DA6AD3D" w:rsidR="005044D7" w:rsidRPr="00D2031B" w:rsidRDefault="005044D7" w:rsidP="00D2031B">
            <w:pPr>
              <w:spacing w:after="0" w:line="240" w:lineRule="auto"/>
              <w:rPr>
                <w:rFonts w:ascii="Arial" w:eastAsia="Times New Roman" w:hAnsi="Arial" w:cs="Arial"/>
                <w:bCs w:val="0"/>
                <w:color w:val="000000" w:themeColor="text1"/>
                <w:sz w:val="22"/>
                <w:szCs w:val="22"/>
                <w:lang w:eastAsia="en-GB"/>
              </w:rPr>
            </w:pPr>
          </w:p>
        </w:tc>
      </w:tr>
      <w:tr w:rsidR="00D2031B" w:rsidRPr="00D2031B" w14:paraId="0B56000D" w14:textId="77777777" w:rsidTr="005044D7">
        <w:trPr>
          <w:trHeight w:val="552"/>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46613F49"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t>Medicine Group Definitions</w:t>
            </w:r>
          </w:p>
        </w:tc>
        <w:tc>
          <w:tcPr>
            <w:tcW w:w="6800" w:type="dxa"/>
            <w:tcBorders>
              <w:top w:val="single" w:sz="4" w:space="0" w:color="auto"/>
              <w:left w:val="nil"/>
              <w:bottom w:val="single" w:sz="4" w:space="0" w:color="auto"/>
              <w:right w:val="single" w:sz="4" w:space="0" w:color="auto"/>
            </w:tcBorders>
            <w:shd w:val="clear" w:color="auto" w:fill="auto"/>
          </w:tcPr>
          <w:p w14:paraId="1BC5B8FA" w14:textId="5E50EDC7" w:rsidR="00D2031B" w:rsidRPr="00D2031B" w:rsidRDefault="00D2031B" w:rsidP="00D2031B">
            <w:pPr>
              <w:spacing w:after="0" w:line="240" w:lineRule="auto"/>
              <w:rPr>
                <w:rFonts w:ascii="Arial" w:eastAsia="Times New Roman" w:hAnsi="Arial" w:cs="Arial"/>
                <w:bCs w:val="0"/>
                <w:color w:val="000000" w:themeColor="text1"/>
                <w:sz w:val="22"/>
                <w:szCs w:val="22"/>
                <w:lang w:eastAsia="en-GB"/>
              </w:rPr>
            </w:pPr>
          </w:p>
        </w:tc>
      </w:tr>
      <w:tr w:rsidR="00D2031B" w:rsidRPr="00D2031B" w14:paraId="52594113" w14:textId="77777777" w:rsidTr="005044D7">
        <w:trPr>
          <w:trHeight w:val="552"/>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7D4CB328" w14:textId="77777777" w:rsidR="00D2031B" w:rsidRPr="00D2031B" w:rsidRDefault="00D2031B" w:rsidP="00D2031B">
            <w:pPr>
              <w:spacing w:after="0" w:line="240" w:lineRule="auto"/>
              <w:rPr>
                <w:rFonts w:ascii="Arial" w:eastAsia="Times New Roman" w:hAnsi="Arial" w:cs="Arial"/>
                <w:bCs w:val="0"/>
                <w:color w:val="000000"/>
                <w:sz w:val="22"/>
                <w:szCs w:val="22"/>
                <w:lang w:eastAsia="en-GB"/>
              </w:rPr>
            </w:pPr>
            <w:r w:rsidRPr="00D2031B">
              <w:rPr>
                <w:rFonts w:ascii="Arial" w:eastAsia="Times New Roman" w:hAnsi="Arial" w:cs="Arial"/>
                <w:bCs w:val="0"/>
                <w:color w:val="000000"/>
                <w:sz w:val="22"/>
                <w:szCs w:val="22"/>
                <w:lang w:eastAsia="en-GB"/>
              </w:rPr>
              <w:lastRenderedPageBreak/>
              <w:t>Other inclusion or exclusion criteria:</w:t>
            </w:r>
          </w:p>
        </w:tc>
        <w:tc>
          <w:tcPr>
            <w:tcW w:w="6800" w:type="dxa"/>
            <w:tcBorders>
              <w:top w:val="single" w:sz="4" w:space="0" w:color="auto"/>
              <w:left w:val="nil"/>
              <w:bottom w:val="single" w:sz="4" w:space="0" w:color="auto"/>
              <w:right w:val="single" w:sz="4" w:space="0" w:color="auto"/>
            </w:tcBorders>
            <w:shd w:val="clear" w:color="auto" w:fill="auto"/>
          </w:tcPr>
          <w:p w14:paraId="02820DD4" w14:textId="61BEC55B" w:rsidR="00D2031B" w:rsidRPr="00D2031B" w:rsidRDefault="00D2031B" w:rsidP="00D2031B">
            <w:pPr>
              <w:spacing w:after="0" w:line="240" w:lineRule="auto"/>
              <w:rPr>
                <w:rFonts w:ascii="Arial" w:eastAsia="Times New Roman" w:hAnsi="Arial" w:cs="Arial"/>
                <w:bCs w:val="0"/>
                <w:color w:val="000000" w:themeColor="text1"/>
                <w:sz w:val="22"/>
                <w:szCs w:val="22"/>
                <w:lang w:eastAsia="en-GB"/>
              </w:rPr>
            </w:pPr>
          </w:p>
        </w:tc>
      </w:tr>
    </w:tbl>
    <w:p w14:paraId="07F890F9" w14:textId="79EAB665" w:rsidR="005A10FA" w:rsidRDefault="009B7AA8" w:rsidP="005A10FA">
      <w:pPr>
        <w:pStyle w:val="Heading2"/>
      </w:pPr>
      <w:r>
        <w:br w:type="page"/>
      </w:r>
      <w:bookmarkStart w:id="13" w:name="_Toc172291525"/>
      <w:r w:rsidR="005A10FA">
        <w:lastRenderedPageBreak/>
        <w:t>Metric 0</w:t>
      </w:r>
      <w:r w:rsidR="00E17FC0">
        <w:t>6</w:t>
      </w:r>
      <w:r w:rsidR="005A10FA">
        <w:t>.</w:t>
      </w:r>
      <w:r w:rsidR="00E658A1">
        <w:t xml:space="preserve"> Best value biologics - ranibizumab</w:t>
      </w:r>
      <w:bookmarkEnd w:id="13"/>
    </w:p>
    <w:tbl>
      <w:tblPr>
        <w:tblW w:w="8920" w:type="dxa"/>
        <w:tblLook w:val="04A0" w:firstRow="1" w:lastRow="0" w:firstColumn="1" w:lastColumn="0" w:noHBand="0" w:noVBand="1"/>
      </w:tblPr>
      <w:tblGrid>
        <w:gridCol w:w="1581"/>
        <w:gridCol w:w="7339"/>
      </w:tblGrid>
      <w:tr w:rsidR="005A10FA" w:rsidRPr="00C23E6D" w14:paraId="042FE67A" w14:textId="77777777" w:rsidTr="00F80497">
        <w:trPr>
          <w:trHeight w:val="276"/>
        </w:trPr>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65DE646A"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title</w:t>
            </w:r>
          </w:p>
        </w:tc>
        <w:tc>
          <w:tcPr>
            <w:tcW w:w="7339" w:type="dxa"/>
            <w:tcBorders>
              <w:top w:val="single" w:sz="4" w:space="0" w:color="auto"/>
              <w:left w:val="nil"/>
              <w:bottom w:val="single" w:sz="4" w:space="0" w:color="auto"/>
              <w:right w:val="single" w:sz="4" w:space="0" w:color="auto"/>
            </w:tcBorders>
            <w:shd w:val="clear" w:color="auto" w:fill="auto"/>
            <w:hideMark/>
          </w:tcPr>
          <w:p w14:paraId="1FBF2D0C" w14:textId="7974DB45" w:rsidR="005A10FA" w:rsidRPr="00CE67C3" w:rsidRDefault="00E658A1"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Best value biologics - ranibizumab</w:t>
            </w:r>
          </w:p>
        </w:tc>
      </w:tr>
      <w:tr w:rsidR="005A10FA" w:rsidRPr="00C23E6D" w14:paraId="6526ACAE"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3CA983E1"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description</w:t>
            </w:r>
          </w:p>
        </w:tc>
        <w:tc>
          <w:tcPr>
            <w:tcW w:w="7339" w:type="dxa"/>
            <w:tcBorders>
              <w:top w:val="nil"/>
              <w:left w:val="nil"/>
              <w:bottom w:val="single" w:sz="4" w:space="0" w:color="auto"/>
              <w:right w:val="single" w:sz="4" w:space="0" w:color="auto"/>
            </w:tcBorders>
            <w:shd w:val="clear" w:color="auto" w:fill="auto"/>
            <w:hideMark/>
          </w:tcPr>
          <w:p w14:paraId="4E3512FF" w14:textId="005AEF2B" w:rsidR="005A10FA" w:rsidRPr="00CE67C3" w:rsidRDefault="00800D0B"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Using best value biologic medicines in line with NHS England commissioning recommendations</w:t>
            </w:r>
          </w:p>
        </w:tc>
      </w:tr>
      <w:tr w:rsidR="005A10FA" w:rsidRPr="00C23E6D" w14:paraId="249BB142" w14:textId="77777777" w:rsidTr="00F80497">
        <w:trPr>
          <w:trHeight w:val="276"/>
        </w:trPr>
        <w:tc>
          <w:tcPr>
            <w:tcW w:w="1581" w:type="dxa"/>
            <w:tcBorders>
              <w:top w:val="nil"/>
              <w:left w:val="single" w:sz="4" w:space="0" w:color="auto"/>
              <w:bottom w:val="single" w:sz="4" w:space="0" w:color="auto"/>
              <w:right w:val="single" w:sz="4" w:space="0" w:color="auto"/>
            </w:tcBorders>
            <w:shd w:val="clear" w:color="auto" w:fill="auto"/>
            <w:hideMark/>
          </w:tcPr>
          <w:p w14:paraId="17BB8C92"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type</w:t>
            </w:r>
          </w:p>
        </w:tc>
        <w:tc>
          <w:tcPr>
            <w:tcW w:w="7339" w:type="dxa"/>
            <w:tcBorders>
              <w:top w:val="nil"/>
              <w:left w:val="nil"/>
              <w:bottom w:val="single" w:sz="4" w:space="0" w:color="auto"/>
              <w:right w:val="single" w:sz="4" w:space="0" w:color="auto"/>
            </w:tcBorders>
            <w:shd w:val="clear" w:color="auto" w:fill="auto"/>
            <w:hideMark/>
          </w:tcPr>
          <w:p w14:paraId="110C6C19" w14:textId="7E9F9106" w:rsidR="005A10FA" w:rsidRPr="00CE67C3" w:rsidRDefault="005A10FA"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Secondary</w:t>
            </w:r>
            <w:r w:rsidR="2FF8E2F8" w:rsidRPr="4257620F">
              <w:rPr>
                <w:rFonts w:ascii="Arial" w:eastAsia="Times New Roman" w:hAnsi="Arial" w:cs="Arial"/>
                <w:color w:val="000000" w:themeColor="text1"/>
                <w:sz w:val="22"/>
                <w:szCs w:val="22"/>
                <w:lang w:eastAsia="en-GB"/>
              </w:rPr>
              <w:t xml:space="preserve"> care</w:t>
            </w:r>
          </w:p>
        </w:tc>
      </w:tr>
      <w:tr w:rsidR="005A10FA" w:rsidRPr="00C23E6D" w14:paraId="382FA3B2"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03EBF0F8"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description</w:t>
            </w:r>
          </w:p>
        </w:tc>
        <w:tc>
          <w:tcPr>
            <w:tcW w:w="7339" w:type="dxa"/>
            <w:tcBorders>
              <w:top w:val="nil"/>
              <w:left w:val="nil"/>
              <w:bottom w:val="single" w:sz="4" w:space="0" w:color="auto"/>
              <w:right w:val="single" w:sz="4" w:space="0" w:color="auto"/>
            </w:tcBorders>
            <w:shd w:val="clear" w:color="auto" w:fill="auto"/>
            <w:hideMark/>
          </w:tcPr>
          <w:p w14:paraId="0D881238" w14:textId="6BB22AF8" w:rsidR="005A10FA" w:rsidRPr="00CE67C3" w:rsidRDefault="00E62A35"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Biosimilar share of ranibizumab singles</w:t>
            </w:r>
          </w:p>
        </w:tc>
      </w:tr>
      <w:tr w:rsidR="005A10FA" w:rsidRPr="00C23E6D" w14:paraId="301149C6"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16A7A3BB"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Is Higher or lower "better"?</w:t>
            </w:r>
          </w:p>
        </w:tc>
        <w:tc>
          <w:tcPr>
            <w:tcW w:w="7339" w:type="dxa"/>
            <w:tcBorders>
              <w:top w:val="nil"/>
              <w:left w:val="nil"/>
              <w:bottom w:val="single" w:sz="4" w:space="0" w:color="auto"/>
              <w:right w:val="single" w:sz="4" w:space="0" w:color="auto"/>
            </w:tcBorders>
            <w:shd w:val="clear" w:color="auto" w:fill="auto"/>
            <w:hideMark/>
          </w:tcPr>
          <w:p w14:paraId="3840FC06" w14:textId="6747F341" w:rsidR="005A10FA" w:rsidRPr="00CE67C3" w:rsidRDefault="00E62A35"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Higher</w:t>
            </w:r>
          </w:p>
        </w:tc>
      </w:tr>
      <w:tr w:rsidR="005A10FA" w:rsidRPr="00C23E6D" w14:paraId="4B15399D"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2247F15F"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w:t>
            </w:r>
          </w:p>
        </w:tc>
        <w:tc>
          <w:tcPr>
            <w:tcW w:w="7339" w:type="dxa"/>
            <w:tcBorders>
              <w:top w:val="nil"/>
              <w:left w:val="nil"/>
              <w:bottom w:val="single" w:sz="4" w:space="0" w:color="auto"/>
              <w:right w:val="single" w:sz="4" w:space="0" w:color="auto"/>
            </w:tcBorders>
            <w:shd w:val="clear" w:color="auto" w:fill="auto"/>
            <w:hideMark/>
          </w:tcPr>
          <w:p w14:paraId="3D038515" w14:textId="5D730001" w:rsidR="005A10FA" w:rsidRPr="00CE67C3" w:rsidRDefault="00E5156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Quantity of ranibizumab biosimilar singles issued</w:t>
            </w:r>
          </w:p>
        </w:tc>
      </w:tr>
      <w:tr w:rsidR="005A10FA" w:rsidRPr="00C23E6D" w14:paraId="79720019"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085024B7"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 unit of measure</w:t>
            </w:r>
          </w:p>
        </w:tc>
        <w:tc>
          <w:tcPr>
            <w:tcW w:w="7339" w:type="dxa"/>
            <w:tcBorders>
              <w:top w:val="nil"/>
              <w:left w:val="nil"/>
              <w:bottom w:val="single" w:sz="4" w:space="0" w:color="auto"/>
              <w:right w:val="single" w:sz="4" w:space="0" w:color="auto"/>
            </w:tcBorders>
            <w:shd w:val="clear" w:color="auto" w:fill="auto"/>
            <w:hideMark/>
          </w:tcPr>
          <w:p w14:paraId="059D2A72" w14:textId="602F1BF4" w:rsidR="005A10FA" w:rsidRPr="00CE67C3" w:rsidRDefault="002F1FFC"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Number of singles</w:t>
            </w:r>
          </w:p>
        </w:tc>
      </w:tr>
      <w:tr w:rsidR="005A10FA" w:rsidRPr="00C23E6D" w14:paraId="1CEE3499" w14:textId="77777777" w:rsidTr="00F80497">
        <w:trPr>
          <w:trHeight w:val="276"/>
        </w:trPr>
        <w:tc>
          <w:tcPr>
            <w:tcW w:w="1581" w:type="dxa"/>
            <w:tcBorders>
              <w:top w:val="nil"/>
              <w:left w:val="single" w:sz="4" w:space="0" w:color="auto"/>
              <w:bottom w:val="single" w:sz="4" w:space="0" w:color="auto"/>
              <w:right w:val="single" w:sz="4" w:space="0" w:color="auto"/>
            </w:tcBorders>
            <w:shd w:val="clear" w:color="auto" w:fill="auto"/>
            <w:hideMark/>
          </w:tcPr>
          <w:p w14:paraId="257AB120"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w:t>
            </w:r>
          </w:p>
        </w:tc>
        <w:tc>
          <w:tcPr>
            <w:tcW w:w="7339" w:type="dxa"/>
            <w:tcBorders>
              <w:top w:val="nil"/>
              <w:left w:val="nil"/>
              <w:bottom w:val="single" w:sz="4" w:space="0" w:color="auto"/>
              <w:right w:val="single" w:sz="4" w:space="0" w:color="auto"/>
            </w:tcBorders>
            <w:shd w:val="clear" w:color="auto" w:fill="auto"/>
            <w:hideMark/>
          </w:tcPr>
          <w:p w14:paraId="6EE9DDC8" w14:textId="58B29CDC" w:rsidR="005A10FA" w:rsidRPr="00CE67C3" w:rsidRDefault="00E5156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Quantity of ranibizumab originator or biosimilar singles issued</w:t>
            </w:r>
          </w:p>
        </w:tc>
      </w:tr>
      <w:tr w:rsidR="005A10FA" w:rsidRPr="00C23E6D" w14:paraId="3765C4F0" w14:textId="77777777" w:rsidTr="00F80497">
        <w:trPr>
          <w:trHeight w:val="552"/>
        </w:trPr>
        <w:tc>
          <w:tcPr>
            <w:tcW w:w="1581" w:type="dxa"/>
            <w:tcBorders>
              <w:top w:val="nil"/>
              <w:left w:val="single" w:sz="4" w:space="0" w:color="auto"/>
              <w:bottom w:val="single" w:sz="4" w:space="0" w:color="auto"/>
              <w:right w:val="single" w:sz="4" w:space="0" w:color="auto"/>
            </w:tcBorders>
            <w:shd w:val="clear" w:color="auto" w:fill="auto"/>
            <w:hideMark/>
          </w:tcPr>
          <w:p w14:paraId="79649DA2" w14:textId="77777777" w:rsidR="005A10FA" w:rsidRPr="00CE67C3" w:rsidRDefault="005A10F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 unit of measure</w:t>
            </w:r>
          </w:p>
        </w:tc>
        <w:tc>
          <w:tcPr>
            <w:tcW w:w="7339" w:type="dxa"/>
            <w:tcBorders>
              <w:top w:val="nil"/>
              <w:left w:val="nil"/>
              <w:bottom w:val="single" w:sz="4" w:space="0" w:color="auto"/>
              <w:right w:val="single" w:sz="4" w:space="0" w:color="auto"/>
            </w:tcBorders>
            <w:shd w:val="clear" w:color="auto" w:fill="auto"/>
            <w:hideMark/>
          </w:tcPr>
          <w:p w14:paraId="240037B4" w14:textId="3819C422" w:rsidR="005A10FA" w:rsidRPr="00CE67C3" w:rsidRDefault="002F1FFC"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Number of singles</w:t>
            </w:r>
          </w:p>
        </w:tc>
      </w:tr>
      <w:tr w:rsidR="00BA75C0" w:rsidRPr="00C23E6D" w14:paraId="19F2819D" w14:textId="77777777" w:rsidTr="00F80497">
        <w:trPr>
          <w:trHeight w:val="828"/>
        </w:trPr>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56410F24" w14:textId="03FF5D6D" w:rsidR="00BA75C0" w:rsidRPr="00CE67C3" w:rsidRDefault="00BA75C0"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Hyperlinks to supporting information</w:t>
            </w:r>
          </w:p>
        </w:tc>
        <w:tc>
          <w:tcPr>
            <w:tcW w:w="7339" w:type="dxa"/>
            <w:tcBorders>
              <w:top w:val="single" w:sz="4" w:space="0" w:color="auto"/>
              <w:left w:val="nil"/>
              <w:bottom w:val="single" w:sz="4" w:space="0" w:color="auto"/>
              <w:right w:val="single" w:sz="4" w:space="0" w:color="auto"/>
            </w:tcBorders>
            <w:shd w:val="clear" w:color="auto" w:fill="auto"/>
          </w:tcPr>
          <w:p w14:paraId="18EEBDC2" w14:textId="5CEE895F" w:rsidR="00BA75C0" w:rsidRPr="00CE67C3" w:rsidRDefault="00430238" w:rsidP="009C5723">
            <w:pPr>
              <w:pStyle w:val="Hyperlinkinpara"/>
              <w:rPr>
                <w:szCs w:val="22"/>
              </w:rPr>
            </w:pPr>
            <w:hyperlink r:id="rId31" w:history="1">
              <w:r w:rsidR="00BA75C0" w:rsidRPr="00CE67C3">
                <w:rPr>
                  <w:rStyle w:val="Hyperlink"/>
                  <w:color w:val="0072CE"/>
                  <w:szCs w:val="22"/>
                </w:rPr>
                <w:t>NHS England - Updated commissioning recommendations following the national procurement for ranibizumab biosimilars</w:t>
              </w:r>
            </w:hyperlink>
          </w:p>
        </w:tc>
      </w:tr>
      <w:tr w:rsidR="006C2B66" w:rsidRPr="006C2B66" w14:paraId="440B871A" w14:textId="77777777" w:rsidTr="00F80497">
        <w:trPr>
          <w:trHeight w:val="858"/>
        </w:trPr>
        <w:tc>
          <w:tcPr>
            <w:tcW w:w="1581" w:type="dxa"/>
            <w:tcBorders>
              <w:top w:val="single" w:sz="4" w:space="0" w:color="auto"/>
              <w:left w:val="single" w:sz="4" w:space="0" w:color="auto"/>
              <w:bottom w:val="nil"/>
              <w:right w:val="single" w:sz="4" w:space="0" w:color="auto"/>
            </w:tcBorders>
            <w:shd w:val="clear" w:color="auto" w:fill="auto"/>
            <w:hideMark/>
          </w:tcPr>
          <w:p w14:paraId="5E9C157A" w14:textId="77777777" w:rsidR="005A10FA" w:rsidRPr="00CE67C3" w:rsidRDefault="005A10F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Notes</w:t>
            </w:r>
          </w:p>
        </w:tc>
        <w:tc>
          <w:tcPr>
            <w:tcW w:w="7339" w:type="dxa"/>
            <w:tcBorders>
              <w:top w:val="single" w:sz="4" w:space="0" w:color="auto"/>
              <w:left w:val="nil"/>
              <w:bottom w:val="nil"/>
              <w:right w:val="single" w:sz="4" w:space="0" w:color="auto"/>
            </w:tcBorders>
            <w:shd w:val="clear" w:color="auto" w:fill="auto"/>
            <w:hideMark/>
          </w:tcPr>
          <w:p w14:paraId="4E1B35A3" w14:textId="45B3690C" w:rsidR="006064AF" w:rsidRPr="00CE67C3" w:rsidRDefault="006064AF" w:rsidP="00D277C4">
            <w:pPr>
              <w:spacing w:after="0" w:line="240" w:lineRule="auto"/>
              <w:rPr>
                <w:rFonts w:eastAsia="Times New Roman" w:cstheme="minorHAnsi"/>
                <w:sz w:val="22"/>
                <w:szCs w:val="22"/>
                <w:lang w:eastAsia="en-GB"/>
              </w:rPr>
            </w:pPr>
            <w:r w:rsidRPr="00CE67C3">
              <w:rPr>
                <w:rFonts w:eastAsia="Times New Roman" w:cstheme="minorHAnsi"/>
                <w:sz w:val="22"/>
                <w:szCs w:val="22"/>
                <w:lang w:eastAsia="en-GB"/>
              </w:rPr>
              <w:t>RX-info data may be subject to revision.</w:t>
            </w:r>
          </w:p>
          <w:p w14:paraId="2F1D3617" w14:textId="77375536" w:rsidR="00191A80" w:rsidRPr="00CE67C3" w:rsidRDefault="00191A80" w:rsidP="00191A80">
            <w:pPr>
              <w:spacing w:after="0" w:line="240" w:lineRule="auto"/>
              <w:rPr>
                <w:rFonts w:eastAsia="Times New Roman" w:cstheme="minorHAnsi"/>
                <w:bCs w:val="0"/>
                <w:sz w:val="22"/>
                <w:szCs w:val="22"/>
                <w:lang w:eastAsia="en-GB"/>
              </w:rPr>
            </w:pPr>
            <w:r w:rsidRPr="00CE67C3">
              <w:rPr>
                <w:rFonts w:eastAsia="Times New Roman" w:cstheme="minorHAnsi"/>
                <w:bCs w:val="0"/>
                <w:sz w:val="22"/>
                <w:szCs w:val="22"/>
                <w:lang w:eastAsia="en-GB"/>
              </w:rPr>
              <w:t>Some trusts are missing from this metric due to a lack of reliable data or inconsistent data points</w:t>
            </w:r>
            <w:r w:rsidR="002F1FFC" w:rsidRPr="00CE67C3">
              <w:rPr>
                <w:rFonts w:eastAsia="Times New Roman" w:cstheme="minorHAnsi"/>
                <w:bCs w:val="0"/>
                <w:sz w:val="22"/>
                <w:szCs w:val="22"/>
                <w:lang w:eastAsia="en-GB"/>
              </w:rPr>
              <w:t>.</w:t>
            </w:r>
          </w:p>
          <w:p w14:paraId="24F0C6E8" w14:textId="262EDAA3" w:rsidR="005A10FA" w:rsidRPr="00CE67C3" w:rsidRDefault="00191A80" w:rsidP="00191A80">
            <w:pPr>
              <w:spacing w:after="0" w:line="240" w:lineRule="auto"/>
              <w:rPr>
                <w:rFonts w:eastAsia="Times New Roman" w:cstheme="minorHAnsi"/>
                <w:bCs w:val="0"/>
                <w:sz w:val="22"/>
                <w:szCs w:val="22"/>
                <w:lang w:eastAsia="en-GB"/>
              </w:rPr>
            </w:pPr>
            <w:r w:rsidRPr="00CE67C3">
              <w:rPr>
                <w:rFonts w:eastAsia="Times New Roman" w:cstheme="minorHAnsi"/>
                <w:bCs w:val="0"/>
                <w:sz w:val="22"/>
                <w:szCs w:val="22"/>
                <w:lang w:eastAsia="en-GB"/>
              </w:rPr>
              <w:t>RX-info define data extracts use historic trust codes these have been mapped onto new trust codes where possible</w:t>
            </w:r>
            <w:r w:rsidR="005A10FA" w:rsidRPr="00CE67C3">
              <w:rPr>
                <w:rFonts w:eastAsia="Times New Roman" w:cstheme="minorHAnsi"/>
                <w:bCs w:val="0"/>
                <w:sz w:val="22"/>
                <w:szCs w:val="22"/>
                <w:lang w:eastAsia="en-GB"/>
              </w:rPr>
              <w:t>.</w:t>
            </w:r>
          </w:p>
        </w:tc>
      </w:tr>
      <w:tr w:rsidR="006C2B66" w:rsidRPr="006C2B66" w14:paraId="4473329F" w14:textId="77777777" w:rsidTr="00F80497">
        <w:trPr>
          <w:trHeight w:val="276"/>
        </w:trPr>
        <w:tc>
          <w:tcPr>
            <w:tcW w:w="1581" w:type="dxa"/>
            <w:tcBorders>
              <w:top w:val="nil"/>
              <w:left w:val="single" w:sz="4" w:space="0" w:color="auto"/>
              <w:bottom w:val="nil"/>
              <w:right w:val="single" w:sz="4" w:space="0" w:color="auto"/>
            </w:tcBorders>
            <w:shd w:val="clear" w:color="auto" w:fill="auto"/>
            <w:hideMark/>
          </w:tcPr>
          <w:p w14:paraId="094ABB9A" w14:textId="77777777" w:rsidR="005A10FA" w:rsidRPr="00CE67C3" w:rsidRDefault="005A10F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 </w:t>
            </w:r>
          </w:p>
        </w:tc>
        <w:tc>
          <w:tcPr>
            <w:tcW w:w="7339" w:type="dxa"/>
            <w:tcBorders>
              <w:top w:val="nil"/>
              <w:left w:val="nil"/>
              <w:bottom w:val="nil"/>
              <w:right w:val="single" w:sz="4" w:space="0" w:color="auto"/>
            </w:tcBorders>
            <w:shd w:val="clear" w:color="auto" w:fill="auto"/>
            <w:hideMark/>
          </w:tcPr>
          <w:p w14:paraId="130BBD8B" w14:textId="2667D3A4" w:rsidR="005A10FA" w:rsidRPr="00CE67C3" w:rsidRDefault="005A10FA" w:rsidP="00D277C4">
            <w:pPr>
              <w:spacing w:after="0" w:line="240" w:lineRule="auto"/>
              <w:rPr>
                <w:rFonts w:ascii="Arial" w:eastAsia="Times New Roman" w:hAnsi="Arial" w:cs="Arial"/>
                <w:bCs w:val="0"/>
                <w:sz w:val="22"/>
                <w:szCs w:val="22"/>
                <w:lang w:eastAsia="en-GB"/>
              </w:rPr>
            </w:pPr>
          </w:p>
        </w:tc>
      </w:tr>
      <w:tr w:rsidR="006C2B66" w:rsidRPr="006C2B66" w14:paraId="7C799CEC" w14:textId="77777777" w:rsidTr="00F80497">
        <w:trPr>
          <w:trHeight w:val="276"/>
        </w:trPr>
        <w:tc>
          <w:tcPr>
            <w:tcW w:w="1581" w:type="dxa"/>
            <w:tcBorders>
              <w:top w:val="nil"/>
              <w:left w:val="single" w:sz="4" w:space="0" w:color="auto"/>
              <w:bottom w:val="single" w:sz="4" w:space="0" w:color="auto"/>
              <w:right w:val="single" w:sz="4" w:space="0" w:color="auto"/>
            </w:tcBorders>
            <w:shd w:val="clear" w:color="auto" w:fill="auto"/>
            <w:hideMark/>
          </w:tcPr>
          <w:p w14:paraId="1269CF49" w14:textId="77777777" w:rsidR="005A10FA" w:rsidRPr="00CE67C3" w:rsidRDefault="005A10F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 </w:t>
            </w:r>
          </w:p>
        </w:tc>
        <w:tc>
          <w:tcPr>
            <w:tcW w:w="7339" w:type="dxa"/>
            <w:tcBorders>
              <w:top w:val="nil"/>
              <w:left w:val="nil"/>
              <w:bottom w:val="single" w:sz="4" w:space="0" w:color="auto"/>
              <w:right w:val="single" w:sz="4" w:space="0" w:color="auto"/>
            </w:tcBorders>
            <w:shd w:val="clear" w:color="auto" w:fill="auto"/>
            <w:hideMark/>
          </w:tcPr>
          <w:p w14:paraId="0041EEFA" w14:textId="2942F2AF" w:rsidR="005A10FA" w:rsidRPr="00CE67C3" w:rsidRDefault="005A10FA" w:rsidP="00D277C4">
            <w:pPr>
              <w:spacing w:after="0" w:line="240" w:lineRule="auto"/>
              <w:rPr>
                <w:rFonts w:ascii="Arial" w:eastAsia="Times New Roman" w:hAnsi="Arial" w:cs="Arial"/>
                <w:bCs w:val="0"/>
                <w:sz w:val="22"/>
                <w:szCs w:val="22"/>
                <w:lang w:eastAsia="en-GB"/>
              </w:rPr>
            </w:pPr>
          </w:p>
        </w:tc>
      </w:tr>
    </w:tbl>
    <w:p w14:paraId="2F20C107" w14:textId="77777777" w:rsidR="00635EE6" w:rsidRDefault="00635EE6" w:rsidP="00635EE6">
      <w:pPr>
        <w:spacing w:after="0" w:line="240" w:lineRule="auto"/>
        <w:rPr>
          <w:rFonts w:ascii="Arial" w:eastAsia="Times New Roman" w:hAnsi="Arial" w:cs="Arial"/>
          <w:bCs w:val="0"/>
          <w:sz w:val="22"/>
          <w:szCs w:val="22"/>
          <w:lang w:eastAsia="en-GB"/>
        </w:rPr>
      </w:pPr>
      <w:r>
        <w:rPr>
          <w:rFonts w:ascii="Arial" w:eastAsia="Times New Roman" w:hAnsi="Arial" w:cs="Arial"/>
          <w:bCs w:val="0"/>
          <w:sz w:val="22"/>
          <w:szCs w:val="22"/>
          <w:lang w:eastAsia="en-GB"/>
        </w:rPr>
        <w:t>Continued overleaf</w:t>
      </w:r>
    </w:p>
    <w:p w14:paraId="57A83AE4" w14:textId="77777777" w:rsidR="00635EE6" w:rsidRDefault="00635EE6">
      <w:r>
        <w:br w:type="page"/>
      </w:r>
    </w:p>
    <w:tbl>
      <w:tblPr>
        <w:tblW w:w="8920" w:type="dxa"/>
        <w:tblInd w:w="5" w:type="dxa"/>
        <w:tblLook w:val="04A0" w:firstRow="1" w:lastRow="0" w:firstColumn="1" w:lastColumn="0" w:noHBand="0" w:noVBand="1"/>
      </w:tblPr>
      <w:tblGrid>
        <w:gridCol w:w="1581"/>
        <w:gridCol w:w="7339"/>
      </w:tblGrid>
      <w:tr w:rsidR="00F80497" w:rsidRPr="006C2B66" w14:paraId="05D46F66" w14:textId="77777777" w:rsidTr="00635EE6">
        <w:trPr>
          <w:trHeight w:val="276"/>
        </w:trPr>
        <w:tc>
          <w:tcPr>
            <w:tcW w:w="8920" w:type="dxa"/>
            <w:gridSpan w:val="2"/>
            <w:tcBorders>
              <w:top w:val="nil"/>
            </w:tcBorders>
            <w:shd w:val="clear" w:color="auto" w:fill="auto"/>
          </w:tcPr>
          <w:p w14:paraId="500FB660" w14:textId="2556D4BE" w:rsidR="00635EE6" w:rsidRPr="00CE67C3" w:rsidRDefault="00635EE6" w:rsidP="00D277C4">
            <w:pPr>
              <w:spacing w:after="0" w:line="240" w:lineRule="auto"/>
              <w:rPr>
                <w:rFonts w:ascii="Arial" w:eastAsia="Times New Roman" w:hAnsi="Arial" w:cs="Arial"/>
                <w:bCs w:val="0"/>
                <w:sz w:val="22"/>
                <w:szCs w:val="22"/>
                <w:lang w:eastAsia="en-GB"/>
              </w:rPr>
            </w:pPr>
          </w:p>
        </w:tc>
      </w:tr>
      <w:tr w:rsidR="006C2B66" w:rsidRPr="006C2B66" w14:paraId="662D6B00" w14:textId="77777777" w:rsidTr="00635EE6">
        <w:trPr>
          <w:cantSplit/>
          <w:trHeight w:val="552"/>
        </w:trPr>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6085FB1A" w14:textId="77777777" w:rsidR="005A10FA" w:rsidRPr="00CE67C3" w:rsidRDefault="005A10F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Medicine Group Definitions</w:t>
            </w:r>
          </w:p>
        </w:tc>
        <w:tc>
          <w:tcPr>
            <w:tcW w:w="7339" w:type="dxa"/>
            <w:tcBorders>
              <w:top w:val="single" w:sz="4" w:space="0" w:color="auto"/>
              <w:left w:val="single" w:sz="4" w:space="0" w:color="auto"/>
              <w:bottom w:val="single" w:sz="4" w:space="0" w:color="auto"/>
              <w:right w:val="single" w:sz="4" w:space="0" w:color="auto"/>
            </w:tcBorders>
            <w:shd w:val="clear" w:color="auto" w:fill="auto"/>
          </w:tcPr>
          <w:p w14:paraId="7BE2C1C6" w14:textId="5983516A" w:rsidR="0002202D" w:rsidRDefault="0002202D" w:rsidP="0002202D">
            <w:pPr>
              <w:spacing w:after="0" w:line="240" w:lineRule="auto"/>
              <w:rPr>
                <w:rFonts w:ascii="Arial" w:eastAsia="Times New Roman" w:hAnsi="Arial" w:cs="Arial"/>
                <w:b/>
                <w:color w:val="000000"/>
                <w:sz w:val="22"/>
                <w:szCs w:val="22"/>
                <w:lang w:eastAsia="en-GB"/>
              </w:rPr>
            </w:pPr>
            <w:r>
              <w:rPr>
                <w:rFonts w:ascii="Arial" w:eastAsia="Times New Roman" w:hAnsi="Arial" w:cs="Arial"/>
                <w:b/>
                <w:color w:val="000000"/>
                <w:sz w:val="22"/>
                <w:szCs w:val="22"/>
                <w:lang w:eastAsia="en-GB"/>
              </w:rPr>
              <w:t xml:space="preserve">Ranibizumab biosimilar, originator and other </w:t>
            </w:r>
            <w:r w:rsidR="00635EE6">
              <w:rPr>
                <w:rFonts w:ascii="Arial" w:eastAsia="Times New Roman" w:hAnsi="Arial" w:cs="Arial"/>
                <w:b/>
                <w:color w:val="000000"/>
                <w:sz w:val="22"/>
                <w:szCs w:val="22"/>
                <w:lang w:eastAsia="en-GB"/>
              </w:rPr>
              <w:t>classification</w:t>
            </w:r>
          </w:p>
          <w:p w14:paraId="6F71C8B1" w14:textId="77777777" w:rsidR="0002202D" w:rsidRPr="0002202D" w:rsidRDefault="0002202D" w:rsidP="0002202D">
            <w:pPr>
              <w:spacing w:after="0" w:line="240" w:lineRule="auto"/>
              <w:rPr>
                <w:rFonts w:ascii="Arial" w:eastAsia="Times New Roman" w:hAnsi="Arial" w:cs="Arial"/>
                <w:b/>
                <w:color w:val="FF0000"/>
                <w:sz w:val="22"/>
                <w:szCs w:val="22"/>
                <w:lang w:eastAsia="en-GB"/>
              </w:rPr>
            </w:pPr>
          </w:p>
          <w:tbl>
            <w:tblPr>
              <w:tblW w:w="0" w:type="auto"/>
              <w:tblLook w:val="04A0" w:firstRow="1" w:lastRow="0" w:firstColumn="1" w:lastColumn="0" w:noHBand="0" w:noVBand="1"/>
            </w:tblPr>
            <w:tblGrid>
              <w:gridCol w:w="917"/>
              <w:gridCol w:w="2528"/>
              <w:gridCol w:w="2434"/>
              <w:gridCol w:w="1244"/>
            </w:tblGrid>
            <w:tr w:rsidR="00F47487" w:rsidRPr="00CE67C3" w14:paraId="5CB206CD" w14:textId="77777777" w:rsidTr="008A5CB0">
              <w:trPr>
                <w:trHeight w:val="828"/>
              </w:trPr>
              <w:tc>
                <w:tcPr>
                  <w:tcW w:w="917" w:type="dxa"/>
                  <w:tcBorders>
                    <w:top w:val="nil"/>
                    <w:left w:val="nil"/>
                    <w:bottom w:val="nil"/>
                    <w:right w:val="nil"/>
                  </w:tcBorders>
                  <w:shd w:val="clear" w:color="000000" w:fill="005EB8"/>
                  <w:vAlign w:val="center"/>
                  <w:hideMark/>
                </w:tcPr>
                <w:p w14:paraId="6F9948CF" w14:textId="48D40FB0" w:rsidR="00F47487" w:rsidRPr="00F47487" w:rsidRDefault="00F47487" w:rsidP="00F47487">
                  <w:pPr>
                    <w:spacing w:after="0" w:line="240" w:lineRule="auto"/>
                    <w:rPr>
                      <w:rFonts w:ascii="Arial" w:eastAsia="Times New Roman" w:hAnsi="Arial" w:cs="Arial"/>
                      <w:b/>
                      <w:color w:val="FFFFFF"/>
                      <w:sz w:val="22"/>
                      <w:szCs w:val="22"/>
                      <w:lang w:eastAsia="en-GB"/>
                    </w:rPr>
                  </w:pPr>
                  <w:r w:rsidRPr="00F47487">
                    <w:rPr>
                      <w:rFonts w:ascii="Arial" w:eastAsia="Times New Roman" w:hAnsi="Arial" w:cs="Arial"/>
                      <w:b/>
                      <w:color w:val="FFFFFF"/>
                      <w:sz w:val="22"/>
                      <w:szCs w:val="22"/>
                      <w:lang w:eastAsia="en-GB"/>
                    </w:rPr>
                    <w:t>VMP</w:t>
                  </w:r>
                </w:p>
              </w:tc>
              <w:tc>
                <w:tcPr>
                  <w:tcW w:w="2528" w:type="dxa"/>
                  <w:tcBorders>
                    <w:top w:val="nil"/>
                    <w:left w:val="nil"/>
                    <w:bottom w:val="nil"/>
                    <w:right w:val="nil"/>
                  </w:tcBorders>
                  <w:shd w:val="clear" w:color="000000" w:fill="005EB8"/>
                  <w:noWrap/>
                  <w:vAlign w:val="center"/>
                  <w:hideMark/>
                </w:tcPr>
                <w:p w14:paraId="668B0E74" w14:textId="77777777" w:rsidR="00F47487" w:rsidRPr="00F47487" w:rsidRDefault="00F47487" w:rsidP="00F47487">
                  <w:pPr>
                    <w:spacing w:after="0" w:line="240" w:lineRule="auto"/>
                    <w:rPr>
                      <w:rFonts w:ascii="Arial" w:eastAsia="Times New Roman" w:hAnsi="Arial" w:cs="Arial"/>
                      <w:b/>
                      <w:color w:val="FFFFFF"/>
                      <w:sz w:val="22"/>
                      <w:szCs w:val="22"/>
                      <w:lang w:eastAsia="en-GB"/>
                    </w:rPr>
                  </w:pPr>
                  <w:r w:rsidRPr="00F47487">
                    <w:rPr>
                      <w:rFonts w:ascii="Arial" w:eastAsia="Times New Roman" w:hAnsi="Arial" w:cs="Arial"/>
                      <w:b/>
                      <w:color w:val="FFFFFF"/>
                      <w:sz w:val="22"/>
                      <w:szCs w:val="22"/>
                      <w:lang w:eastAsia="en-GB"/>
                    </w:rPr>
                    <w:t>VMP</w:t>
                  </w:r>
                </w:p>
              </w:tc>
              <w:tc>
                <w:tcPr>
                  <w:tcW w:w="2434" w:type="dxa"/>
                  <w:tcBorders>
                    <w:top w:val="nil"/>
                    <w:left w:val="nil"/>
                    <w:bottom w:val="nil"/>
                    <w:right w:val="nil"/>
                  </w:tcBorders>
                  <w:shd w:val="clear" w:color="000000" w:fill="005EB8"/>
                  <w:vAlign w:val="center"/>
                  <w:hideMark/>
                </w:tcPr>
                <w:p w14:paraId="7FB66FA6" w14:textId="77777777" w:rsidR="00F47487" w:rsidRPr="00F47487" w:rsidRDefault="00F47487" w:rsidP="00F47487">
                  <w:pPr>
                    <w:spacing w:after="0" w:line="240" w:lineRule="auto"/>
                    <w:rPr>
                      <w:rFonts w:ascii="Arial" w:eastAsia="Times New Roman" w:hAnsi="Arial" w:cs="Arial"/>
                      <w:b/>
                      <w:color w:val="FFFFFF"/>
                      <w:sz w:val="22"/>
                      <w:szCs w:val="22"/>
                      <w:lang w:eastAsia="en-GB"/>
                    </w:rPr>
                  </w:pPr>
                  <w:r w:rsidRPr="00F47487">
                    <w:rPr>
                      <w:rFonts w:ascii="Arial" w:eastAsia="Times New Roman" w:hAnsi="Arial" w:cs="Arial"/>
                      <w:b/>
                      <w:color w:val="FFFFFF"/>
                      <w:sz w:val="22"/>
                      <w:szCs w:val="22"/>
                      <w:lang w:eastAsia="en-GB"/>
                    </w:rPr>
                    <w:t>AMP</w:t>
                  </w:r>
                </w:p>
              </w:tc>
              <w:tc>
                <w:tcPr>
                  <w:tcW w:w="1244" w:type="dxa"/>
                  <w:tcBorders>
                    <w:top w:val="nil"/>
                    <w:left w:val="nil"/>
                    <w:bottom w:val="nil"/>
                    <w:right w:val="nil"/>
                  </w:tcBorders>
                  <w:shd w:val="clear" w:color="000000" w:fill="005EB8"/>
                  <w:noWrap/>
                  <w:vAlign w:val="center"/>
                  <w:hideMark/>
                </w:tcPr>
                <w:p w14:paraId="14E628A5" w14:textId="3268DC93" w:rsidR="00F47487" w:rsidRPr="00F47487" w:rsidRDefault="0002202D" w:rsidP="00F47487">
                  <w:pPr>
                    <w:spacing w:after="0" w:line="240" w:lineRule="auto"/>
                    <w:rPr>
                      <w:rFonts w:ascii="Arial" w:eastAsia="Times New Roman" w:hAnsi="Arial" w:cs="Arial"/>
                      <w:b/>
                      <w:color w:val="FFFFFF"/>
                      <w:sz w:val="22"/>
                      <w:szCs w:val="22"/>
                      <w:lang w:eastAsia="en-GB"/>
                    </w:rPr>
                  </w:pPr>
                  <w:r w:rsidRPr="00F47487">
                    <w:rPr>
                      <w:rFonts w:ascii="Arial" w:eastAsia="Times New Roman" w:hAnsi="Arial" w:cs="Arial"/>
                      <w:b/>
                      <w:color w:val="FFFFFF"/>
                      <w:sz w:val="22"/>
                      <w:szCs w:val="22"/>
                      <w:lang w:eastAsia="en-GB"/>
                    </w:rPr>
                    <w:t>C</w:t>
                  </w:r>
                  <w:r w:rsidR="00F47487" w:rsidRPr="00F47487">
                    <w:rPr>
                      <w:rFonts w:ascii="Arial" w:eastAsia="Times New Roman" w:hAnsi="Arial" w:cs="Arial"/>
                      <w:b/>
                      <w:color w:val="FFFFFF"/>
                      <w:sz w:val="22"/>
                      <w:szCs w:val="22"/>
                      <w:lang w:eastAsia="en-GB"/>
                    </w:rPr>
                    <w:t>ategory</w:t>
                  </w:r>
                </w:p>
              </w:tc>
            </w:tr>
            <w:tr w:rsidR="00F47487" w:rsidRPr="00CE67C3" w14:paraId="74BD5F6E" w14:textId="77777777" w:rsidTr="008A5CB0">
              <w:trPr>
                <w:trHeight w:val="288"/>
              </w:trPr>
              <w:tc>
                <w:tcPr>
                  <w:tcW w:w="917" w:type="dxa"/>
                  <w:tcBorders>
                    <w:top w:val="nil"/>
                    <w:left w:val="nil"/>
                    <w:bottom w:val="nil"/>
                    <w:right w:val="nil"/>
                  </w:tcBorders>
                  <w:shd w:val="clear" w:color="auto" w:fill="auto"/>
                  <w:noWrap/>
                  <w:vAlign w:val="center"/>
                  <w:hideMark/>
                </w:tcPr>
                <w:p w14:paraId="34BBBD8A"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1563</w:t>
                  </w:r>
                </w:p>
              </w:tc>
              <w:tc>
                <w:tcPr>
                  <w:tcW w:w="2528" w:type="dxa"/>
                  <w:tcBorders>
                    <w:top w:val="nil"/>
                    <w:left w:val="nil"/>
                    <w:bottom w:val="nil"/>
                    <w:right w:val="nil"/>
                  </w:tcBorders>
                  <w:shd w:val="clear" w:color="auto" w:fill="auto"/>
                  <w:noWrap/>
                  <w:vAlign w:val="center"/>
                  <w:hideMark/>
                </w:tcPr>
                <w:p w14:paraId="21633386"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Ranibizumab 2.3mg/0.23ml solution for injection vials</w:t>
                  </w:r>
                </w:p>
              </w:tc>
              <w:tc>
                <w:tcPr>
                  <w:tcW w:w="2434" w:type="dxa"/>
                  <w:tcBorders>
                    <w:top w:val="nil"/>
                    <w:left w:val="nil"/>
                    <w:bottom w:val="nil"/>
                    <w:right w:val="nil"/>
                  </w:tcBorders>
                  <w:shd w:val="clear" w:color="auto" w:fill="auto"/>
                  <w:noWrap/>
                  <w:vAlign w:val="center"/>
                  <w:hideMark/>
                </w:tcPr>
                <w:p w14:paraId="75BC4DBB"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Ongavia 2.3mg/0.23ml solution for injection vials</w:t>
                  </w:r>
                </w:p>
              </w:tc>
              <w:tc>
                <w:tcPr>
                  <w:tcW w:w="1244" w:type="dxa"/>
                  <w:tcBorders>
                    <w:top w:val="nil"/>
                    <w:left w:val="nil"/>
                    <w:bottom w:val="nil"/>
                    <w:right w:val="nil"/>
                  </w:tcBorders>
                  <w:shd w:val="clear" w:color="auto" w:fill="auto"/>
                  <w:noWrap/>
                  <w:vAlign w:val="center"/>
                  <w:hideMark/>
                </w:tcPr>
                <w:p w14:paraId="53FEE5A9" w14:textId="6987CA87"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B</w:t>
                  </w:r>
                  <w:r w:rsidR="00F47487" w:rsidRPr="00F47487">
                    <w:rPr>
                      <w:rFonts w:ascii="Arial" w:eastAsia="Times New Roman" w:hAnsi="Arial" w:cs="Arial"/>
                      <w:bCs w:val="0"/>
                      <w:color w:val="000000"/>
                      <w:sz w:val="22"/>
                      <w:szCs w:val="22"/>
                      <w:lang w:eastAsia="en-GB"/>
                    </w:rPr>
                    <w:t>iosimilar</w:t>
                  </w:r>
                </w:p>
              </w:tc>
            </w:tr>
            <w:tr w:rsidR="00F47487" w:rsidRPr="00CE67C3" w14:paraId="57A51175" w14:textId="77777777" w:rsidTr="008A5CB0">
              <w:trPr>
                <w:trHeight w:val="288"/>
              </w:trPr>
              <w:tc>
                <w:tcPr>
                  <w:tcW w:w="917" w:type="dxa"/>
                  <w:tcBorders>
                    <w:top w:val="nil"/>
                    <w:left w:val="nil"/>
                    <w:bottom w:val="nil"/>
                    <w:right w:val="nil"/>
                  </w:tcBorders>
                  <w:shd w:val="clear" w:color="000000" w:fill="F2F2F2"/>
                  <w:noWrap/>
                  <w:vAlign w:val="center"/>
                  <w:hideMark/>
                </w:tcPr>
                <w:p w14:paraId="2002F367"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1563</w:t>
                  </w:r>
                </w:p>
              </w:tc>
              <w:tc>
                <w:tcPr>
                  <w:tcW w:w="2528" w:type="dxa"/>
                  <w:tcBorders>
                    <w:top w:val="nil"/>
                    <w:left w:val="nil"/>
                    <w:bottom w:val="nil"/>
                    <w:right w:val="nil"/>
                  </w:tcBorders>
                  <w:shd w:val="clear" w:color="000000" w:fill="F2F2F2"/>
                  <w:noWrap/>
                  <w:vAlign w:val="center"/>
                  <w:hideMark/>
                </w:tcPr>
                <w:p w14:paraId="2C407463"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Ranibizumab 2.3mg/0.23ml solution for injection vials</w:t>
                  </w:r>
                </w:p>
              </w:tc>
              <w:tc>
                <w:tcPr>
                  <w:tcW w:w="2434" w:type="dxa"/>
                  <w:tcBorders>
                    <w:top w:val="nil"/>
                    <w:left w:val="nil"/>
                    <w:bottom w:val="nil"/>
                    <w:right w:val="nil"/>
                  </w:tcBorders>
                  <w:shd w:val="clear" w:color="000000" w:fill="F2F2F2"/>
                  <w:noWrap/>
                  <w:vAlign w:val="center"/>
                  <w:hideMark/>
                </w:tcPr>
                <w:p w14:paraId="3FBDB5C2"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Lucentis 2.3mg/0.23ml solution for injection vials</w:t>
                  </w:r>
                </w:p>
              </w:tc>
              <w:tc>
                <w:tcPr>
                  <w:tcW w:w="1244" w:type="dxa"/>
                  <w:tcBorders>
                    <w:top w:val="nil"/>
                    <w:left w:val="nil"/>
                    <w:bottom w:val="nil"/>
                    <w:right w:val="nil"/>
                  </w:tcBorders>
                  <w:shd w:val="clear" w:color="000000" w:fill="F2F2F2"/>
                  <w:noWrap/>
                  <w:vAlign w:val="center"/>
                  <w:hideMark/>
                </w:tcPr>
                <w:p w14:paraId="6BF2AB5D" w14:textId="6D594C03"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riginator</w:t>
                  </w:r>
                </w:p>
              </w:tc>
            </w:tr>
            <w:tr w:rsidR="00F47487" w:rsidRPr="00CE67C3" w14:paraId="56DE14EC" w14:textId="77777777" w:rsidTr="008A5CB0">
              <w:trPr>
                <w:trHeight w:val="288"/>
              </w:trPr>
              <w:tc>
                <w:tcPr>
                  <w:tcW w:w="917" w:type="dxa"/>
                  <w:tcBorders>
                    <w:top w:val="nil"/>
                    <w:left w:val="nil"/>
                    <w:bottom w:val="nil"/>
                    <w:right w:val="nil"/>
                  </w:tcBorders>
                  <w:shd w:val="clear" w:color="auto" w:fill="auto"/>
                  <w:noWrap/>
                  <w:vAlign w:val="center"/>
                  <w:hideMark/>
                </w:tcPr>
                <w:p w14:paraId="729BAD50"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17431</w:t>
                  </w:r>
                </w:p>
              </w:tc>
              <w:tc>
                <w:tcPr>
                  <w:tcW w:w="2528" w:type="dxa"/>
                  <w:tcBorders>
                    <w:top w:val="nil"/>
                    <w:left w:val="nil"/>
                    <w:bottom w:val="nil"/>
                    <w:right w:val="nil"/>
                  </w:tcBorders>
                  <w:shd w:val="clear" w:color="auto" w:fill="auto"/>
                  <w:noWrap/>
                  <w:vAlign w:val="center"/>
                  <w:hideMark/>
                </w:tcPr>
                <w:p w14:paraId="5954C0E9"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Ranibizumab 1.65mg/0.165ml solution for injection pre-filled syringes</w:t>
                  </w:r>
                </w:p>
              </w:tc>
              <w:tc>
                <w:tcPr>
                  <w:tcW w:w="2434" w:type="dxa"/>
                  <w:tcBorders>
                    <w:top w:val="nil"/>
                    <w:left w:val="nil"/>
                    <w:bottom w:val="nil"/>
                    <w:right w:val="nil"/>
                  </w:tcBorders>
                  <w:shd w:val="clear" w:color="auto" w:fill="auto"/>
                  <w:noWrap/>
                  <w:vAlign w:val="center"/>
                  <w:hideMark/>
                </w:tcPr>
                <w:p w14:paraId="23798562"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Lucentis 1.65mg/0.165ml solution for injection pre-filled syringes</w:t>
                  </w:r>
                </w:p>
              </w:tc>
              <w:tc>
                <w:tcPr>
                  <w:tcW w:w="1244" w:type="dxa"/>
                  <w:tcBorders>
                    <w:top w:val="nil"/>
                    <w:left w:val="nil"/>
                    <w:bottom w:val="nil"/>
                    <w:right w:val="nil"/>
                  </w:tcBorders>
                  <w:shd w:val="clear" w:color="auto" w:fill="auto"/>
                  <w:noWrap/>
                  <w:vAlign w:val="center"/>
                  <w:hideMark/>
                </w:tcPr>
                <w:p w14:paraId="07FED92C" w14:textId="45D428A9"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riginator</w:t>
                  </w:r>
                </w:p>
              </w:tc>
            </w:tr>
            <w:tr w:rsidR="00F47487" w:rsidRPr="00CE67C3" w14:paraId="61866AA7" w14:textId="77777777" w:rsidTr="008A5CB0">
              <w:trPr>
                <w:trHeight w:val="288"/>
              </w:trPr>
              <w:tc>
                <w:tcPr>
                  <w:tcW w:w="917" w:type="dxa"/>
                  <w:tcBorders>
                    <w:top w:val="nil"/>
                    <w:left w:val="nil"/>
                    <w:bottom w:val="nil"/>
                    <w:right w:val="nil"/>
                  </w:tcBorders>
                  <w:shd w:val="clear" w:color="000000" w:fill="F2F2F2"/>
                  <w:noWrap/>
                  <w:vAlign w:val="center"/>
                  <w:hideMark/>
                </w:tcPr>
                <w:p w14:paraId="20D57475"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16338</w:t>
                  </w:r>
                </w:p>
              </w:tc>
              <w:tc>
                <w:tcPr>
                  <w:tcW w:w="2528" w:type="dxa"/>
                  <w:tcBorders>
                    <w:top w:val="nil"/>
                    <w:left w:val="nil"/>
                    <w:bottom w:val="nil"/>
                    <w:right w:val="nil"/>
                  </w:tcBorders>
                  <w:shd w:val="clear" w:color="000000" w:fill="F2F2F2"/>
                  <w:noWrap/>
                  <w:vAlign w:val="center"/>
                  <w:hideMark/>
                </w:tcPr>
                <w:p w14:paraId="37E1745C"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Aflibercept 4mg/100microlitres solution for injection vials</w:t>
                  </w:r>
                </w:p>
              </w:tc>
              <w:tc>
                <w:tcPr>
                  <w:tcW w:w="2434" w:type="dxa"/>
                  <w:tcBorders>
                    <w:top w:val="nil"/>
                    <w:left w:val="nil"/>
                    <w:bottom w:val="nil"/>
                    <w:right w:val="nil"/>
                  </w:tcBorders>
                  <w:shd w:val="clear" w:color="000000" w:fill="F2F2F2"/>
                  <w:noWrap/>
                  <w:vAlign w:val="center"/>
                  <w:hideMark/>
                </w:tcPr>
                <w:p w14:paraId="5F39CEAD"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Eylea 4mg/100microlitres solution for injection vials</w:t>
                  </w:r>
                </w:p>
              </w:tc>
              <w:tc>
                <w:tcPr>
                  <w:tcW w:w="1244" w:type="dxa"/>
                  <w:tcBorders>
                    <w:top w:val="nil"/>
                    <w:left w:val="nil"/>
                    <w:bottom w:val="nil"/>
                    <w:right w:val="nil"/>
                  </w:tcBorders>
                  <w:shd w:val="clear" w:color="000000" w:fill="F2F2F2"/>
                  <w:noWrap/>
                  <w:vAlign w:val="center"/>
                  <w:hideMark/>
                </w:tcPr>
                <w:p w14:paraId="47BABA35" w14:textId="7B1FF047"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ther</w:t>
                  </w:r>
                </w:p>
              </w:tc>
            </w:tr>
            <w:tr w:rsidR="00F47487" w:rsidRPr="00CE67C3" w14:paraId="3E4AC5F1" w14:textId="77777777" w:rsidTr="008A5CB0">
              <w:trPr>
                <w:trHeight w:val="288"/>
              </w:trPr>
              <w:tc>
                <w:tcPr>
                  <w:tcW w:w="917" w:type="dxa"/>
                  <w:tcBorders>
                    <w:top w:val="nil"/>
                    <w:left w:val="nil"/>
                    <w:bottom w:val="nil"/>
                    <w:right w:val="nil"/>
                  </w:tcBorders>
                  <w:shd w:val="clear" w:color="auto" w:fill="auto"/>
                  <w:noWrap/>
                  <w:vAlign w:val="center"/>
                  <w:hideMark/>
                </w:tcPr>
                <w:p w14:paraId="7CB67BFB"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21253</w:t>
                  </w:r>
                </w:p>
              </w:tc>
              <w:tc>
                <w:tcPr>
                  <w:tcW w:w="2528" w:type="dxa"/>
                  <w:tcBorders>
                    <w:top w:val="nil"/>
                    <w:left w:val="nil"/>
                    <w:bottom w:val="nil"/>
                    <w:right w:val="nil"/>
                  </w:tcBorders>
                  <w:shd w:val="clear" w:color="auto" w:fill="auto"/>
                  <w:noWrap/>
                  <w:vAlign w:val="center"/>
                  <w:hideMark/>
                </w:tcPr>
                <w:p w14:paraId="7FBF3AED"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Aflibercept 3.6mg/90microlitres solution for injection pre-filled syringes</w:t>
                  </w:r>
                </w:p>
              </w:tc>
              <w:tc>
                <w:tcPr>
                  <w:tcW w:w="2434" w:type="dxa"/>
                  <w:tcBorders>
                    <w:top w:val="nil"/>
                    <w:left w:val="nil"/>
                    <w:bottom w:val="nil"/>
                    <w:right w:val="nil"/>
                  </w:tcBorders>
                  <w:shd w:val="clear" w:color="auto" w:fill="auto"/>
                  <w:noWrap/>
                  <w:vAlign w:val="center"/>
                  <w:hideMark/>
                </w:tcPr>
                <w:p w14:paraId="664481EB"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Eylea 3.6mg/90microlitres solution for injection pre-filled syringes</w:t>
                  </w:r>
                </w:p>
              </w:tc>
              <w:tc>
                <w:tcPr>
                  <w:tcW w:w="1244" w:type="dxa"/>
                  <w:tcBorders>
                    <w:top w:val="nil"/>
                    <w:left w:val="nil"/>
                    <w:bottom w:val="nil"/>
                    <w:right w:val="nil"/>
                  </w:tcBorders>
                  <w:shd w:val="clear" w:color="auto" w:fill="auto"/>
                  <w:noWrap/>
                  <w:vAlign w:val="center"/>
                  <w:hideMark/>
                </w:tcPr>
                <w:p w14:paraId="6D38FCE5" w14:textId="49553EC3"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ther</w:t>
                  </w:r>
                </w:p>
              </w:tc>
            </w:tr>
            <w:tr w:rsidR="00F47487" w:rsidRPr="00CE67C3" w14:paraId="2B20F888" w14:textId="77777777" w:rsidTr="008A5CB0">
              <w:trPr>
                <w:trHeight w:val="288"/>
              </w:trPr>
              <w:tc>
                <w:tcPr>
                  <w:tcW w:w="917" w:type="dxa"/>
                  <w:tcBorders>
                    <w:top w:val="nil"/>
                    <w:left w:val="nil"/>
                    <w:bottom w:val="nil"/>
                    <w:right w:val="nil"/>
                  </w:tcBorders>
                  <w:shd w:val="clear" w:color="000000" w:fill="F2F2F2"/>
                  <w:noWrap/>
                  <w:vAlign w:val="center"/>
                  <w:hideMark/>
                </w:tcPr>
                <w:p w14:paraId="559885FE"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21040</w:t>
                  </w:r>
                </w:p>
              </w:tc>
              <w:tc>
                <w:tcPr>
                  <w:tcW w:w="2528" w:type="dxa"/>
                  <w:tcBorders>
                    <w:top w:val="nil"/>
                    <w:left w:val="nil"/>
                    <w:bottom w:val="nil"/>
                    <w:right w:val="nil"/>
                  </w:tcBorders>
                  <w:shd w:val="clear" w:color="000000" w:fill="F2F2F2"/>
                  <w:noWrap/>
                  <w:vAlign w:val="center"/>
                  <w:hideMark/>
                </w:tcPr>
                <w:p w14:paraId="57593A23"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Brolucizumab 19.8mg/0.165ml solution for injection pre-filled syringes</w:t>
                  </w:r>
                </w:p>
              </w:tc>
              <w:tc>
                <w:tcPr>
                  <w:tcW w:w="2434" w:type="dxa"/>
                  <w:tcBorders>
                    <w:top w:val="nil"/>
                    <w:left w:val="nil"/>
                    <w:bottom w:val="nil"/>
                    <w:right w:val="nil"/>
                  </w:tcBorders>
                  <w:shd w:val="clear" w:color="000000" w:fill="F2F2F2"/>
                  <w:noWrap/>
                  <w:vAlign w:val="center"/>
                  <w:hideMark/>
                </w:tcPr>
                <w:p w14:paraId="15183AE4"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Beovu 19.8mg/0.165ml solution for injection pre-filled syringes</w:t>
                  </w:r>
                </w:p>
              </w:tc>
              <w:tc>
                <w:tcPr>
                  <w:tcW w:w="1244" w:type="dxa"/>
                  <w:tcBorders>
                    <w:top w:val="nil"/>
                    <w:left w:val="nil"/>
                    <w:bottom w:val="nil"/>
                    <w:right w:val="nil"/>
                  </w:tcBorders>
                  <w:shd w:val="clear" w:color="000000" w:fill="F2F2F2"/>
                  <w:noWrap/>
                  <w:vAlign w:val="center"/>
                  <w:hideMark/>
                </w:tcPr>
                <w:p w14:paraId="5D97FF10" w14:textId="3BD11B9A"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ther</w:t>
                  </w:r>
                </w:p>
              </w:tc>
            </w:tr>
            <w:tr w:rsidR="00F47487" w:rsidRPr="00CE67C3" w14:paraId="7A66BE4A" w14:textId="77777777" w:rsidTr="008A5CB0">
              <w:trPr>
                <w:trHeight w:val="288"/>
              </w:trPr>
              <w:tc>
                <w:tcPr>
                  <w:tcW w:w="917" w:type="dxa"/>
                  <w:tcBorders>
                    <w:top w:val="nil"/>
                    <w:left w:val="nil"/>
                    <w:bottom w:val="nil"/>
                    <w:right w:val="nil"/>
                  </w:tcBorders>
                  <w:shd w:val="clear" w:color="auto" w:fill="auto"/>
                  <w:noWrap/>
                  <w:vAlign w:val="center"/>
                  <w:hideMark/>
                </w:tcPr>
                <w:p w14:paraId="2AEB4C94"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22432</w:t>
                  </w:r>
                </w:p>
              </w:tc>
              <w:tc>
                <w:tcPr>
                  <w:tcW w:w="2528" w:type="dxa"/>
                  <w:tcBorders>
                    <w:top w:val="nil"/>
                    <w:left w:val="nil"/>
                    <w:bottom w:val="nil"/>
                    <w:right w:val="nil"/>
                  </w:tcBorders>
                  <w:shd w:val="clear" w:color="auto" w:fill="auto"/>
                  <w:noWrap/>
                  <w:vAlign w:val="center"/>
                  <w:hideMark/>
                </w:tcPr>
                <w:p w14:paraId="1FE59512"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Faricimab 28.8mg/0.24ml solution for injection vials</w:t>
                  </w:r>
                </w:p>
              </w:tc>
              <w:tc>
                <w:tcPr>
                  <w:tcW w:w="2434" w:type="dxa"/>
                  <w:tcBorders>
                    <w:top w:val="nil"/>
                    <w:left w:val="nil"/>
                    <w:bottom w:val="nil"/>
                    <w:right w:val="nil"/>
                  </w:tcBorders>
                  <w:shd w:val="clear" w:color="auto" w:fill="auto"/>
                  <w:noWrap/>
                  <w:vAlign w:val="center"/>
                  <w:hideMark/>
                </w:tcPr>
                <w:p w14:paraId="45949C12"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Vabysmo 28.8mg/0.24ml solution for injection vials</w:t>
                  </w:r>
                </w:p>
              </w:tc>
              <w:tc>
                <w:tcPr>
                  <w:tcW w:w="1244" w:type="dxa"/>
                  <w:tcBorders>
                    <w:top w:val="nil"/>
                    <w:left w:val="nil"/>
                    <w:bottom w:val="nil"/>
                    <w:right w:val="nil"/>
                  </w:tcBorders>
                  <w:shd w:val="clear" w:color="auto" w:fill="auto"/>
                  <w:noWrap/>
                  <w:vAlign w:val="center"/>
                  <w:hideMark/>
                </w:tcPr>
                <w:p w14:paraId="713431C8" w14:textId="740B5020"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w:t>
                  </w:r>
                  <w:r w:rsidR="00F47487" w:rsidRPr="00F47487">
                    <w:rPr>
                      <w:rFonts w:ascii="Arial" w:eastAsia="Times New Roman" w:hAnsi="Arial" w:cs="Arial"/>
                      <w:bCs w:val="0"/>
                      <w:color w:val="000000"/>
                      <w:sz w:val="22"/>
                      <w:szCs w:val="22"/>
                      <w:lang w:eastAsia="en-GB"/>
                    </w:rPr>
                    <w:t>ther</w:t>
                  </w:r>
                </w:p>
              </w:tc>
            </w:tr>
            <w:tr w:rsidR="00F47487" w:rsidRPr="00CE67C3" w14:paraId="7F8C4B23" w14:textId="77777777" w:rsidTr="008A5CB0">
              <w:trPr>
                <w:trHeight w:val="288"/>
              </w:trPr>
              <w:tc>
                <w:tcPr>
                  <w:tcW w:w="917" w:type="dxa"/>
                  <w:tcBorders>
                    <w:top w:val="nil"/>
                    <w:left w:val="nil"/>
                    <w:bottom w:val="nil"/>
                    <w:right w:val="nil"/>
                  </w:tcBorders>
                  <w:shd w:val="clear" w:color="000000" w:fill="F2F2F2"/>
                  <w:noWrap/>
                  <w:vAlign w:val="center"/>
                  <w:hideMark/>
                </w:tcPr>
                <w:p w14:paraId="529F07CE"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1563</w:t>
                  </w:r>
                </w:p>
              </w:tc>
              <w:tc>
                <w:tcPr>
                  <w:tcW w:w="2528" w:type="dxa"/>
                  <w:tcBorders>
                    <w:top w:val="nil"/>
                    <w:left w:val="nil"/>
                    <w:bottom w:val="nil"/>
                    <w:right w:val="nil"/>
                  </w:tcBorders>
                  <w:shd w:val="clear" w:color="000000" w:fill="F2F2F2"/>
                  <w:noWrap/>
                  <w:vAlign w:val="center"/>
                  <w:hideMark/>
                </w:tcPr>
                <w:p w14:paraId="39FB4B78"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Ranibizumab 2.3mg/0.23ml solution for injection vials</w:t>
                  </w:r>
                </w:p>
              </w:tc>
              <w:tc>
                <w:tcPr>
                  <w:tcW w:w="2434" w:type="dxa"/>
                  <w:tcBorders>
                    <w:top w:val="nil"/>
                    <w:left w:val="nil"/>
                    <w:bottom w:val="nil"/>
                    <w:right w:val="nil"/>
                  </w:tcBorders>
                  <w:shd w:val="clear" w:color="000000" w:fill="F2F2F2"/>
                  <w:noWrap/>
                  <w:vAlign w:val="center"/>
                  <w:hideMark/>
                </w:tcPr>
                <w:p w14:paraId="788B0811"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Ximluci 2.3mg/0.23ml solution for injection vials</w:t>
                  </w:r>
                </w:p>
              </w:tc>
              <w:tc>
                <w:tcPr>
                  <w:tcW w:w="1244" w:type="dxa"/>
                  <w:tcBorders>
                    <w:top w:val="nil"/>
                    <w:left w:val="nil"/>
                    <w:bottom w:val="nil"/>
                    <w:right w:val="nil"/>
                  </w:tcBorders>
                  <w:shd w:val="clear" w:color="000000" w:fill="F2F2F2"/>
                  <w:noWrap/>
                  <w:vAlign w:val="center"/>
                  <w:hideMark/>
                </w:tcPr>
                <w:p w14:paraId="08C16D57" w14:textId="3F42D578" w:rsidR="00F47487" w:rsidRPr="00F47487" w:rsidRDefault="0002202D"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B</w:t>
                  </w:r>
                  <w:r w:rsidR="00F47487" w:rsidRPr="00F47487">
                    <w:rPr>
                      <w:rFonts w:ascii="Arial" w:eastAsia="Times New Roman" w:hAnsi="Arial" w:cs="Arial"/>
                      <w:bCs w:val="0"/>
                      <w:color w:val="000000"/>
                      <w:sz w:val="22"/>
                      <w:szCs w:val="22"/>
                      <w:lang w:eastAsia="en-GB"/>
                    </w:rPr>
                    <w:t>iosimilar</w:t>
                  </w:r>
                </w:p>
              </w:tc>
            </w:tr>
            <w:tr w:rsidR="00F47487" w:rsidRPr="00CE67C3" w14:paraId="0E72EA1C" w14:textId="77777777" w:rsidTr="008A5CB0">
              <w:trPr>
                <w:trHeight w:val="288"/>
              </w:trPr>
              <w:tc>
                <w:tcPr>
                  <w:tcW w:w="917" w:type="dxa"/>
                  <w:tcBorders>
                    <w:top w:val="nil"/>
                    <w:left w:val="nil"/>
                    <w:bottom w:val="nil"/>
                    <w:right w:val="nil"/>
                  </w:tcBorders>
                  <w:shd w:val="clear" w:color="auto" w:fill="auto"/>
                  <w:noWrap/>
                  <w:vAlign w:val="center"/>
                  <w:hideMark/>
                </w:tcPr>
                <w:p w14:paraId="442B882F"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1563</w:t>
                  </w:r>
                </w:p>
              </w:tc>
              <w:tc>
                <w:tcPr>
                  <w:tcW w:w="2528" w:type="dxa"/>
                  <w:tcBorders>
                    <w:top w:val="nil"/>
                    <w:left w:val="nil"/>
                    <w:bottom w:val="nil"/>
                    <w:right w:val="nil"/>
                  </w:tcBorders>
                  <w:shd w:val="clear" w:color="auto" w:fill="auto"/>
                  <w:noWrap/>
                  <w:vAlign w:val="center"/>
                  <w:hideMark/>
                </w:tcPr>
                <w:p w14:paraId="55144053"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Ranibizumab 2.3mg/0.23ml solution for injection vials</w:t>
                  </w:r>
                </w:p>
              </w:tc>
              <w:tc>
                <w:tcPr>
                  <w:tcW w:w="2434" w:type="dxa"/>
                  <w:tcBorders>
                    <w:top w:val="nil"/>
                    <w:left w:val="nil"/>
                    <w:bottom w:val="nil"/>
                    <w:right w:val="nil"/>
                  </w:tcBorders>
                  <w:shd w:val="clear" w:color="auto" w:fill="auto"/>
                  <w:noWrap/>
                  <w:vAlign w:val="center"/>
                  <w:hideMark/>
                </w:tcPr>
                <w:p w14:paraId="04F49469"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Byooviz 2.3mg/0.23ml solution for injection vials</w:t>
                  </w:r>
                </w:p>
              </w:tc>
              <w:tc>
                <w:tcPr>
                  <w:tcW w:w="1244" w:type="dxa"/>
                  <w:tcBorders>
                    <w:top w:val="nil"/>
                    <w:left w:val="nil"/>
                    <w:bottom w:val="nil"/>
                    <w:right w:val="nil"/>
                  </w:tcBorders>
                  <w:shd w:val="clear" w:color="auto" w:fill="auto"/>
                  <w:noWrap/>
                  <w:vAlign w:val="center"/>
                  <w:hideMark/>
                </w:tcPr>
                <w:p w14:paraId="35EE34F8"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biosimilar</w:t>
                  </w:r>
                </w:p>
              </w:tc>
            </w:tr>
            <w:tr w:rsidR="00F47487" w:rsidRPr="00CE67C3" w14:paraId="2717C58E" w14:textId="77777777" w:rsidTr="00F94D3C">
              <w:trPr>
                <w:trHeight w:val="288"/>
              </w:trPr>
              <w:tc>
                <w:tcPr>
                  <w:tcW w:w="917" w:type="dxa"/>
                  <w:tcBorders>
                    <w:top w:val="nil"/>
                    <w:left w:val="nil"/>
                    <w:bottom w:val="nil"/>
                    <w:right w:val="nil"/>
                  </w:tcBorders>
                  <w:shd w:val="clear" w:color="auto" w:fill="F2F2F2" w:themeFill="background1" w:themeFillShade="F2"/>
                  <w:noWrap/>
                  <w:vAlign w:val="center"/>
                  <w:hideMark/>
                </w:tcPr>
                <w:p w14:paraId="698BE9BE"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23700</w:t>
                  </w:r>
                </w:p>
              </w:tc>
              <w:tc>
                <w:tcPr>
                  <w:tcW w:w="2528" w:type="dxa"/>
                  <w:tcBorders>
                    <w:top w:val="nil"/>
                    <w:left w:val="nil"/>
                    <w:bottom w:val="nil"/>
                    <w:right w:val="nil"/>
                  </w:tcBorders>
                  <w:shd w:val="clear" w:color="auto" w:fill="F2F2F2" w:themeFill="background1" w:themeFillShade="F2"/>
                  <w:noWrap/>
                  <w:vAlign w:val="center"/>
                  <w:hideMark/>
                </w:tcPr>
                <w:p w14:paraId="3793195B"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Aflibercept 30.1mg/263microlitres solution for injection vials</w:t>
                  </w:r>
                </w:p>
              </w:tc>
              <w:tc>
                <w:tcPr>
                  <w:tcW w:w="2434" w:type="dxa"/>
                  <w:tcBorders>
                    <w:top w:val="nil"/>
                    <w:left w:val="nil"/>
                    <w:bottom w:val="nil"/>
                    <w:right w:val="nil"/>
                  </w:tcBorders>
                  <w:shd w:val="clear" w:color="auto" w:fill="F2F2F2" w:themeFill="background1" w:themeFillShade="F2"/>
                  <w:noWrap/>
                  <w:vAlign w:val="center"/>
                  <w:hideMark/>
                </w:tcPr>
                <w:p w14:paraId="21409127"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Eylea 30.1mg/263microlitres solution for injection vials</w:t>
                  </w:r>
                </w:p>
              </w:tc>
              <w:tc>
                <w:tcPr>
                  <w:tcW w:w="1244" w:type="dxa"/>
                  <w:tcBorders>
                    <w:top w:val="nil"/>
                    <w:left w:val="nil"/>
                    <w:bottom w:val="nil"/>
                    <w:right w:val="nil"/>
                  </w:tcBorders>
                  <w:shd w:val="clear" w:color="auto" w:fill="F2F2F2" w:themeFill="background1" w:themeFillShade="F2"/>
                  <w:noWrap/>
                  <w:vAlign w:val="center"/>
                  <w:hideMark/>
                </w:tcPr>
                <w:p w14:paraId="450D3785" w14:textId="77777777" w:rsidR="00F47487" w:rsidRPr="00F47487" w:rsidRDefault="00F47487" w:rsidP="00F47487">
                  <w:pPr>
                    <w:spacing w:after="0" w:line="240" w:lineRule="auto"/>
                    <w:rPr>
                      <w:rFonts w:ascii="Arial" w:eastAsia="Times New Roman" w:hAnsi="Arial" w:cs="Arial"/>
                      <w:bCs w:val="0"/>
                      <w:color w:val="000000"/>
                      <w:sz w:val="22"/>
                      <w:szCs w:val="22"/>
                      <w:lang w:eastAsia="en-GB"/>
                    </w:rPr>
                  </w:pPr>
                  <w:r w:rsidRPr="00F47487">
                    <w:rPr>
                      <w:rFonts w:ascii="Arial" w:eastAsia="Times New Roman" w:hAnsi="Arial" w:cs="Arial"/>
                      <w:bCs w:val="0"/>
                      <w:color w:val="000000"/>
                      <w:sz w:val="22"/>
                      <w:szCs w:val="22"/>
                      <w:lang w:eastAsia="en-GB"/>
                    </w:rPr>
                    <w:t>other</w:t>
                  </w:r>
                </w:p>
              </w:tc>
            </w:tr>
          </w:tbl>
          <w:p w14:paraId="361D11B8" w14:textId="77777777" w:rsidR="005A10FA" w:rsidRDefault="005A10FA" w:rsidP="00D277C4">
            <w:pPr>
              <w:spacing w:after="0" w:line="240" w:lineRule="auto"/>
              <w:rPr>
                <w:rFonts w:ascii="Arial" w:eastAsia="Times New Roman" w:hAnsi="Arial" w:cs="Arial"/>
                <w:bCs w:val="0"/>
                <w:sz w:val="22"/>
                <w:szCs w:val="22"/>
                <w:lang w:eastAsia="en-GB"/>
              </w:rPr>
            </w:pPr>
          </w:p>
          <w:p w14:paraId="0EFEF5EE" w14:textId="0059D578" w:rsidR="00F94D3C" w:rsidRPr="00CE67C3" w:rsidRDefault="00F94D3C" w:rsidP="00D277C4">
            <w:pPr>
              <w:spacing w:after="0" w:line="240" w:lineRule="auto"/>
              <w:rPr>
                <w:rFonts w:ascii="Arial" w:eastAsia="Times New Roman" w:hAnsi="Arial" w:cs="Arial"/>
                <w:bCs w:val="0"/>
                <w:sz w:val="22"/>
                <w:szCs w:val="22"/>
                <w:lang w:eastAsia="en-GB"/>
              </w:rPr>
            </w:pPr>
          </w:p>
        </w:tc>
      </w:tr>
      <w:tr w:rsidR="006C2B66" w:rsidRPr="006C2B66" w14:paraId="5A0A0715" w14:textId="77777777" w:rsidTr="00635EE6">
        <w:trPr>
          <w:trHeight w:val="828"/>
        </w:trPr>
        <w:tc>
          <w:tcPr>
            <w:tcW w:w="1581" w:type="dxa"/>
            <w:tcBorders>
              <w:top w:val="single" w:sz="4" w:space="0" w:color="auto"/>
              <w:left w:val="single" w:sz="4" w:space="0" w:color="auto"/>
              <w:bottom w:val="single" w:sz="4" w:space="0" w:color="auto"/>
              <w:right w:val="single" w:sz="4" w:space="0" w:color="auto"/>
            </w:tcBorders>
            <w:shd w:val="clear" w:color="auto" w:fill="auto"/>
            <w:hideMark/>
          </w:tcPr>
          <w:p w14:paraId="776EBA09" w14:textId="77777777" w:rsidR="005A10FA" w:rsidRPr="00CE67C3" w:rsidRDefault="005A10F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Other inclusion or exclusion criteria:</w:t>
            </w:r>
          </w:p>
        </w:tc>
        <w:tc>
          <w:tcPr>
            <w:tcW w:w="7339" w:type="dxa"/>
            <w:tcBorders>
              <w:top w:val="single" w:sz="4" w:space="0" w:color="auto"/>
              <w:left w:val="nil"/>
              <w:bottom w:val="single" w:sz="4" w:space="0" w:color="auto"/>
              <w:right w:val="single" w:sz="4" w:space="0" w:color="auto"/>
            </w:tcBorders>
            <w:shd w:val="clear" w:color="auto" w:fill="auto"/>
          </w:tcPr>
          <w:p w14:paraId="6DE3DFB5" w14:textId="79C2EDF6" w:rsidR="005A10FA" w:rsidRPr="00CE67C3" w:rsidRDefault="005A10FA" w:rsidP="00D277C4">
            <w:pPr>
              <w:spacing w:after="0" w:line="240" w:lineRule="auto"/>
              <w:rPr>
                <w:rFonts w:ascii="Arial" w:eastAsia="Times New Roman" w:hAnsi="Arial" w:cs="Arial"/>
                <w:bCs w:val="0"/>
                <w:sz w:val="22"/>
                <w:szCs w:val="22"/>
                <w:lang w:eastAsia="en-GB"/>
              </w:rPr>
            </w:pPr>
          </w:p>
        </w:tc>
      </w:tr>
    </w:tbl>
    <w:p w14:paraId="20D55C32" w14:textId="1E4EF1A5" w:rsidR="4257620F" w:rsidRDefault="4257620F"/>
    <w:p w14:paraId="11364DFB" w14:textId="27876C44" w:rsidR="006C2B66" w:rsidRDefault="006C2B66" w:rsidP="009B7AA8">
      <w:pPr>
        <w:pStyle w:val="Heading2"/>
      </w:pPr>
    </w:p>
    <w:p w14:paraId="115122CE" w14:textId="77777777" w:rsidR="006C2B66" w:rsidRDefault="006C2B66">
      <w:pPr>
        <w:rPr>
          <w:rFonts w:asciiTheme="majorHAnsi" w:eastAsiaTheme="majorEastAsia" w:hAnsiTheme="majorHAnsi" w:cstheme="majorBidi"/>
          <w:color w:val="005EB8" w:themeColor="text2"/>
          <w:sz w:val="24"/>
          <w:szCs w:val="26"/>
        </w:rPr>
      </w:pPr>
      <w:r>
        <w:br w:type="page"/>
      </w:r>
    </w:p>
    <w:p w14:paraId="3740FB87" w14:textId="7473955F" w:rsidR="009B7AA8" w:rsidRDefault="009B7AA8" w:rsidP="009B7AA8">
      <w:pPr>
        <w:pStyle w:val="Heading2"/>
      </w:pPr>
      <w:bookmarkStart w:id="14" w:name="_Toc172291526"/>
      <w:r>
        <w:lastRenderedPageBreak/>
        <w:t>Metric 08.Prescribing of blood glucose, ketone meters, and testing strips</w:t>
      </w:r>
      <w:bookmarkEnd w:id="14"/>
    </w:p>
    <w:tbl>
      <w:tblPr>
        <w:tblW w:w="8920" w:type="dxa"/>
        <w:tblLook w:val="04A0" w:firstRow="1" w:lastRow="0" w:firstColumn="1" w:lastColumn="0" w:noHBand="0" w:noVBand="1"/>
      </w:tblPr>
      <w:tblGrid>
        <w:gridCol w:w="2120"/>
        <w:gridCol w:w="6800"/>
      </w:tblGrid>
      <w:tr w:rsidR="00C23E6D" w:rsidRPr="00C23E6D" w14:paraId="677BF67C"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220C873D"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55ACF691"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Prescribing of blood glucose, ketone meters, and testing strips</w:t>
            </w:r>
          </w:p>
        </w:tc>
      </w:tr>
      <w:tr w:rsidR="00C23E6D" w:rsidRPr="00C23E6D" w14:paraId="72A8B2EC"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9ABDCC6"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714156B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Appropriate prescribing and supply of blood glucose and ketone meters, and testing strips</w:t>
            </w:r>
          </w:p>
        </w:tc>
      </w:tr>
      <w:tr w:rsidR="00C23E6D" w:rsidRPr="00C23E6D" w14:paraId="14220916"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4CE4FF1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081B2333" w14:textId="73985FF7" w:rsidR="00C23E6D" w:rsidRPr="00CE67C3"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31A73541" w:rsidRPr="4257620F">
              <w:rPr>
                <w:rFonts w:ascii="Arial" w:eastAsia="Times New Roman" w:hAnsi="Arial" w:cs="Arial"/>
                <w:color w:val="000000" w:themeColor="text1"/>
                <w:sz w:val="22"/>
                <w:szCs w:val="22"/>
                <w:lang w:eastAsia="en-GB"/>
              </w:rPr>
              <w:t xml:space="preserve"> care</w:t>
            </w:r>
          </w:p>
        </w:tc>
      </w:tr>
      <w:tr w:rsidR="00C23E6D" w:rsidRPr="00C23E6D" w14:paraId="3BD68EC0"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8C35540"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78AA644B"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Percentage of spend (NIC GBP) on recommended blood glucose and ketone testing strips prescribed out of spend (NIC GBP) on all blood glucose and ketone testing strips prescribed</w:t>
            </w:r>
          </w:p>
        </w:tc>
      </w:tr>
      <w:tr w:rsidR="00C23E6D" w:rsidRPr="00C23E6D" w14:paraId="60540D70"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312F3F2E"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7C97A2F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Higher</w:t>
            </w:r>
          </w:p>
        </w:tc>
      </w:tr>
      <w:tr w:rsidR="00C23E6D" w:rsidRPr="00C23E6D" w14:paraId="767553B6"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3945995"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3D3D5F14"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Total Net Ingredient Cost (NIC GBP) for recommended blood glucose and ketone testing strips (12-month rolling)</w:t>
            </w:r>
          </w:p>
        </w:tc>
      </w:tr>
      <w:tr w:rsidR="00C23E6D" w:rsidRPr="00C23E6D" w14:paraId="1350C929"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E1957F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7D507977" w14:textId="76A0DB82"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xml:space="preserve">Net Ingredient Cost </w:t>
            </w:r>
            <w:r w:rsidR="0091630E" w:rsidRPr="00CE67C3">
              <w:rPr>
                <w:rFonts w:ascii="Arial" w:eastAsia="Times New Roman" w:hAnsi="Arial" w:cs="Arial"/>
                <w:bCs w:val="0"/>
                <w:color w:val="000000"/>
                <w:sz w:val="22"/>
                <w:szCs w:val="22"/>
                <w:lang w:eastAsia="en-GB"/>
              </w:rPr>
              <w:t>(</w:t>
            </w:r>
            <w:r w:rsidRPr="00CE67C3">
              <w:rPr>
                <w:rFonts w:ascii="Arial" w:eastAsia="Times New Roman" w:hAnsi="Arial" w:cs="Arial"/>
                <w:bCs w:val="0"/>
                <w:color w:val="000000"/>
                <w:sz w:val="22"/>
                <w:szCs w:val="22"/>
                <w:lang w:eastAsia="en-GB"/>
              </w:rPr>
              <w:t>GBP</w:t>
            </w:r>
            <w:r w:rsidR="0091630E" w:rsidRPr="00CE67C3">
              <w:rPr>
                <w:rFonts w:ascii="Arial" w:eastAsia="Times New Roman" w:hAnsi="Arial" w:cs="Arial"/>
                <w:bCs w:val="0"/>
                <w:color w:val="000000"/>
                <w:sz w:val="22"/>
                <w:szCs w:val="22"/>
                <w:lang w:eastAsia="en-GB"/>
              </w:rPr>
              <w:t>)</w:t>
            </w:r>
          </w:p>
        </w:tc>
      </w:tr>
      <w:tr w:rsidR="00C23E6D" w:rsidRPr="00C23E6D" w14:paraId="06E0681B"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1D41F859"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06E128A1"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Total Net Ingredient Cost (NIC GBP) for all blood glucose and ketone testing strips (12-month rolling)</w:t>
            </w:r>
          </w:p>
        </w:tc>
      </w:tr>
      <w:tr w:rsidR="00C23E6D" w:rsidRPr="00C23E6D" w14:paraId="3747C046"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A068F73"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18BA1F19" w14:textId="0CCBC49A"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xml:space="preserve">Net Ingredient Cost </w:t>
            </w:r>
            <w:r w:rsidR="0048437E" w:rsidRPr="00CE67C3">
              <w:rPr>
                <w:rFonts w:ascii="Arial" w:eastAsia="Times New Roman" w:hAnsi="Arial" w:cs="Arial"/>
                <w:bCs w:val="0"/>
                <w:color w:val="000000"/>
                <w:sz w:val="22"/>
                <w:szCs w:val="22"/>
                <w:lang w:eastAsia="en-GB"/>
              </w:rPr>
              <w:t>(</w:t>
            </w:r>
            <w:r w:rsidRPr="00CE67C3">
              <w:rPr>
                <w:rFonts w:ascii="Arial" w:eastAsia="Times New Roman" w:hAnsi="Arial" w:cs="Arial"/>
                <w:bCs w:val="0"/>
                <w:color w:val="000000"/>
                <w:sz w:val="22"/>
                <w:szCs w:val="22"/>
                <w:lang w:eastAsia="en-GB"/>
              </w:rPr>
              <w:t>GBP</w:t>
            </w:r>
            <w:r w:rsidR="0048437E" w:rsidRPr="00CE67C3">
              <w:rPr>
                <w:rFonts w:ascii="Arial" w:eastAsia="Times New Roman" w:hAnsi="Arial" w:cs="Arial"/>
                <w:bCs w:val="0"/>
                <w:color w:val="000000"/>
                <w:sz w:val="22"/>
                <w:szCs w:val="22"/>
                <w:lang w:eastAsia="en-GB"/>
              </w:rPr>
              <w:t>)</w:t>
            </w:r>
          </w:p>
        </w:tc>
      </w:tr>
      <w:tr w:rsidR="00A00FD7" w:rsidRPr="00C23E6D" w14:paraId="20E94C64" w14:textId="77777777" w:rsidTr="4257620F">
        <w:trPr>
          <w:trHeight w:val="828"/>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A80E20" w14:textId="7CF101C1" w:rsidR="00A00FD7" w:rsidRPr="00CE67C3" w:rsidRDefault="00A00FD7" w:rsidP="00A00FD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Hyperlinks to supporting information </w:t>
            </w:r>
          </w:p>
        </w:tc>
        <w:tc>
          <w:tcPr>
            <w:tcW w:w="6800" w:type="dxa"/>
            <w:tcBorders>
              <w:top w:val="single" w:sz="4" w:space="0" w:color="auto"/>
              <w:left w:val="nil"/>
              <w:right w:val="single" w:sz="4" w:space="0" w:color="auto"/>
            </w:tcBorders>
            <w:shd w:val="clear" w:color="auto" w:fill="auto"/>
            <w:hideMark/>
          </w:tcPr>
          <w:p w14:paraId="0832D385" w14:textId="00BABDED" w:rsidR="00A00FD7" w:rsidRPr="00CE67C3" w:rsidRDefault="00430238" w:rsidP="009C5723">
            <w:pPr>
              <w:pStyle w:val="Hyperlinkinpara"/>
            </w:pPr>
            <w:hyperlink r:id="rId32">
              <w:r w:rsidR="359A3D0A" w:rsidRPr="5A03167D">
                <w:rPr>
                  <w:rStyle w:val="Hyperlink"/>
                </w:rPr>
                <w:t>NHS England - Commissioning recommendations following the national assessment of blood glucose and ketone meters, testing strips and lancets</w:t>
              </w:r>
            </w:hyperlink>
          </w:p>
        </w:tc>
      </w:tr>
      <w:tr w:rsidR="00A00FD7" w:rsidRPr="00C23E6D" w14:paraId="5D3A494C" w14:textId="77777777" w:rsidTr="00F94D3C">
        <w:trPr>
          <w:trHeight w:val="69"/>
        </w:trPr>
        <w:tc>
          <w:tcPr>
            <w:tcW w:w="2120" w:type="dxa"/>
            <w:vMerge/>
            <w:tcBorders>
              <w:top w:val="single" w:sz="4" w:space="0" w:color="auto"/>
              <w:left w:val="single" w:sz="4" w:space="0" w:color="auto"/>
              <w:bottom w:val="single" w:sz="4" w:space="0" w:color="auto"/>
              <w:right w:val="single" w:sz="4" w:space="0" w:color="auto"/>
            </w:tcBorders>
            <w:hideMark/>
          </w:tcPr>
          <w:p w14:paraId="31245F36" w14:textId="39D844D7" w:rsidR="00A00FD7" w:rsidRPr="00CE67C3" w:rsidRDefault="00A00FD7" w:rsidP="00C23E6D">
            <w:pPr>
              <w:spacing w:after="0" w:line="240" w:lineRule="auto"/>
              <w:rPr>
                <w:rFonts w:ascii="Arial" w:eastAsia="Times New Roman" w:hAnsi="Arial" w:cs="Arial"/>
                <w:bCs w:val="0"/>
                <w:color w:val="000000"/>
                <w:sz w:val="22"/>
                <w:szCs w:val="22"/>
                <w:lang w:eastAsia="en-GB"/>
              </w:rPr>
            </w:pPr>
          </w:p>
        </w:tc>
        <w:tc>
          <w:tcPr>
            <w:tcW w:w="6800" w:type="dxa"/>
            <w:tcBorders>
              <w:left w:val="single" w:sz="4" w:space="0" w:color="auto"/>
              <w:bottom w:val="single" w:sz="4" w:space="0" w:color="auto"/>
              <w:right w:val="single" w:sz="4" w:space="0" w:color="auto"/>
            </w:tcBorders>
            <w:shd w:val="clear" w:color="auto" w:fill="auto"/>
          </w:tcPr>
          <w:p w14:paraId="5B656E03" w14:textId="36891FD3" w:rsidR="00A00FD7" w:rsidRPr="00CE67C3" w:rsidRDefault="00430238" w:rsidP="009C5723">
            <w:pPr>
              <w:pStyle w:val="Hyperlinkinpara"/>
              <w:rPr>
                <w:szCs w:val="22"/>
              </w:rPr>
            </w:pPr>
            <w:hyperlink r:id="rId33" w:history="1">
              <w:r w:rsidR="00A00FD7" w:rsidRPr="00CE67C3">
                <w:rPr>
                  <w:rStyle w:val="Hyperlink"/>
                  <w:color w:val="0072CE"/>
                  <w:szCs w:val="22"/>
                </w:rPr>
                <w:t>Model Health System - Percentage of recommended blood glucose and ketone testing strips items prescribed out of all blood glucose and ketone testing strip items - Requires login</w:t>
              </w:r>
            </w:hyperlink>
          </w:p>
        </w:tc>
      </w:tr>
      <w:tr w:rsidR="00C23E6D" w:rsidRPr="00C23E6D" w14:paraId="686EBE9D" w14:textId="77777777" w:rsidTr="00F94D3C">
        <w:trPr>
          <w:trHeight w:val="828"/>
        </w:trPr>
        <w:tc>
          <w:tcPr>
            <w:tcW w:w="2120" w:type="dxa"/>
            <w:tcBorders>
              <w:top w:val="single" w:sz="4" w:space="0" w:color="auto"/>
              <w:left w:val="single" w:sz="4" w:space="0" w:color="auto"/>
              <w:bottom w:val="nil"/>
              <w:right w:val="single" w:sz="4" w:space="0" w:color="auto"/>
            </w:tcBorders>
            <w:shd w:val="clear" w:color="auto" w:fill="auto"/>
            <w:hideMark/>
          </w:tcPr>
          <w:p w14:paraId="05FA375F"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Notes</w:t>
            </w:r>
          </w:p>
        </w:tc>
        <w:tc>
          <w:tcPr>
            <w:tcW w:w="6800" w:type="dxa"/>
            <w:tcBorders>
              <w:top w:val="single" w:sz="4" w:space="0" w:color="auto"/>
              <w:left w:val="nil"/>
              <w:bottom w:val="nil"/>
              <w:right w:val="single" w:sz="4" w:space="0" w:color="auto"/>
            </w:tcBorders>
            <w:shd w:val="clear" w:color="auto" w:fill="auto"/>
            <w:hideMark/>
          </w:tcPr>
          <w:p w14:paraId="6B2AEA63"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C23E6D" w:rsidRPr="00C23E6D" w14:paraId="20900B3B" w14:textId="77777777" w:rsidTr="4257620F">
        <w:trPr>
          <w:trHeight w:val="300"/>
        </w:trPr>
        <w:tc>
          <w:tcPr>
            <w:tcW w:w="2120" w:type="dxa"/>
            <w:tcBorders>
              <w:top w:val="nil"/>
              <w:left w:val="single" w:sz="4" w:space="0" w:color="auto"/>
              <w:bottom w:val="nil"/>
              <w:right w:val="single" w:sz="4" w:space="0" w:color="auto"/>
            </w:tcBorders>
            <w:shd w:val="clear" w:color="auto" w:fill="auto"/>
            <w:hideMark/>
          </w:tcPr>
          <w:p w14:paraId="7B93878A"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65C3B8A9"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C23E6D" w:rsidRPr="00C23E6D" w14:paraId="256145FF"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10B961F"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448B0C3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C23E6D" w:rsidRPr="00C23E6D" w14:paraId="5CCC5776" w14:textId="77777777" w:rsidTr="00F80497">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FC70634"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60AFE752" w14:textId="10557678" w:rsidR="00334A79" w:rsidRPr="00CE67C3" w:rsidRDefault="0078626C" w:rsidP="006C2B66">
            <w:pPr>
              <w:spacing w:after="0" w:line="240" w:lineRule="auto"/>
              <w:rPr>
                <w:rFonts w:ascii="Arial" w:eastAsia="Times New Roman" w:hAnsi="Arial" w:cs="Arial"/>
                <w:b/>
                <w:color w:val="FF0000"/>
                <w:sz w:val="22"/>
                <w:szCs w:val="22"/>
                <w:lang w:eastAsia="en-GB"/>
              </w:rPr>
            </w:pPr>
            <w:r w:rsidRPr="00CE67C3">
              <w:rPr>
                <w:rFonts w:ascii="Arial" w:eastAsia="Times New Roman" w:hAnsi="Arial" w:cs="Arial"/>
                <w:b/>
                <w:color w:val="000000"/>
                <w:sz w:val="22"/>
                <w:szCs w:val="22"/>
                <w:lang w:eastAsia="en-GB"/>
              </w:rPr>
              <w:t>All blood glucose and ketone testing strips</w:t>
            </w:r>
            <w:r w:rsidR="00334A79" w:rsidRPr="00CE67C3">
              <w:rPr>
                <w:rFonts w:ascii="Arial" w:eastAsia="Times New Roman" w:hAnsi="Arial" w:cs="Arial"/>
                <w:b/>
                <w:color w:val="000000"/>
                <w:sz w:val="22"/>
                <w:szCs w:val="22"/>
                <w:lang w:eastAsia="en-GB"/>
              </w:rPr>
              <w:t xml:space="preserve"> (Denominator):</w:t>
            </w:r>
          </w:p>
          <w:tbl>
            <w:tblPr>
              <w:tblW w:w="6280" w:type="dxa"/>
              <w:tblLook w:val="04A0" w:firstRow="1" w:lastRow="0" w:firstColumn="1" w:lastColumn="0" w:noHBand="0" w:noVBand="1"/>
            </w:tblPr>
            <w:tblGrid>
              <w:gridCol w:w="2420"/>
              <w:gridCol w:w="3860"/>
            </w:tblGrid>
            <w:tr w:rsidR="00334A79" w:rsidRPr="00CE67C3" w14:paraId="20D8CCB1" w14:textId="77777777" w:rsidTr="001C0DA1">
              <w:trPr>
                <w:trHeight w:val="276"/>
              </w:trPr>
              <w:tc>
                <w:tcPr>
                  <w:tcW w:w="2420" w:type="dxa"/>
                  <w:tcBorders>
                    <w:top w:val="nil"/>
                    <w:left w:val="nil"/>
                    <w:bottom w:val="nil"/>
                    <w:right w:val="nil"/>
                  </w:tcBorders>
                  <w:shd w:val="clear" w:color="auto" w:fill="005EB8" w:themeFill="text2"/>
                  <w:noWrap/>
                  <w:hideMark/>
                </w:tcPr>
                <w:p w14:paraId="574A0CFB" w14:textId="709129C0" w:rsidR="00334A79" w:rsidRPr="00CE67C3" w:rsidRDefault="00334A79" w:rsidP="001C0DA1">
                  <w:pPr>
                    <w:rPr>
                      <w:rFonts w:ascii="Arial" w:eastAsia="Times New Roman" w:hAnsi="Arial" w:cs="Arial"/>
                      <w:b/>
                      <w:bCs w:val="0"/>
                      <w:color w:val="FFFFFF" w:themeColor="background1"/>
                      <w:sz w:val="22"/>
                      <w:szCs w:val="22"/>
                      <w:lang w:eastAsia="en-GB"/>
                    </w:rPr>
                  </w:pPr>
                  <w:r w:rsidRPr="00CE67C3">
                    <w:rPr>
                      <w:b/>
                      <w:bCs w:val="0"/>
                      <w:color w:val="FFFFFF" w:themeColor="background1"/>
                      <w:sz w:val="22"/>
                      <w:szCs w:val="22"/>
                    </w:rPr>
                    <w:t>BNF Chemical Substance Code</w:t>
                  </w:r>
                </w:p>
              </w:tc>
              <w:tc>
                <w:tcPr>
                  <w:tcW w:w="3860" w:type="dxa"/>
                  <w:tcBorders>
                    <w:top w:val="nil"/>
                    <w:left w:val="nil"/>
                    <w:bottom w:val="nil"/>
                    <w:right w:val="nil"/>
                  </w:tcBorders>
                  <w:shd w:val="clear" w:color="auto" w:fill="005EB8" w:themeFill="text2"/>
                  <w:noWrap/>
                  <w:hideMark/>
                </w:tcPr>
                <w:p w14:paraId="4EE0CB01" w14:textId="4C9E7538" w:rsidR="00334A79" w:rsidRPr="00CE67C3" w:rsidRDefault="00334A79" w:rsidP="001C0DA1">
                  <w:pPr>
                    <w:rPr>
                      <w:rFonts w:ascii="Arial" w:eastAsia="Times New Roman" w:hAnsi="Arial" w:cs="Arial"/>
                      <w:b/>
                      <w:bCs w:val="0"/>
                      <w:color w:val="FFFFFF" w:themeColor="background1"/>
                      <w:sz w:val="22"/>
                      <w:szCs w:val="22"/>
                      <w:lang w:eastAsia="en-GB"/>
                    </w:rPr>
                  </w:pPr>
                  <w:r w:rsidRPr="00CE67C3">
                    <w:rPr>
                      <w:b/>
                      <w:bCs w:val="0"/>
                      <w:color w:val="FFFFFF" w:themeColor="background1"/>
                      <w:sz w:val="22"/>
                      <w:szCs w:val="22"/>
                    </w:rPr>
                    <w:t>BNF Chemical Substance</w:t>
                  </w:r>
                </w:p>
              </w:tc>
            </w:tr>
            <w:tr w:rsidR="00334A79" w:rsidRPr="00CE67C3" w14:paraId="294DFC1E" w14:textId="77777777" w:rsidTr="001C0DA1">
              <w:trPr>
                <w:trHeight w:val="276"/>
              </w:trPr>
              <w:tc>
                <w:tcPr>
                  <w:tcW w:w="2420" w:type="dxa"/>
                  <w:tcBorders>
                    <w:top w:val="nil"/>
                    <w:left w:val="nil"/>
                    <w:bottom w:val="nil"/>
                    <w:right w:val="nil"/>
                  </w:tcBorders>
                  <w:shd w:val="clear" w:color="auto" w:fill="auto"/>
                  <w:noWrap/>
                  <w:hideMark/>
                </w:tcPr>
                <w:p w14:paraId="38316849" w14:textId="07ECE9B5" w:rsidR="00334A79" w:rsidRPr="00CE67C3" w:rsidRDefault="00334A79" w:rsidP="001C0DA1">
                  <w:pPr>
                    <w:rPr>
                      <w:rFonts w:ascii="Arial" w:eastAsia="Times New Roman" w:hAnsi="Arial" w:cs="Arial"/>
                      <w:sz w:val="22"/>
                      <w:szCs w:val="22"/>
                      <w:lang w:eastAsia="en-GB"/>
                    </w:rPr>
                  </w:pPr>
                  <w:r w:rsidRPr="00CE67C3">
                    <w:rPr>
                      <w:sz w:val="22"/>
                      <w:szCs w:val="22"/>
                    </w:rPr>
                    <w:t>0601060D0</w:t>
                  </w:r>
                </w:p>
              </w:tc>
              <w:tc>
                <w:tcPr>
                  <w:tcW w:w="3860" w:type="dxa"/>
                  <w:tcBorders>
                    <w:top w:val="nil"/>
                    <w:left w:val="nil"/>
                    <w:bottom w:val="nil"/>
                    <w:right w:val="nil"/>
                  </w:tcBorders>
                  <w:shd w:val="clear" w:color="auto" w:fill="auto"/>
                  <w:noWrap/>
                  <w:hideMark/>
                </w:tcPr>
                <w:p w14:paraId="5A7A8505" w14:textId="5B686FC6" w:rsidR="00334A79" w:rsidRPr="00CE67C3" w:rsidRDefault="00334A79" w:rsidP="001C0DA1">
                  <w:pPr>
                    <w:rPr>
                      <w:rFonts w:ascii="Arial" w:eastAsia="Times New Roman" w:hAnsi="Arial" w:cs="Arial"/>
                      <w:sz w:val="22"/>
                      <w:szCs w:val="22"/>
                      <w:lang w:eastAsia="en-GB"/>
                    </w:rPr>
                  </w:pPr>
                  <w:r w:rsidRPr="00CE67C3">
                    <w:rPr>
                      <w:sz w:val="22"/>
                      <w:szCs w:val="22"/>
                    </w:rPr>
                    <w:t>Glucose blood testing reagents</w:t>
                  </w:r>
                </w:p>
              </w:tc>
            </w:tr>
            <w:tr w:rsidR="00334A79" w:rsidRPr="00CE67C3" w14:paraId="4CF31020" w14:textId="77777777" w:rsidTr="001C0DA1">
              <w:trPr>
                <w:trHeight w:val="276"/>
              </w:trPr>
              <w:tc>
                <w:tcPr>
                  <w:tcW w:w="2420" w:type="dxa"/>
                  <w:tcBorders>
                    <w:top w:val="nil"/>
                    <w:left w:val="nil"/>
                    <w:bottom w:val="nil"/>
                    <w:right w:val="nil"/>
                  </w:tcBorders>
                  <w:shd w:val="clear" w:color="auto" w:fill="F2F2F2" w:themeFill="background1" w:themeFillShade="F2"/>
                  <w:noWrap/>
                  <w:hideMark/>
                </w:tcPr>
                <w:p w14:paraId="2FCDC292" w14:textId="7CB6A7EB" w:rsidR="00334A79" w:rsidRPr="00CE67C3" w:rsidRDefault="00334A79" w:rsidP="001C0DA1">
                  <w:pPr>
                    <w:rPr>
                      <w:rFonts w:ascii="Arial" w:eastAsia="Times New Roman" w:hAnsi="Arial" w:cs="Arial"/>
                      <w:sz w:val="22"/>
                      <w:szCs w:val="22"/>
                      <w:lang w:eastAsia="en-GB"/>
                    </w:rPr>
                  </w:pPr>
                  <w:r w:rsidRPr="00CE67C3">
                    <w:rPr>
                      <w:sz w:val="22"/>
                      <w:szCs w:val="22"/>
                    </w:rPr>
                    <w:t>0601060W0</w:t>
                  </w:r>
                </w:p>
              </w:tc>
              <w:tc>
                <w:tcPr>
                  <w:tcW w:w="3860" w:type="dxa"/>
                  <w:tcBorders>
                    <w:top w:val="nil"/>
                    <w:left w:val="nil"/>
                    <w:bottom w:val="nil"/>
                    <w:right w:val="nil"/>
                  </w:tcBorders>
                  <w:shd w:val="clear" w:color="auto" w:fill="F2F2F2" w:themeFill="background1" w:themeFillShade="F2"/>
                  <w:noWrap/>
                  <w:hideMark/>
                </w:tcPr>
                <w:p w14:paraId="03AE334F" w14:textId="036D9D2B" w:rsidR="00334A79" w:rsidRPr="00CE67C3" w:rsidRDefault="00334A79" w:rsidP="001C0DA1">
                  <w:pPr>
                    <w:rPr>
                      <w:rFonts w:ascii="Arial" w:eastAsia="Times New Roman" w:hAnsi="Arial" w:cs="Arial"/>
                      <w:sz w:val="22"/>
                      <w:szCs w:val="22"/>
                      <w:lang w:eastAsia="en-GB"/>
                    </w:rPr>
                  </w:pPr>
                  <w:r w:rsidRPr="00CE67C3">
                    <w:rPr>
                      <w:sz w:val="22"/>
                      <w:szCs w:val="22"/>
                    </w:rPr>
                    <w:t>Ketone blood testing reagents</w:t>
                  </w:r>
                </w:p>
              </w:tc>
            </w:tr>
            <w:tr w:rsidR="00334A79" w:rsidRPr="00CE67C3" w14:paraId="524256A4" w14:textId="77777777" w:rsidTr="001C0DA1">
              <w:trPr>
                <w:trHeight w:val="276"/>
              </w:trPr>
              <w:tc>
                <w:tcPr>
                  <w:tcW w:w="2420" w:type="dxa"/>
                  <w:tcBorders>
                    <w:top w:val="nil"/>
                    <w:left w:val="nil"/>
                    <w:bottom w:val="nil"/>
                    <w:right w:val="nil"/>
                  </w:tcBorders>
                  <w:shd w:val="clear" w:color="auto" w:fill="auto"/>
                  <w:noWrap/>
                  <w:hideMark/>
                </w:tcPr>
                <w:p w14:paraId="23BE7ED5" w14:textId="08F52CD6" w:rsidR="00334A79" w:rsidRPr="00CE67C3" w:rsidRDefault="00334A79" w:rsidP="001C0DA1">
                  <w:pPr>
                    <w:rPr>
                      <w:rFonts w:ascii="Arial" w:eastAsia="Times New Roman" w:hAnsi="Arial" w:cs="Arial"/>
                      <w:sz w:val="22"/>
                      <w:szCs w:val="22"/>
                      <w:lang w:eastAsia="en-GB"/>
                    </w:rPr>
                  </w:pPr>
                  <w:r w:rsidRPr="00CE67C3">
                    <w:rPr>
                      <w:sz w:val="22"/>
                      <w:szCs w:val="22"/>
                    </w:rPr>
                    <w:t>0601060X0</w:t>
                  </w:r>
                </w:p>
              </w:tc>
              <w:tc>
                <w:tcPr>
                  <w:tcW w:w="3860" w:type="dxa"/>
                  <w:tcBorders>
                    <w:top w:val="nil"/>
                    <w:left w:val="nil"/>
                    <w:bottom w:val="nil"/>
                    <w:right w:val="nil"/>
                  </w:tcBorders>
                  <w:shd w:val="clear" w:color="auto" w:fill="auto"/>
                  <w:noWrap/>
                  <w:hideMark/>
                </w:tcPr>
                <w:p w14:paraId="5E1477BC" w14:textId="7DC8F08E" w:rsidR="00334A79" w:rsidRPr="00CE67C3" w:rsidRDefault="00334A79" w:rsidP="001C0DA1">
                  <w:pPr>
                    <w:rPr>
                      <w:rFonts w:ascii="Arial" w:eastAsia="Times New Roman" w:hAnsi="Arial" w:cs="Arial"/>
                      <w:sz w:val="22"/>
                      <w:szCs w:val="22"/>
                      <w:lang w:eastAsia="en-GB"/>
                    </w:rPr>
                  </w:pPr>
                  <w:r w:rsidRPr="00CE67C3">
                    <w:rPr>
                      <w:sz w:val="22"/>
                      <w:szCs w:val="22"/>
                    </w:rPr>
                    <w:t>Glucose and ketone blood testing reagents</w:t>
                  </w:r>
                </w:p>
              </w:tc>
            </w:tr>
          </w:tbl>
          <w:p w14:paraId="3145C611" w14:textId="2A9F1B6A" w:rsidR="00C23E6D" w:rsidRPr="00CE67C3" w:rsidRDefault="00C23E6D" w:rsidP="006C2B66">
            <w:pPr>
              <w:spacing w:after="0" w:line="240" w:lineRule="auto"/>
              <w:rPr>
                <w:rFonts w:ascii="Arial" w:eastAsia="Times New Roman" w:hAnsi="Arial" w:cs="Arial"/>
                <w:bCs w:val="0"/>
                <w:color w:val="FF0000"/>
                <w:sz w:val="22"/>
                <w:szCs w:val="22"/>
                <w:lang w:eastAsia="en-GB"/>
              </w:rPr>
            </w:pPr>
          </w:p>
        </w:tc>
      </w:tr>
      <w:tr w:rsidR="00F80497" w:rsidRPr="00C23E6D" w14:paraId="051E742D" w14:textId="77777777" w:rsidTr="00D2031B">
        <w:trPr>
          <w:trHeight w:val="552"/>
        </w:trPr>
        <w:tc>
          <w:tcPr>
            <w:tcW w:w="8920" w:type="dxa"/>
            <w:gridSpan w:val="2"/>
            <w:tcBorders>
              <w:top w:val="single" w:sz="4" w:space="0" w:color="auto"/>
              <w:bottom w:val="single" w:sz="4" w:space="0" w:color="auto"/>
            </w:tcBorders>
            <w:shd w:val="clear" w:color="auto" w:fill="auto"/>
          </w:tcPr>
          <w:p w14:paraId="0A51F486" w14:textId="53A5FD56" w:rsidR="00F80497" w:rsidRPr="00CE67C3" w:rsidRDefault="00F80497" w:rsidP="00F80497">
            <w:pPr>
              <w:spacing w:after="0" w:line="240" w:lineRule="auto"/>
              <w:rPr>
                <w:rFonts w:ascii="Arial" w:eastAsia="Times New Roman" w:hAnsi="Arial" w:cs="Arial"/>
                <w:b/>
                <w:color w:val="000000"/>
                <w:sz w:val="22"/>
                <w:szCs w:val="22"/>
                <w:lang w:eastAsia="en-GB"/>
              </w:rPr>
            </w:pPr>
            <w:r>
              <w:rPr>
                <w:rFonts w:ascii="Arial" w:eastAsia="Times New Roman" w:hAnsi="Arial" w:cs="Arial"/>
                <w:bCs w:val="0"/>
                <w:sz w:val="22"/>
                <w:szCs w:val="22"/>
                <w:lang w:eastAsia="en-GB"/>
              </w:rPr>
              <w:t>Continued overleaf</w:t>
            </w:r>
          </w:p>
        </w:tc>
      </w:tr>
      <w:tr w:rsidR="00F80497" w:rsidRPr="00C23E6D" w14:paraId="5E6B81FD" w14:textId="77777777" w:rsidTr="00D2031B">
        <w:trPr>
          <w:cantSplit/>
          <w:trHeight w:val="552"/>
        </w:trPr>
        <w:tc>
          <w:tcPr>
            <w:tcW w:w="2120" w:type="dxa"/>
            <w:tcBorders>
              <w:top w:val="single" w:sz="4" w:space="0" w:color="auto"/>
              <w:left w:val="single" w:sz="4" w:space="0" w:color="auto"/>
              <w:bottom w:val="single" w:sz="4" w:space="0" w:color="auto"/>
              <w:right w:val="single" w:sz="4" w:space="0" w:color="auto"/>
            </w:tcBorders>
            <w:shd w:val="clear" w:color="auto" w:fill="auto"/>
          </w:tcPr>
          <w:p w14:paraId="675065E7"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p>
        </w:tc>
        <w:tc>
          <w:tcPr>
            <w:tcW w:w="6800" w:type="dxa"/>
            <w:tcBorders>
              <w:top w:val="single" w:sz="4" w:space="0" w:color="auto"/>
              <w:left w:val="single" w:sz="4" w:space="0" w:color="auto"/>
              <w:bottom w:val="single" w:sz="4" w:space="0" w:color="auto"/>
              <w:right w:val="single" w:sz="4" w:space="0" w:color="auto"/>
            </w:tcBorders>
            <w:shd w:val="clear" w:color="auto" w:fill="auto"/>
          </w:tcPr>
          <w:p w14:paraId="00F5A11B" w14:textId="77777777" w:rsidR="00F80497" w:rsidRPr="00CE67C3" w:rsidRDefault="00F80497" w:rsidP="00F80497">
            <w:pPr>
              <w:spacing w:after="0" w:line="240" w:lineRule="auto"/>
              <w:rPr>
                <w:rFonts w:ascii="Arial" w:eastAsia="Times New Roman" w:hAnsi="Arial" w:cs="Arial"/>
                <w:bCs w:val="0"/>
                <w:color w:val="FF0000"/>
                <w:sz w:val="22"/>
                <w:szCs w:val="22"/>
                <w:lang w:eastAsia="en-GB"/>
              </w:rPr>
            </w:pPr>
            <w:r w:rsidRPr="00CE67C3">
              <w:rPr>
                <w:rFonts w:ascii="Arial" w:eastAsia="Times New Roman" w:hAnsi="Arial" w:cs="Arial"/>
                <w:b/>
                <w:color w:val="000000"/>
                <w:sz w:val="22"/>
                <w:szCs w:val="22"/>
                <w:lang w:eastAsia="en-GB"/>
              </w:rPr>
              <w:t>Recommended blood glucose and ketone testing strips (Numerator):</w:t>
            </w:r>
          </w:p>
          <w:tbl>
            <w:tblPr>
              <w:tblW w:w="6280" w:type="dxa"/>
              <w:tblLook w:val="04A0" w:firstRow="1" w:lastRow="0" w:firstColumn="1" w:lastColumn="0" w:noHBand="0" w:noVBand="1"/>
            </w:tblPr>
            <w:tblGrid>
              <w:gridCol w:w="2420"/>
              <w:gridCol w:w="3860"/>
            </w:tblGrid>
            <w:tr w:rsidR="00F80497" w:rsidRPr="00CE67C3" w14:paraId="52FD52AE" w14:textId="77777777" w:rsidTr="00CA4CB1">
              <w:trPr>
                <w:trHeight w:val="276"/>
              </w:trPr>
              <w:tc>
                <w:tcPr>
                  <w:tcW w:w="2420" w:type="dxa"/>
                  <w:tcBorders>
                    <w:top w:val="nil"/>
                    <w:left w:val="nil"/>
                    <w:bottom w:val="nil"/>
                    <w:right w:val="nil"/>
                  </w:tcBorders>
                  <w:shd w:val="clear" w:color="auto" w:fill="005EB8" w:themeFill="text2"/>
                  <w:noWrap/>
                  <w:hideMark/>
                </w:tcPr>
                <w:p w14:paraId="6A32340A" w14:textId="77777777" w:rsidR="00F80497" w:rsidRPr="00CE67C3" w:rsidRDefault="00F80497" w:rsidP="00F80497">
                  <w:pPr>
                    <w:spacing w:after="0" w:line="240" w:lineRule="auto"/>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Presentation Code</w:t>
                  </w:r>
                </w:p>
              </w:tc>
              <w:tc>
                <w:tcPr>
                  <w:tcW w:w="3860" w:type="dxa"/>
                  <w:tcBorders>
                    <w:top w:val="nil"/>
                    <w:left w:val="nil"/>
                    <w:bottom w:val="nil"/>
                    <w:right w:val="nil"/>
                  </w:tcBorders>
                  <w:shd w:val="clear" w:color="auto" w:fill="005EB8" w:themeFill="text2"/>
                  <w:noWrap/>
                  <w:hideMark/>
                </w:tcPr>
                <w:p w14:paraId="23035C6C" w14:textId="77777777" w:rsidR="00F80497" w:rsidRPr="00CE67C3" w:rsidRDefault="00F80497" w:rsidP="00F80497">
                  <w:pPr>
                    <w:spacing w:after="0" w:line="240" w:lineRule="auto"/>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Presentation</w:t>
                  </w:r>
                </w:p>
              </w:tc>
            </w:tr>
            <w:tr w:rsidR="00F80497" w:rsidRPr="00CE67C3" w14:paraId="716C8FE6" w14:textId="77777777" w:rsidTr="00CA4CB1">
              <w:trPr>
                <w:trHeight w:val="276"/>
              </w:trPr>
              <w:tc>
                <w:tcPr>
                  <w:tcW w:w="2420" w:type="dxa"/>
                  <w:tcBorders>
                    <w:top w:val="nil"/>
                    <w:left w:val="nil"/>
                    <w:bottom w:val="nil"/>
                    <w:right w:val="nil"/>
                  </w:tcBorders>
                  <w:shd w:val="clear" w:color="auto" w:fill="auto"/>
                  <w:noWrap/>
                  <w:hideMark/>
                </w:tcPr>
                <w:p w14:paraId="5B59C6EF"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0601060D0CIAAA0</w:t>
                  </w:r>
                </w:p>
              </w:tc>
              <w:tc>
                <w:tcPr>
                  <w:tcW w:w="3860" w:type="dxa"/>
                  <w:tcBorders>
                    <w:top w:val="nil"/>
                    <w:left w:val="nil"/>
                    <w:bottom w:val="nil"/>
                    <w:right w:val="nil"/>
                  </w:tcBorders>
                  <w:shd w:val="clear" w:color="auto" w:fill="auto"/>
                  <w:noWrap/>
                  <w:hideMark/>
                </w:tcPr>
                <w:p w14:paraId="1E31A3FB"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WaveSense JAZZ testing strips</w:t>
                  </w:r>
                </w:p>
              </w:tc>
            </w:tr>
            <w:tr w:rsidR="00F80497" w:rsidRPr="00CE67C3" w14:paraId="7E5D6047" w14:textId="77777777" w:rsidTr="00CA4CB1">
              <w:trPr>
                <w:trHeight w:val="276"/>
              </w:trPr>
              <w:tc>
                <w:tcPr>
                  <w:tcW w:w="2420" w:type="dxa"/>
                  <w:tcBorders>
                    <w:top w:val="nil"/>
                    <w:left w:val="nil"/>
                    <w:bottom w:val="nil"/>
                    <w:right w:val="nil"/>
                  </w:tcBorders>
                  <w:shd w:val="clear" w:color="auto" w:fill="F2F2F2" w:themeFill="background1" w:themeFillShade="F2"/>
                  <w:noWrap/>
                  <w:hideMark/>
                </w:tcPr>
                <w:p w14:paraId="6CD961D7"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0601060D0CIABA0</w:t>
                  </w:r>
                </w:p>
              </w:tc>
              <w:tc>
                <w:tcPr>
                  <w:tcW w:w="3860" w:type="dxa"/>
                  <w:tcBorders>
                    <w:top w:val="nil"/>
                    <w:left w:val="nil"/>
                    <w:bottom w:val="nil"/>
                    <w:right w:val="nil"/>
                  </w:tcBorders>
                  <w:shd w:val="clear" w:color="auto" w:fill="F2F2F2" w:themeFill="background1" w:themeFillShade="F2"/>
                  <w:noWrap/>
                  <w:hideMark/>
                </w:tcPr>
                <w:p w14:paraId="6A8B5589"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WaveSense JAZZ Duo testing strips</w:t>
                  </w:r>
                </w:p>
              </w:tc>
            </w:tr>
            <w:tr w:rsidR="00F80497" w:rsidRPr="00CE67C3" w14:paraId="7AAF38AE" w14:textId="77777777" w:rsidTr="00CA4CB1">
              <w:trPr>
                <w:trHeight w:val="276"/>
              </w:trPr>
              <w:tc>
                <w:tcPr>
                  <w:tcW w:w="2420" w:type="dxa"/>
                  <w:tcBorders>
                    <w:top w:val="nil"/>
                    <w:left w:val="nil"/>
                    <w:bottom w:val="nil"/>
                    <w:right w:val="nil"/>
                  </w:tcBorders>
                  <w:shd w:val="clear" w:color="auto" w:fill="auto"/>
                  <w:noWrap/>
                  <w:hideMark/>
                </w:tcPr>
                <w:p w14:paraId="5F437921"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0601060D0CUAAA0</w:t>
                  </w:r>
                </w:p>
              </w:tc>
              <w:tc>
                <w:tcPr>
                  <w:tcW w:w="3860" w:type="dxa"/>
                  <w:tcBorders>
                    <w:top w:val="nil"/>
                    <w:left w:val="nil"/>
                    <w:bottom w:val="nil"/>
                    <w:right w:val="nil"/>
                  </w:tcBorders>
                  <w:shd w:val="clear" w:color="auto" w:fill="auto"/>
                  <w:noWrap/>
                  <w:hideMark/>
                </w:tcPr>
                <w:p w14:paraId="3A8AD236"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GlucoRx Q testing strips</w:t>
                  </w:r>
                </w:p>
              </w:tc>
            </w:tr>
            <w:tr w:rsidR="00F80497" w:rsidRPr="00CE67C3" w14:paraId="25771541" w14:textId="77777777" w:rsidTr="00CA4CB1">
              <w:trPr>
                <w:trHeight w:val="276"/>
              </w:trPr>
              <w:tc>
                <w:tcPr>
                  <w:tcW w:w="2420" w:type="dxa"/>
                  <w:tcBorders>
                    <w:top w:val="nil"/>
                    <w:left w:val="nil"/>
                    <w:bottom w:val="nil"/>
                    <w:right w:val="nil"/>
                  </w:tcBorders>
                  <w:shd w:val="clear" w:color="auto" w:fill="F2F2F2" w:themeFill="background1" w:themeFillShade="F2"/>
                  <w:noWrap/>
                  <w:hideMark/>
                </w:tcPr>
                <w:p w14:paraId="2F1E6DF6"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0601060D0CUABA0</w:t>
                  </w:r>
                </w:p>
              </w:tc>
              <w:tc>
                <w:tcPr>
                  <w:tcW w:w="3860" w:type="dxa"/>
                  <w:tcBorders>
                    <w:top w:val="nil"/>
                    <w:left w:val="nil"/>
                    <w:bottom w:val="nil"/>
                    <w:right w:val="nil"/>
                  </w:tcBorders>
                  <w:shd w:val="clear" w:color="auto" w:fill="F2F2F2" w:themeFill="background1" w:themeFillShade="F2"/>
                  <w:noWrap/>
                  <w:hideMark/>
                </w:tcPr>
                <w:p w14:paraId="3D6D4EDC"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GlucoRx Nexus testing strips</w:t>
                  </w:r>
                </w:p>
              </w:tc>
            </w:tr>
            <w:tr w:rsidR="00F80497" w:rsidRPr="00CE67C3" w14:paraId="63A8F853" w14:textId="77777777" w:rsidTr="00CA4CB1">
              <w:trPr>
                <w:trHeight w:val="276"/>
              </w:trPr>
              <w:tc>
                <w:tcPr>
                  <w:tcW w:w="2420" w:type="dxa"/>
                  <w:tcBorders>
                    <w:top w:val="nil"/>
                    <w:left w:val="nil"/>
                    <w:bottom w:val="nil"/>
                    <w:right w:val="nil"/>
                  </w:tcBorders>
                  <w:shd w:val="clear" w:color="auto" w:fill="auto"/>
                  <w:noWrap/>
                  <w:hideMark/>
                </w:tcPr>
                <w:p w14:paraId="64773574"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0601060D0CUACA0</w:t>
                  </w:r>
                </w:p>
              </w:tc>
              <w:tc>
                <w:tcPr>
                  <w:tcW w:w="3860" w:type="dxa"/>
                  <w:tcBorders>
                    <w:top w:val="nil"/>
                    <w:left w:val="nil"/>
                    <w:bottom w:val="nil"/>
                    <w:right w:val="nil"/>
                  </w:tcBorders>
                  <w:shd w:val="clear" w:color="auto" w:fill="auto"/>
                  <w:noWrap/>
                  <w:hideMark/>
                </w:tcPr>
                <w:p w14:paraId="4C4A90FC"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GlucoRx HCT Glucose testing strips</w:t>
                  </w:r>
                </w:p>
              </w:tc>
            </w:tr>
            <w:tr w:rsidR="00F80497" w:rsidRPr="00CE67C3" w14:paraId="700DF423" w14:textId="77777777" w:rsidTr="00CA4CB1">
              <w:trPr>
                <w:trHeight w:val="276"/>
              </w:trPr>
              <w:tc>
                <w:tcPr>
                  <w:tcW w:w="2420" w:type="dxa"/>
                  <w:tcBorders>
                    <w:top w:val="nil"/>
                    <w:left w:val="nil"/>
                    <w:bottom w:val="nil"/>
                    <w:right w:val="nil"/>
                  </w:tcBorders>
                  <w:shd w:val="clear" w:color="auto" w:fill="F2F2F2" w:themeFill="background1" w:themeFillShade="F2"/>
                  <w:noWrap/>
                  <w:hideMark/>
                </w:tcPr>
                <w:p w14:paraId="644B6DC1"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0601060D0EDAAA0</w:t>
                  </w:r>
                </w:p>
              </w:tc>
              <w:tc>
                <w:tcPr>
                  <w:tcW w:w="3860" w:type="dxa"/>
                  <w:tcBorders>
                    <w:top w:val="nil"/>
                    <w:left w:val="nil"/>
                    <w:bottom w:val="nil"/>
                    <w:right w:val="nil"/>
                  </w:tcBorders>
                  <w:shd w:val="clear" w:color="auto" w:fill="F2F2F2" w:themeFill="background1" w:themeFillShade="F2"/>
                  <w:noWrap/>
                  <w:hideMark/>
                </w:tcPr>
                <w:p w14:paraId="3CBE6AA4"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Finetest Lite testing strips</w:t>
                  </w:r>
                </w:p>
              </w:tc>
            </w:tr>
            <w:tr w:rsidR="00F80497" w:rsidRPr="00CE67C3" w14:paraId="127A1D57" w14:textId="77777777" w:rsidTr="00CA4CB1">
              <w:trPr>
                <w:trHeight w:val="276"/>
              </w:trPr>
              <w:tc>
                <w:tcPr>
                  <w:tcW w:w="2420" w:type="dxa"/>
                  <w:tcBorders>
                    <w:top w:val="nil"/>
                    <w:left w:val="nil"/>
                    <w:bottom w:val="nil"/>
                    <w:right w:val="nil"/>
                  </w:tcBorders>
                  <w:shd w:val="clear" w:color="auto" w:fill="auto"/>
                  <w:noWrap/>
                  <w:hideMark/>
                </w:tcPr>
                <w:p w14:paraId="625BC565"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0601060D0EHAAA0</w:t>
                  </w:r>
                </w:p>
              </w:tc>
              <w:tc>
                <w:tcPr>
                  <w:tcW w:w="3860" w:type="dxa"/>
                  <w:tcBorders>
                    <w:top w:val="nil"/>
                    <w:left w:val="nil"/>
                    <w:bottom w:val="nil"/>
                    <w:right w:val="nil"/>
                  </w:tcBorders>
                  <w:shd w:val="clear" w:color="auto" w:fill="auto"/>
                  <w:noWrap/>
                  <w:hideMark/>
                </w:tcPr>
                <w:p w14:paraId="75B09612"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CareSens PRO testing strips</w:t>
                  </w:r>
                </w:p>
              </w:tc>
            </w:tr>
            <w:tr w:rsidR="00F80497" w:rsidRPr="00CE67C3" w14:paraId="67097AF1" w14:textId="77777777" w:rsidTr="00CA4CB1">
              <w:trPr>
                <w:trHeight w:val="276"/>
              </w:trPr>
              <w:tc>
                <w:tcPr>
                  <w:tcW w:w="2420" w:type="dxa"/>
                  <w:tcBorders>
                    <w:top w:val="nil"/>
                    <w:left w:val="nil"/>
                    <w:bottom w:val="nil"/>
                    <w:right w:val="nil"/>
                  </w:tcBorders>
                  <w:shd w:val="clear" w:color="auto" w:fill="F2F2F2" w:themeFill="background1" w:themeFillShade="F2"/>
                  <w:noWrap/>
                  <w:hideMark/>
                </w:tcPr>
                <w:p w14:paraId="71C43C30"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0601060D0EJAAA0</w:t>
                  </w:r>
                </w:p>
              </w:tc>
              <w:tc>
                <w:tcPr>
                  <w:tcW w:w="3860" w:type="dxa"/>
                  <w:tcBorders>
                    <w:top w:val="nil"/>
                    <w:left w:val="nil"/>
                    <w:bottom w:val="nil"/>
                    <w:right w:val="nil"/>
                  </w:tcBorders>
                  <w:shd w:val="clear" w:color="auto" w:fill="F2F2F2" w:themeFill="background1" w:themeFillShade="F2"/>
                  <w:noWrap/>
                  <w:hideMark/>
                </w:tcPr>
                <w:p w14:paraId="1045F660"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True Metrix testing strips</w:t>
                  </w:r>
                </w:p>
              </w:tc>
            </w:tr>
            <w:tr w:rsidR="00F80497" w:rsidRPr="00CE67C3" w14:paraId="7CAC6346" w14:textId="77777777" w:rsidTr="00CA4CB1">
              <w:trPr>
                <w:trHeight w:val="276"/>
              </w:trPr>
              <w:tc>
                <w:tcPr>
                  <w:tcW w:w="2420" w:type="dxa"/>
                  <w:tcBorders>
                    <w:top w:val="nil"/>
                    <w:left w:val="nil"/>
                    <w:bottom w:val="nil"/>
                    <w:right w:val="nil"/>
                  </w:tcBorders>
                  <w:shd w:val="clear" w:color="auto" w:fill="auto"/>
                  <w:noWrap/>
                  <w:hideMark/>
                </w:tcPr>
                <w:p w14:paraId="71BE66FC"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0601060D0EKAAA0</w:t>
                  </w:r>
                </w:p>
              </w:tc>
              <w:tc>
                <w:tcPr>
                  <w:tcW w:w="3860" w:type="dxa"/>
                  <w:tcBorders>
                    <w:top w:val="nil"/>
                    <w:left w:val="nil"/>
                    <w:bottom w:val="nil"/>
                    <w:right w:val="nil"/>
                  </w:tcBorders>
                  <w:shd w:val="clear" w:color="auto" w:fill="auto"/>
                  <w:noWrap/>
                  <w:hideMark/>
                </w:tcPr>
                <w:p w14:paraId="3081BFEB"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4SURE testing strips</w:t>
                  </w:r>
                </w:p>
              </w:tc>
            </w:tr>
            <w:tr w:rsidR="00F80497" w:rsidRPr="00CE67C3" w14:paraId="6778E2E7" w14:textId="77777777" w:rsidTr="00CA4CB1">
              <w:trPr>
                <w:trHeight w:val="276"/>
              </w:trPr>
              <w:tc>
                <w:tcPr>
                  <w:tcW w:w="2420" w:type="dxa"/>
                  <w:tcBorders>
                    <w:top w:val="nil"/>
                    <w:left w:val="nil"/>
                    <w:bottom w:val="nil"/>
                    <w:right w:val="nil"/>
                  </w:tcBorders>
                  <w:shd w:val="clear" w:color="auto" w:fill="F2F2F2" w:themeFill="background1" w:themeFillShade="F2"/>
                  <w:noWrap/>
                  <w:hideMark/>
                </w:tcPr>
                <w:p w14:paraId="7C696A83"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0601060D0ENAAA0</w:t>
                  </w:r>
                </w:p>
              </w:tc>
              <w:tc>
                <w:tcPr>
                  <w:tcW w:w="3860" w:type="dxa"/>
                  <w:tcBorders>
                    <w:top w:val="nil"/>
                    <w:left w:val="nil"/>
                    <w:bottom w:val="nil"/>
                    <w:right w:val="nil"/>
                  </w:tcBorders>
                  <w:shd w:val="clear" w:color="auto" w:fill="F2F2F2" w:themeFill="background1" w:themeFillShade="F2"/>
                  <w:noWrap/>
                  <w:hideMark/>
                </w:tcPr>
                <w:p w14:paraId="73282DFB"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Contour Plus testing strips</w:t>
                  </w:r>
                </w:p>
              </w:tc>
            </w:tr>
            <w:tr w:rsidR="00F80497" w:rsidRPr="00CE67C3" w14:paraId="286558B5" w14:textId="77777777" w:rsidTr="00CA4CB1">
              <w:trPr>
                <w:trHeight w:val="276"/>
              </w:trPr>
              <w:tc>
                <w:tcPr>
                  <w:tcW w:w="2420" w:type="dxa"/>
                  <w:tcBorders>
                    <w:top w:val="nil"/>
                    <w:left w:val="nil"/>
                    <w:bottom w:val="nil"/>
                    <w:right w:val="nil"/>
                  </w:tcBorders>
                  <w:shd w:val="clear" w:color="auto" w:fill="auto"/>
                  <w:noWrap/>
                  <w:hideMark/>
                </w:tcPr>
                <w:p w14:paraId="23A5A757"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0601060D0EUAAA0</w:t>
                  </w:r>
                </w:p>
              </w:tc>
              <w:tc>
                <w:tcPr>
                  <w:tcW w:w="3860" w:type="dxa"/>
                  <w:tcBorders>
                    <w:top w:val="nil"/>
                    <w:left w:val="nil"/>
                    <w:bottom w:val="nil"/>
                    <w:right w:val="nil"/>
                  </w:tcBorders>
                  <w:shd w:val="clear" w:color="auto" w:fill="auto"/>
                  <w:noWrap/>
                  <w:hideMark/>
                </w:tcPr>
                <w:p w14:paraId="25116BE8"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On Call Extra testing strips</w:t>
                  </w:r>
                </w:p>
              </w:tc>
            </w:tr>
            <w:tr w:rsidR="00F80497" w:rsidRPr="00CE67C3" w14:paraId="3B95A2A9" w14:textId="77777777" w:rsidTr="00CA4CB1">
              <w:trPr>
                <w:trHeight w:val="276"/>
              </w:trPr>
              <w:tc>
                <w:tcPr>
                  <w:tcW w:w="2420" w:type="dxa"/>
                  <w:tcBorders>
                    <w:top w:val="nil"/>
                    <w:left w:val="nil"/>
                    <w:bottom w:val="nil"/>
                    <w:right w:val="nil"/>
                  </w:tcBorders>
                  <w:shd w:val="clear" w:color="auto" w:fill="F2F2F2" w:themeFill="background1" w:themeFillShade="F2"/>
                  <w:noWrap/>
                  <w:hideMark/>
                </w:tcPr>
                <w:p w14:paraId="5308DEC9"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0601060D0EVAAA0</w:t>
                  </w:r>
                </w:p>
              </w:tc>
              <w:tc>
                <w:tcPr>
                  <w:tcW w:w="3860" w:type="dxa"/>
                  <w:tcBorders>
                    <w:top w:val="nil"/>
                    <w:left w:val="nil"/>
                    <w:bottom w:val="nil"/>
                    <w:right w:val="nil"/>
                  </w:tcBorders>
                  <w:shd w:val="clear" w:color="auto" w:fill="F2F2F2" w:themeFill="background1" w:themeFillShade="F2"/>
                  <w:noWrap/>
                  <w:hideMark/>
                </w:tcPr>
                <w:p w14:paraId="1657A65B"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GLUCOFIX TECH Sensor testing strips</w:t>
                  </w:r>
                </w:p>
              </w:tc>
            </w:tr>
            <w:tr w:rsidR="00F80497" w:rsidRPr="00CE67C3" w14:paraId="1F1BA536" w14:textId="77777777" w:rsidTr="00CA4CB1">
              <w:trPr>
                <w:trHeight w:val="276"/>
              </w:trPr>
              <w:tc>
                <w:tcPr>
                  <w:tcW w:w="2420" w:type="dxa"/>
                  <w:tcBorders>
                    <w:top w:val="nil"/>
                    <w:left w:val="nil"/>
                    <w:bottom w:val="nil"/>
                    <w:right w:val="nil"/>
                  </w:tcBorders>
                  <w:shd w:val="clear" w:color="auto" w:fill="auto"/>
                  <w:noWrap/>
                  <w:hideMark/>
                </w:tcPr>
                <w:p w14:paraId="768E10AC"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0601060W0BEAAA0</w:t>
                  </w:r>
                </w:p>
              </w:tc>
              <w:tc>
                <w:tcPr>
                  <w:tcW w:w="3860" w:type="dxa"/>
                  <w:tcBorders>
                    <w:top w:val="nil"/>
                    <w:left w:val="nil"/>
                    <w:bottom w:val="nil"/>
                    <w:right w:val="nil"/>
                  </w:tcBorders>
                  <w:shd w:val="clear" w:color="auto" w:fill="auto"/>
                  <w:noWrap/>
                  <w:hideMark/>
                </w:tcPr>
                <w:p w14:paraId="43228A2C"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GlucoRx HCT Ketone testing strips</w:t>
                  </w:r>
                </w:p>
              </w:tc>
            </w:tr>
            <w:tr w:rsidR="00F80497" w:rsidRPr="00CE67C3" w14:paraId="3545A5C4" w14:textId="77777777" w:rsidTr="00CA4CB1">
              <w:trPr>
                <w:trHeight w:val="276"/>
              </w:trPr>
              <w:tc>
                <w:tcPr>
                  <w:tcW w:w="2420" w:type="dxa"/>
                  <w:tcBorders>
                    <w:top w:val="nil"/>
                    <w:left w:val="nil"/>
                    <w:bottom w:val="nil"/>
                    <w:right w:val="nil"/>
                  </w:tcBorders>
                  <w:shd w:val="clear" w:color="auto" w:fill="F2F2F2" w:themeFill="background1" w:themeFillShade="F2"/>
                  <w:noWrap/>
                  <w:hideMark/>
                </w:tcPr>
                <w:p w14:paraId="029DB953"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0601060W0BFAAA0</w:t>
                  </w:r>
                </w:p>
              </w:tc>
              <w:tc>
                <w:tcPr>
                  <w:tcW w:w="3860" w:type="dxa"/>
                  <w:tcBorders>
                    <w:top w:val="nil"/>
                    <w:left w:val="nil"/>
                    <w:bottom w:val="nil"/>
                    <w:right w:val="nil"/>
                  </w:tcBorders>
                  <w:shd w:val="clear" w:color="auto" w:fill="F2F2F2" w:themeFill="background1" w:themeFillShade="F2"/>
                  <w:noWrap/>
                  <w:hideMark/>
                </w:tcPr>
                <w:p w14:paraId="77DB5B2C"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KetoSens testing strips</w:t>
                  </w:r>
                </w:p>
              </w:tc>
            </w:tr>
            <w:tr w:rsidR="00F80497" w:rsidRPr="00CE67C3" w14:paraId="45C47202" w14:textId="77777777" w:rsidTr="00CA4CB1">
              <w:trPr>
                <w:trHeight w:val="276"/>
              </w:trPr>
              <w:tc>
                <w:tcPr>
                  <w:tcW w:w="2420" w:type="dxa"/>
                  <w:tcBorders>
                    <w:top w:val="nil"/>
                    <w:left w:val="nil"/>
                    <w:bottom w:val="nil"/>
                    <w:right w:val="nil"/>
                  </w:tcBorders>
                  <w:shd w:val="clear" w:color="auto" w:fill="auto"/>
                  <w:noWrap/>
                  <w:hideMark/>
                </w:tcPr>
                <w:p w14:paraId="4BF527A5"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0601060W0BGAAA0</w:t>
                  </w:r>
                </w:p>
              </w:tc>
              <w:tc>
                <w:tcPr>
                  <w:tcW w:w="3860" w:type="dxa"/>
                  <w:tcBorders>
                    <w:top w:val="nil"/>
                    <w:left w:val="nil"/>
                    <w:bottom w:val="nil"/>
                    <w:right w:val="nil"/>
                  </w:tcBorders>
                  <w:shd w:val="clear" w:color="auto" w:fill="auto"/>
                  <w:noWrap/>
                  <w:hideMark/>
                </w:tcPr>
                <w:p w14:paraId="16FEBDCF"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4SURE beta-ketone testing strips</w:t>
                  </w:r>
                </w:p>
              </w:tc>
            </w:tr>
            <w:tr w:rsidR="00F80497" w:rsidRPr="00CE67C3" w14:paraId="0BE59830" w14:textId="77777777" w:rsidTr="00CA4CB1">
              <w:trPr>
                <w:trHeight w:val="276"/>
              </w:trPr>
              <w:tc>
                <w:tcPr>
                  <w:tcW w:w="2420" w:type="dxa"/>
                  <w:tcBorders>
                    <w:top w:val="nil"/>
                    <w:left w:val="nil"/>
                    <w:bottom w:val="nil"/>
                    <w:right w:val="nil"/>
                  </w:tcBorders>
                  <w:shd w:val="clear" w:color="auto" w:fill="F2F2F2" w:themeFill="background1" w:themeFillShade="F2"/>
                  <w:noWrap/>
                  <w:hideMark/>
                </w:tcPr>
                <w:p w14:paraId="1C569F54"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0601060X0BBAAA0</w:t>
                  </w:r>
                </w:p>
              </w:tc>
              <w:tc>
                <w:tcPr>
                  <w:tcW w:w="3860" w:type="dxa"/>
                  <w:tcBorders>
                    <w:top w:val="nil"/>
                    <w:left w:val="nil"/>
                    <w:bottom w:val="nil"/>
                    <w:right w:val="nil"/>
                  </w:tcBorders>
                  <w:shd w:val="clear" w:color="auto" w:fill="F2F2F2" w:themeFill="background1" w:themeFillShade="F2"/>
                  <w:noWrap/>
                  <w:hideMark/>
                </w:tcPr>
                <w:p w14:paraId="422B22DF"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KEYA Smart testing strips</w:t>
                  </w:r>
                </w:p>
              </w:tc>
            </w:tr>
          </w:tbl>
          <w:p w14:paraId="77CC0F27" w14:textId="77777777" w:rsidR="00F80497" w:rsidRDefault="00F80497" w:rsidP="00F80497">
            <w:pPr>
              <w:spacing w:after="0" w:line="240" w:lineRule="auto"/>
              <w:rPr>
                <w:rFonts w:ascii="Arial" w:eastAsia="Times New Roman" w:hAnsi="Arial" w:cs="Arial"/>
                <w:b/>
                <w:color w:val="000000"/>
                <w:sz w:val="22"/>
                <w:szCs w:val="22"/>
                <w:lang w:eastAsia="en-GB"/>
              </w:rPr>
            </w:pPr>
          </w:p>
          <w:p w14:paraId="12624130" w14:textId="77777777" w:rsidR="00F80497" w:rsidRPr="00CE67C3" w:rsidRDefault="00F80497" w:rsidP="00F80497">
            <w:pPr>
              <w:spacing w:after="0" w:line="240" w:lineRule="auto"/>
              <w:rPr>
                <w:rFonts w:ascii="Arial" w:eastAsia="Times New Roman" w:hAnsi="Arial" w:cs="Arial"/>
                <w:b/>
                <w:color w:val="000000"/>
                <w:sz w:val="22"/>
                <w:szCs w:val="22"/>
                <w:lang w:eastAsia="en-GB"/>
              </w:rPr>
            </w:pPr>
          </w:p>
        </w:tc>
      </w:tr>
      <w:tr w:rsidR="00F80497" w:rsidRPr="00C23E6D" w14:paraId="4ED06901" w14:textId="77777777" w:rsidTr="00F94D3C">
        <w:trPr>
          <w:trHeight w:val="828"/>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2644292E"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Other inclusion or exclusion criteria:</w:t>
            </w:r>
          </w:p>
        </w:tc>
        <w:tc>
          <w:tcPr>
            <w:tcW w:w="6800" w:type="dxa"/>
            <w:tcBorders>
              <w:top w:val="single" w:sz="4" w:space="0" w:color="auto"/>
              <w:left w:val="nil"/>
              <w:bottom w:val="single" w:sz="4" w:space="0" w:color="auto"/>
              <w:right w:val="single" w:sz="4" w:space="0" w:color="auto"/>
            </w:tcBorders>
            <w:shd w:val="clear" w:color="auto" w:fill="auto"/>
            <w:hideMark/>
          </w:tcPr>
          <w:p w14:paraId="1FEC7EFD" w14:textId="5896D9C8" w:rsidR="00F80497" w:rsidRPr="00CE67C3" w:rsidRDefault="00F80497" w:rsidP="00F80497">
            <w:pPr>
              <w:spacing w:after="0" w:line="240" w:lineRule="auto"/>
              <w:rPr>
                <w:rFonts w:ascii="Arial" w:eastAsia="Times New Roman" w:hAnsi="Arial" w:cs="Arial"/>
                <w:color w:val="FF0000"/>
                <w:sz w:val="22"/>
                <w:szCs w:val="22"/>
                <w:lang w:eastAsia="en-GB"/>
              </w:rPr>
            </w:pPr>
            <w:r w:rsidRPr="4257620F">
              <w:rPr>
                <w:rFonts w:ascii="Arial" w:eastAsia="Times New Roman" w:hAnsi="Arial" w:cs="Arial"/>
                <w:sz w:val="22"/>
                <w:szCs w:val="22"/>
                <w:lang w:eastAsia="en-GB"/>
              </w:rPr>
              <w:t xml:space="preserve">Includes active English Primary Care Prescribing Cost Centres (linked to SICBLs) </w:t>
            </w:r>
          </w:p>
        </w:tc>
      </w:tr>
    </w:tbl>
    <w:p w14:paraId="054C8BC8" w14:textId="47049279" w:rsidR="4257620F" w:rsidRDefault="4257620F"/>
    <w:p w14:paraId="057D3F65" w14:textId="77777777" w:rsidR="009B7AA8" w:rsidRDefault="009B7AA8">
      <w:pPr>
        <w:rPr>
          <w:rFonts w:asciiTheme="majorHAnsi" w:eastAsiaTheme="majorEastAsia" w:hAnsiTheme="majorHAnsi" w:cstheme="majorBidi"/>
          <w:color w:val="005EB8" w:themeColor="text2"/>
          <w:sz w:val="24"/>
          <w:szCs w:val="26"/>
        </w:rPr>
      </w:pPr>
      <w:r>
        <w:br w:type="page"/>
      </w:r>
    </w:p>
    <w:p w14:paraId="5D84DEF2" w14:textId="7F7BB56A" w:rsidR="008C050A" w:rsidRDefault="008C050A" w:rsidP="008C050A">
      <w:pPr>
        <w:pStyle w:val="Heading2"/>
      </w:pPr>
      <w:bookmarkStart w:id="15" w:name="_Toc172291527"/>
      <w:r>
        <w:lastRenderedPageBreak/>
        <w:t>Metric 0</w:t>
      </w:r>
      <w:r w:rsidR="00806328">
        <w:t>9</w:t>
      </w:r>
      <w:r>
        <w:t>.</w:t>
      </w:r>
      <w:r w:rsidR="00F66645">
        <w:t xml:space="preserve"> Best value direct-acting oral anticoagulants</w:t>
      </w:r>
      <w:bookmarkEnd w:id="15"/>
    </w:p>
    <w:tbl>
      <w:tblPr>
        <w:tblW w:w="9016" w:type="dxa"/>
        <w:tblLayout w:type="fixed"/>
        <w:tblLook w:val="04A0" w:firstRow="1" w:lastRow="0" w:firstColumn="1" w:lastColumn="0" w:noHBand="0" w:noVBand="1"/>
      </w:tblPr>
      <w:tblGrid>
        <w:gridCol w:w="1980"/>
        <w:gridCol w:w="7036"/>
      </w:tblGrid>
      <w:tr w:rsidR="008C050A" w:rsidRPr="00C23E6D" w14:paraId="192353B1" w14:textId="77777777" w:rsidTr="4257620F">
        <w:trPr>
          <w:trHeight w:val="27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4D69C181"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title</w:t>
            </w:r>
          </w:p>
        </w:tc>
        <w:tc>
          <w:tcPr>
            <w:tcW w:w="7036" w:type="dxa"/>
            <w:tcBorders>
              <w:top w:val="single" w:sz="4" w:space="0" w:color="auto"/>
              <w:left w:val="nil"/>
              <w:bottom w:val="single" w:sz="4" w:space="0" w:color="auto"/>
              <w:right w:val="single" w:sz="4" w:space="0" w:color="auto"/>
            </w:tcBorders>
            <w:shd w:val="clear" w:color="auto" w:fill="auto"/>
            <w:hideMark/>
          </w:tcPr>
          <w:p w14:paraId="6D3158AA" w14:textId="67EB6CF4" w:rsidR="008C050A" w:rsidRPr="00CE67C3" w:rsidRDefault="00220F49"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Best value direct-acting oral anticoagulants</w:t>
            </w:r>
          </w:p>
        </w:tc>
      </w:tr>
      <w:tr w:rsidR="008C050A" w:rsidRPr="00C23E6D" w14:paraId="34807D87"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7B4E705C"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description</w:t>
            </w:r>
          </w:p>
        </w:tc>
        <w:tc>
          <w:tcPr>
            <w:tcW w:w="7036" w:type="dxa"/>
            <w:tcBorders>
              <w:top w:val="nil"/>
              <w:left w:val="nil"/>
              <w:bottom w:val="single" w:sz="4" w:space="0" w:color="auto"/>
              <w:right w:val="single" w:sz="4" w:space="0" w:color="auto"/>
            </w:tcBorders>
            <w:shd w:val="clear" w:color="auto" w:fill="auto"/>
            <w:hideMark/>
          </w:tcPr>
          <w:p w14:paraId="0B396912" w14:textId="554A39D1" w:rsidR="008C050A" w:rsidRPr="00CE67C3" w:rsidRDefault="006833D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 using best value direct-acting oral anticoagulants</w:t>
            </w:r>
          </w:p>
        </w:tc>
      </w:tr>
      <w:tr w:rsidR="008C050A" w:rsidRPr="00C23E6D" w14:paraId="3BEEAE2E" w14:textId="77777777" w:rsidTr="4257620F">
        <w:trPr>
          <w:trHeight w:val="276"/>
        </w:trPr>
        <w:tc>
          <w:tcPr>
            <w:tcW w:w="1980" w:type="dxa"/>
            <w:tcBorders>
              <w:top w:val="nil"/>
              <w:left w:val="single" w:sz="4" w:space="0" w:color="auto"/>
              <w:bottom w:val="single" w:sz="4" w:space="0" w:color="auto"/>
              <w:right w:val="single" w:sz="4" w:space="0" w:color="auto"/>
            </w:tcBorders>
            <w:shd w:val="clear" w:color="auto" w:fill="auto"/>
            <w:hideMark/>
          </w:tcPr>
          <w:p w14:paraId="405C8167"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type</w:t>
            </w:r>
          </w:p>
        </w:tc>
        <w:tc>
          <w:tcPr>
            <w:tcW w:w="7036" w:type="dxa"/>
            <w:tcBorders>
              <w:top w:val="nil"/>
              <w:left w:val="nil"/>
              <w:bottom w:val="single" w:sz="4" w:space="0" w:color="auto"/>
              <w:right w:val="single" w:sz="4" w:space="0" w:color="auto"/>
            </w:tcBorders>
            <w:shd w:val="clear" w:color="auto" w:fill="auto"/>
            <w:hideMark/>
          </w:tcPr>
          <w:p w14:paraId="37DD32B2" w14:textId="600F0FC3" w:rsidR="008C050A" w:rsidRPr="00CE67C3" w:rsidRDefault="008C050A"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51F573CB" w:rsidRPr="4257620F">
              <w:rPr>
                <w:rFonts w:ascii="Arial" w:eastAsia="Times New Roman" w:hAnsi="Arial" w:cs="Arial"/>
                <w:color w:val="000000" w:themeColor="text1"/>
                <w:sz w:val="22"/>
                <w:szCs w:val="22"/>
                <w:lang w:eastAsia="en-GB"/>
              </w:rPr>
              <w:t xml:space="preserve"> care</w:t>
            </w:r>
          </w:p>
        </w:tc>
      </w:tr>
      <w:tr w:rsidR="008C050A" w:rsidRPr="00C23E6D" w14:paraId="1BD0BFD6"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4E9CFA8B"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description</w:t>
            </w:r>
          </w:p>
        </w:tc>
        <w:tc>
          <w:tcPr>
            <w:tcW w:w="7036" w:type="dxa"/>
            <w:tcBorders>
              <w:top w:val="nil"/>
              <w:left w:val="nil"/>
              <w:bottom w:val="single" w:sz="4" w:space="0" w:color="auto"/>
              <w:right w:val="single" w:sz="4" w:space="0" w:color="auto"/>
            </w:tcBorders>
            <w:shd w:val="clear" w:color="auto" w:fill="auto"/>
            <w:hideMark/>
          </w:tcPr>
          <w:p w14:paraId="77448C8C" w14:textId="3EA2CF1E" w:rsidR="008C050A" w:rsidRPr="00CE67C3" w:rsidRDefault="00220F49"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Percentage of direct-acting oral anticoagulant prescription items that were generic apixaban</w:t>
            </w:r>
            <w:r w:rsidR="003F55EB">
              <w:rPr>
                <w:rFonts w:ascii="Arial" w:eastAsia="Times New Roman" w:hAnsi="Arial" w:cs="Arial"/>
                <w:bCs w:val="0"/>
                <w:color w:val="000000"/>
                <w:sz w:val="22"/>
                <w:szCs w:val="22"/>
                <w:lang w:eastAsia="en-GB"/>
              </w:rPr>
              <w:t xml:space="preserve"> or rivaroxaban</w:t>
            </w:r>
          </w:p>
        </w:tc>
      </w:tr>
      <w:tr w:rsidR="008C050A" w:rsidRPr="00C23E6D" w14:paraId="7B5339F1"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325C3AA7"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Is Higher or lower "better"?</w:t>
            </w:r>
          </w:p>
        </w:tc>
        <w:tc>
          <w:tcPr>
            <w:tcW w:w="7036" w:type="dxa"/>
            <w:tcBorders>
              <w:top w:val="nil"/>
              <w:left w:val="nil"/>
              <w:bottom w:val="single" w:sz="4" w:space="0" w:color="auto"/>
              <w:right w:val="single" w:sz="4" w:space="0" w:color="auto"/>
            </w:tcBorders>
            <w:shd w:val="clear" w:color="auto" w:fill="auto"/>
            <w:hideMark/>
          </w:tcPr>
          <w:p w14:paraId="1742DE34"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Higher</w:t>
            </w:r>
          </w:p>
        </w:tc>
      </w:tr>
      <w:tr w:rsidR="008C050A" w:rsidRPr="00C23E6D" w14:paraId="4A905B93"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42E2D693"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w:t>
            </w:r>
          </w:p>
        </w:tc>
        <w:tc>
          <w:tcPr>
            <w:tcW w:w="7036" w:type="dxa"/>
            <w:tcBorders>
              <w:top w:val="nil"/>
              <w:left w:val="nil"/>
              <w:bottom w:val="single" w:sz="4" w:space="0" w:color="auto"/>
              <w:right w:val="single" w:sz="4" w:space="0" w:color="auto"/>
            </w:tcBorders>
            <w:shd w:val="clear" w:color="auto" w:fill="auto"/>
            <w:hideMark/>
          </w:tcPr>
          <w:p w14:paraId="134EA158" w14:textId="66BA3EE1" w:rsidR="008C050A" w:rsidRPr="00CE67C3" w:rsidRDefault="00EC3C69"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Number of defined daily doses (DDD) of generic apixaban</w:t>
            </w:r>
            <w:r w:rsidR="003F55EB">
              <w:rPr>
                <w:rFonts w:ascii="Arial" w:eastAsia="Times New Roman" w:hAnsi="Arial" w:cs="Arial"/>
                <w:bCs w:val="0"/>
                <w:color w:val="000000"/>
                <w:sz w:val="22"/>
                <w:szCs w:val="22"/>
                <w:lang w:eastAsia="en-GB"/>
              </w:rPr>
              <w:t xml:space="preserve"> or rivaroxaban</w:t>
            </w:r>
            <w:r w:rsidRPr="00CE67C3">
              <w:rPr>
                <w:rFonts w:ascii="Arial" w:eastAsia="Times New Roman" w:hAnsi="Arial" w:cs="Arial"/>
                <w:bCs w:val="0"/>
                <w:color w:val="000000"/>
                <w:sz w:val="22"/>
                <w:szCs w:val="22"/>
                <w:lang w:eastAsia="en-GB"/>
              </w:rPr>
              <w:t xml:space="preserve"> tablets and capsules dispensed in a rolling </w:t>
            </w:r>
            <w:r w:rsidR="00E85490" w:rsidRPr="00CE67C3">
              <w:rPr>
                <w:rFonts w:ascii="Arial" w:eastAsia="Times New Roman" w:hAnsi="Arial" w:cs="Arial"/>
                <w:bCs w:val="0"/>
                <w:color w:val="000000"/>
                <w:sz w:val="22"/>
                <w:szCs w:val="22"/>
                <w:lang w:eastAsia="en-GB"/>
              </w:rPr>
              <w:t>3-month</w:t>
            </w:r>
            <w:r w:rsidRPr="00CE67C3">
              <w:rPr>
                <w:rFonts w:ascii="Arial" w:eastAsia="Times New Roman" w:hAnsi="Arial" w:cs="Arial"/>
                <w:bCs w:val="0"/>
                <w:color w:val="000000"/>
                <w:sz w:val="22"/>
                <w:szCs w:val="22"/>
                <w:lang w:eastAsia="en-GB"/>
              </w:rPr>
              <w:t xml:space="preserve"> period</w:t>
            </w:r>
          </w:p>
        </w:tc>
      </w:tr>
      <w:tr w:rsidR="008C050A" w:rsidRPr="00C23E6D" w14:paraId="15EDD0A6"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1F15EF7F"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 unit of measure</w:t>
            </w:r>
          </w:p>
        </w:tc>
        <w:tc>
          <w:tcPr>
            <w:tcW w:w="7036" w:type="dxa"/>
            <w:tcBorders>
              <w:top w:val="nil"/>
              <w:left w:val="nil"/>
              <w:bottom w:val="single" w:sz="4" w:space="0" w:color="auto"/>
              <w:right w:val="single" w:sz="4" w:space="0" w:color="auto"/>
            </w:tcBorders>
            <w:shd w:val="clear" w:color="auto" w:fill="auto"/>
            <w:hideMark/>
          </w:tcPr>
          <w:p w14:paraId="27918D7E" w14:textId="51C2203D" w:rsidR="008C050A" w:rsidRPr="00CE67C3" w:rsidRDefault="00451A39"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Defined Daily Doses (DDDs)</w:t>
            </w:r>
          </w:p>
        </w:tc>
      </w:tr>
      <w:tr w:rsidR="008C050A" w:rsidRPr="00C23E6D" w14:paraId="753E4956" w14:textId="77777777" w:rsidTr="4257620F">
        <w:trPr>
          <w:trHeight w:val="276"/>
        </w:trPr>
        <w:tc>
          <w:tcPr>
            <w:tcW w:w="1980" w:type="dxa"/>
            <w:tcBorders>
              <w:top w:val="nil"/>
              <w:left w:val="single" w:sz="4" w:space="0" w:color="auto"/>
              <w:bottom w:val="single" w:sz="4" w:space="0" w:color="auto"/>
              <w:right w:val="single" w:sz="4" w:space="0" w:color="auto"/>
            </w:tcBorders>
            <w:shd w:val="clear" w:color="auto" w:fill="auto"/>
            <w:hideMark/>
          </w:tcPr>
          <w:p w14:paraId="5F6A3AC8"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w:t>
            </w:r>
          </w:p>
        </w:tc>
        <w:tc>
          <w:tcPr>
            <w:tcW w:w="7036" w:type="dxa"/>
            <w:tcBorders>
              <w:top w:val="nil"/>
              <w:left w:val="nil"/>
              <w:bottom w:val="single" w:sz="4" w:space="0" w:color="auto"/>
              <w:right w:val="single" w:sz="4" w:space="0" w:color="auto"/>
            </w:tcBorders>
            <w:shd w:val="clear" w:color="auto" w:fill="auto"/>
            <w:hideMark/>
          </w:tcPr>
          <w:p w14:paraId="095DF9A1" w14:textId="3BD5BA30" w:rsidR="008C050A" w:rsidRPr="00CE67C3" w:rsidRDefault="00EC3C69"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xml:space="preserve">Number of defined daily doses of edoxaban, rivaroxaban, dabigatran, or apixaban tablets and capsules dispensed in a rolling </w:t>
            </w:r>
            <w:r w:rsidR="00E85490" w:rsidRPr="00CE67C3">
              <w:rPr>
                <w:rFonts w:ascii="Arial" w:eastAsia="Times New Roman" w:hAnsi="Arial" w:cs="Arial"/>
                <w:bCs w:val="0"/>
                <w:color w:val="000000"/>
                <w:sz w:val="22"/>
                <w:szCs w:val="22"/>
                <w:lang w:eastAsia="en-GB"/>
              </w:rPr>
              <w:t>3-month</w:t>
            </w:r>
            <w:r w:rsidRPr="00CE67C3">
              <w:rPr>
                <w:rFonts w:ascii="Arial" w:eastAsia="Times New Roman" w:hAnsi="Arial" w:cs="Arial"/>
                <w:bCs w:val="0"/>
                <w:color w:val="000000"/>
                <w:sz w:val="22"/>
                <w:szCs w:val="22"/>
                <w:lang w:eastAsia="en-GB"/>
              </w:rPr>
              <w:t xml:space="preserve"> period</w:t>
            </w:r>
          </w:p>
        </w:tc>
      </w:tr>
      <w:tr w:rsidR="00EC3C69" w:rsidRPr="00C23E6D" w14:paraId="117B1163" w14:textId="77777777" w:rsidTr="4257620F">
        <w:trPr>
          <w:trHeight w:val="552"/>
        </w:trPr>
        <w:tc>
          <w:tcPr>
            <w:tcW w:w="1980" w:type="dxa"/>
            <w:tcBorders>
              <w:top w:val="nil"/>
              <w:left w:val="single" w:sz="4" w:space="0" w:color="auto"/>
              <w:bottom w:val="single" w:sz="4" w:space="0" w:color="auto"/>
              <w:right w:val="single" w:sz="4" w:space="0" w:color="auto"/>
            </w:tcBorders>
            <w:shd w:val="clear" w:color="auto" w:fill="auto"/>
            <w:hideMark/>
          </w:tcPr>
          <w:p w14:paraId="71905CC1" w14:textId="77777777" w:rsidR="00EC3C69" w:rsidRPr="00CE67C3" w:rsidRDefault="00EC3C69" w:rsidP="00EC3C69">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 unit of measure</w:t>
            </w:r>
          </w:p>
        </w:tc>
        <w:tc>
          <w:tcPr>
            <w:tcW w:w="7036" w:type="dxa"/>
            <w:tcBorders>
              <w:top w:val="nil"/>
              <w:left w:val="nil"/>
              <w:bottom w:val="single" w:sz="4" w:space="0" w:color="auto"/>
              <w:right w:val="single" w:sz="4" w:space="0" w:color="auto"/>
            </w:tcBorders>
            <w:shd w:val="clear" w:color="auto" w:fill="auto"/>
            <w:hideMark/>
          </w:tcPr>
          <w:p w14:paraId="4A434356" w14:textId="1F5BB754" w:rsidR="00EC3C69" w:rsidRPr="00CE67C3" w:rsidRDefault="00451A39" w:rsidP="00EC3C69">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Defined Daily Doses (DDDs)</w:t>
            </w:r>
          </w:p>
        </w:tc>
      </w:tr>
      <w:tr w:rsidR="00A00FD7" w:rsidRPr="00C23E6D" w14:paraId="0165DD90" w14:textId="77777777" w:rsidTr="4257620F">
        <w:trPr>
          <w:trHeight w:val="373"/>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956BFF5" w14:textId="170EA76C" w:rsidR="00A00FD7" w:rsidRPr="00CE67C3" w:rsidRDefault="00A00FD7"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Hyperlinks to supporting information</w:t>
            </w:r>
          </w:p>
        </w:tc>
        <w:tc>
          <w:tcPr>
            <w:tcW w:w="7036" w:type="dxa"/>
            <w:tcBorders>
              <w:top w:val="single" w:sz="4" w:space="0" w:color="auto"/>
              <w:left w:val="nil"/>
              <w:bottom w:val="single" w:sz="4" w:space="0" w:color="auto"/>
              <w:right w:val="single" w:sz="4" w:space="0" w:color="auto"/>
            </w:tcBorders>
            <w:shd w:val="clear" w:color="auto" w:fill="auto"/>
            <w:hideMark/>
          </w:tcPr>
          <w:p w14:paraId="67D8C0B5" w14:textId="4CE8736A" w:rsidR="00A00FD7" w:rsidRPr="00CE67C3" w:rsidRDefault="00430238" w:rsidP="009C5723">
            <w:pPr>
              <w:pStyle w:val="Hyperlinkinpara"/>
              <w:rPr>
                <w:rStyle w:val="Hyperlink"/>
                <w:color w:val="0072CE"/>
                <w:szCs w:val="22"/>
              </w:rPr>
            </w:pPr>
            <w:hyperlink r:id="rId34" w:anchor=":~:text=If%20the%20highest%20ranked%20best,and%20so%20on%20until%20an" w:history="1">
              <w:r w:rsidR="00A00FD7" w:rsidRPr="00CE67C3">
                <w:rPr>
                  <w:rStyle w:val="Hyperlink"/>
                  <w:color w:val="0072CE"/>
                  <w:szCs w:val="22"/>
                </w:rPr>
                <w:t>NHS England - Commissioning recommendations for national procurement for direct-acting oral anticoagulant(s) (DOACs)</w:t>
              </w:r>
            </w:hyperlink>
          </w:p>
        </w:tc>
      </w:tr>
      <w:tr w:rsidR="008C050A" w:rsidRPr="00C23E6D" w14:paraId="120A6FBA" w14:textId="77777777" w:rsidTr="4257620F">
        <w:trPr>
          <w:trHeight w:val="157"/>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3313416C" w14:textId="77777777" w:rsidR="008C050A" w:rsidRPr="00CE67C3" w:rsidRDefault="008C050A" w:rsidP="00D277C4">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Notes</w:t>
            </w:r>
          </w:p>
        </w:tc>
        <w:tc>
          <w:tcPr>
            <w:tcW w:w="7036" w:type="dxa"/>
            <w:tcBorders>
              <w:top w:val="single" w:sz="4" w:space="0" w:color="auto"/>
              <w:left w:val="nil"/>
              <w:bottom w:val="single" w:sz="4" w:space="0" w:color="auto"/>
              <w:right w:val="single" w:sz="4" w:space="0" w:color="auto"/>
            </w:tcBorders>
            <w:shd w:val="clear" w:color="auto" w:fill="auto"/>
            <w:hideMark/>
          </w:tcPr>
          <w:p w14:paraId="04C198AA" w14:textId="593297EF" w:rsidR="008C050A" w:rsidRPr="00CE67C3" w:rsidRDefault="46E28415"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sz w:val="22"/>
                <w:szCs w:val="22"/>
                <w:lang w:eastAsia="en-GB"/>
              </w:rPr>
              <w:t>Includes a</w:t>
            </w:r>
            <w:r w:rsidRPr="4257620F">
              <w:rPr>
                <w:rFonts w:ascii="Arial" w:eastAsia="Times New Roman" w:hAnsi="Arial" w:cs="Arial"/>
                <w:color w:val="000000" w:themeColor="text1"/>
                <w:sz w:val="22"/>
                <w:szCs w:val="22"/>
                <w:lang w:eastAsia="en-GB"/>
              </w:rPr>
              <w:t xml:space="preserve"> p</w:t>
            </w:r>
            <w:r w:rsidR="19748980" w:rsidRPr="4257620F">
              <w:rPr>
                <w:rFonts w:ascii="Arial" w:eastAsia="Times New Roman" w:hAnsi="Arial" w:cs="Arial"/>
                <w:color w:val="000000" w:themeColor="text1"/>
                <w:sz w:val="22"/>
                <w:szCs w:val="22"/>
                <w:lang w:eastAsia="en-GB"/>
              </w:rPr>
              <w:t xml:space="preserve">rimary </w:t>
            </w:r>
            <w:r w:rsidR="1AA63ACC" w:rsidRPr="4257620F">
              <w:rPr>
                <w:rFonts w:ascii="Arial" w:eastAsia="Times New Roman" w:hAnsi="Arial" w:cs="Arial"/>
                <w:color w:val="000000" w:themeColor="text1"/>
                <w:sz w:val="22"/>
                <w:szCs w:val="22"/>
                <w:lang w:eastAsia="en-GB"/>
              </w:rPr>
              <w:t>c</w:t>
            </w:r>
            <w:r w:rsidR="19748980" w:rsidRPr="4257620F">
              <w:rPr>
                <w:rFonts w:ascii="Arial" w:eastAsia="Times New Roman" w:hAnsi="Arial" w:cs="Arial"/>
                <w:color w:val="000000" w:themeColor="text1"/>
                <w:sz w:val="22"/>
                <w:szCs w:val="22"/>
                <w:lang w:eastAsia="en-GB"/>
              </w:rPr>
              <w:t>are prescribing cost centres mapped via SICBLs only, where currently listed as 'Active'</w:t>
            </w:r>
          </w:p>
        </w:tc>
      </w:tr>
      <w:tr w:rsidR="008C050A" w:rsidRPr="00C23E6D" w14:paraId="68153587" w14:textId="77777777" w:rsidTr="00F80497">
        <w:trPr>
          <w:trHeight w:val="552"/>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09A9090" w14:textId="77777777" w:rsidR="008C050A" w:rsidRPr="00CE67C3" w:rsidRDefault="008C050A" w:rsidP="00D277C4">
            <w:pPr>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Medicine Group Definitions</w:t>
            </w:r>
          </w:p>
        </w:tc>
        <w:tc>
          <w:tcPr>
            <w:tcW w:w="7036" w:type="dxa"/>
            <w:tcBorders>
              <w:top w:val="single" w:sz="4" w:space="0" w:color="auto"/>
              <w:left w:val="nil"/>
              <w:bottom w:val="single" w:sz="4" w:space="0" w:color="auto"/>
              <w:right w:val="single" w:sz="4" w:space="0" w:color="auto"/>
            </w:tcBorders>
            <w:shd w:val="clear" w:color="auto" w:fill="auto"/>
            <w:hideMark/>
          </w:tcPr>
          <w:p w14:paraId="53B1047B" w14:textId="5302CD87" w:rsidR="00007571"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All presentations including those prescribed by brand or with a named supplier within the following generic BNF codes are included.</w:t>
            </w:r>
          </w:p>
          <w:p w14:paraId="3A5B04BC" w14:textId="77777777" w:rsidR="00F94D3C" w:rsidRPr="00CE67C3" w:rsidRDefault="00F94D3C" w:rsidP="00E85490">
            <w:pPr>
              <w:keepLines/>
              <w:spacing w:after="0" w:line="240" w:lineRule="auto"/>
              <w:rPr>
                <w:rFonts w:ascii="Arial" w:eastAsia="Times New Roman" w:hAnsi="Arial" w:cs="Arial"/>
                <w:bCs w:val="0"/>
                <w:sz w:val="22"/>
                <w:szCs w:val="22"/>
                <w:lang w:eastAsia="en-GB"/>
              </w:rPr>
            </w:pPr>
          </w:p>
          <w:tbl>
            <w:tblPr>
              <w:tblW w:w="6523" w:type="dxa"/>
              <w:tblLayout w:type="fixed"/>
              <w:tblLook w:val="04A0" w:firstRow="1" w:lastRow="0" w:firstColumn="1" w:lastColumn="0" w:noHBand="0" w:noVBand="1"/>
            </w:tblPr>
            <w:tblGrid>
              <w:gridCol w:w="2725"/>
              <w:gridCol w:w="3798"/>
            </w:tblGrid>
            <w:tr w:rsidR="00007571" w:rsidRPr="00CE67C3" w14:paraId="116F9E1E" w14:textId="77777777" w:rsidTr="00E85490">
              <w:trPr>
                <w:trHeight w:val="276"/>
              </w:trPr>
              <w:tc>
                <w:tcPr>
                  <w:tcW w:w="2725" w:type="dxa"/>
                  <w:tcBorders>
                    <w:top w:val="nil"/>
                    <w:left w:val="nil"/>
                    <w:bottom w:val="nil"/>
                    <w:right w:val="nil"/>
                  </w:tcBorders>
                  <w:shd w:val="clear" w:color="auto" w:fill="005EB8" w:themeFill="text2"/>
                  <w:noWrap/>
                  <w:hideMark/>
                </w:tcPr>
                <w:p w14:paraId="4905D673" w14:textId="08B647D0" w:rsidR="00007571" w:rsidRPr="00CE67C3" w:rsidRDefault="00007571" w:rsidP="00E85490">
                  <w:pPr>
                    <w:keepLines/>
                    <w:spacing w:after="0" w:line="240" w:lineRule="auto"/>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Generic Equivalent Presentation Code</w:t>
                  </w:r>
                </w:p>
              </w:tc>
              <w:tc>
                <w:tcPr>
                  <w:tcW w:w="3798" w:type="dxa"/>
                  <w:tcBorders>
                    <w:top w:val="nil"/>
                    <w:left w:val="nil"/>
                    <w:bottom w:val="nil"/>
                    <w:right w:val="nil"/>
                  </w:tcBorders>
                  <w:shd w:val="clear" w:color="auto" w:fill="005EB8" w:themeFill="text2"/>
                  <w:noWrap/>
                  <w:hideMark/>
                </w:tcPr>
                <w:p w14:paraId="0000C59C" w14:textId="050AB762" w:rsidR="00007571" w:rsidRPr="00CE67C3" w:rsidRDefault="00007571" w:rsidP="00E85490">
                  <w:pPr>
                    <w:keepLines/>
                    <w:spacing w:after="0" w:line="240" w:lineRule="auto"/>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Generic Equivalent Presentation</w:t>
                  </w:r>
                </w:p>
              </w:tc>
            </w:tr>
            <w:tr w:rsidR="00007571" w:rsidRPr="00CE67C3" w14:paraId="16648A6D" w14:textId="77777777" w:rsidTr="00E85490">
              <w:trPr>
                <w:trHeight w:val="276"/>
              </w:trPr>
              <w:tc>
                <w:tcPr>
                  <w:tcW w:w="2725" w:type="dxa"/>
                  <w:tcBorders>
                    <w:top w:val="nil"/>
                    <w:left w:val="nil"/>
                    <w:bottom w:val="nil"/>
                    <w:right w:val="nil"/>
                  </w:tcBorders>
                  <w:shd w:val="clear" w:color="auto" w:fill="auto"/>
                  <w:noWrap/>
                  <w:hideMark/>
                </w:tcPr>
                <w:p w14:paraId="5E290060"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0208020AAAAAAAA</w:t>
                  </w:r>
                </w:p>
              </w:tc>
              <w:tc>
                <w:tcPr>
                  <w:tcW w:w="3798" w:type="dxa"/>
                  <w:tcBorders>
                    <w:top w:val="nil"/>
                    <w:left w:val="nil"/>
                    <w:bottom w:val="nil"/>
                    <w:right w:val="nil"/>
                  </w:tcBorders>
                  <w:shd w:val="clear" w:color="auto" w:fill="auto"/>
                  <w:noWrap/>
                  <w:hideMark/>
                </w:tcPr>
                <w:p w14:paraId="6600458E"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Edoxaban 15mg tablets</w:t>
                  </w:r>
                </w:p>
              </w:tc>
            </w:tr>
            <w:tr w:rsidR="00007571" w:rsidRPr="00CE67C3" w14:paraId="377F11EE"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4CD522A8"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0208020AAAAABAB</w:t>
                  </w:r>
                </w:p>
              </w:tc>
              <w:tc>
                <w:tcPr>
                  <w:tcW w:w="3798" w:type="dxa"/>
                  <w:tcBorders>
                    <w:top w:val="nil"/>
                    <w:left w:val="nil"/>
                    <w:bottom w:val="nil"/>
                    <w:right w:val="nil"/>
                  </w:tcBorders>
                  <w:shd w:val="clear" w:color="auto" w:fill="F2F2F2" w:themeFill="background1" w:themeFillShade="F2"/>
                  <w:noWrap/>
                  <w:hideMark/>
                </w:tcPr>
                <w:p w14:paraId="279F5B1A"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Edoxaban 30mg tablets</w:t>
                  </w:r>
                </w:p>
              </w:tc>
            </w:tr>
            <w:tr w:rsidR="00007571" w:rsidRPr="00CE67C3" w14:paraId="1CC882E9" w14:textId="77777777" w:rsidTr="00E85490">
              <w:trPr>
                <w:trHeight w:val="276"/>
              </w:trPr>
              <w:tc>
                <w:tcPr>
                  <w:tcW w:w="2725" w:type="dxa"/>
                  <w:tcBorders>
                    <w:top w:val="nil"/>
                    <w:left w:val="nil"/>
                    <w:bottom w:val="nil"/>
                    <w:right w:val="nil"/>
                  </w:tcBorders>
                  <w:shd w:val="clear" w:color="auto" w:fill="auto"/>
                  <w:noWrap/>
                  <w:hideMark/>
                </w:tcPr>
                <w:p w14:paraId="12AF6563"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0208020AAAAACAC</w:t>
                  </w:r>
                </w:p>
              </w:tc>
              <w:tc>
                <w:tcPr>
                  <w:tcW w:w="3798" w:type="dxa"/>
                  <w:tcBorders>
                    <w:top w:val="nil"/>
                    <w:left w:val="nil"/>
                    <w:bottom w:val="nil"/>
                    <w:right w:val="nil"/>
                  </w:tcBorders>
                  <w:shd w:val="clear" w:color="auto" w:fill="auto"/>
                  <w:noWrap/>
                  <w:hideMark/>
                </w:tcPr>
                <w:p w14:paraId="6DD13857"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Edoxaban 60mg tablets</w:t>
                  </w:r>
                </w:p>
              </w:tc>
            </w:tr>
            <w:tr w:rsidR="00007571" w:rsidRPr="00CE67C3" w14:paraId="359E5110"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46DC47CF"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0208020X0AAAAAA</w:t>
                  </w:r>
                </w:p>
              </w:tc>
              <w:tc>
                <w:tcPr>
                  <w:tcW w:w="3798" w:type="dxa"/>
                  <w:tcBorders>
                    <w:top w:val="nil"/>
                    <w:left w:val="nil"/>
                    <w:bottom w:val="nil"/>
                    <w:right w:val="nil"/>
                  </w:tcBorders>
                  <w:shd w:val="clear" w:color="auto" w:fill="F2F2F2" w:themeFill="background1" w:themeFillShade="F2"/>
                  <w:noWrap/>
                  <w:hideMark/>
                </w:tcPr>
                <w:p w14:paraId="0BBBA1E0"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Dabigatran etexilate 75mg capsules</w:t>
                  </w:r>
                </w:p>
              </w:tc>
            </w:tr>
            <w:tr w:rsidR="00007571" w:rsidRPr="00CE67C3" w14:paraId="74957628" w14:textId="77777777" w:rsidTr="00E85490">
              <w:trPr>
                <w:trHeight w:val="276"/>
              </w:trPr>
              <w:tc>
                <w:tcPr>
                  <w:tcW w:w="2725" w:type="dxa"/>
                  <w:tcBorders>
                    <w:top w:val="nil"/>
                    <w:left w:val="nil"/>
                    <w:bottom w:val="nil"/>
                    <w:right w:val="nil"/>
                  </w:tcBorders>
                  <w:shd w:val="clear" w:color="auto" w:fill="auto"/>
                  <w:noWrap/>
                  <w:hideMark/>
                </w:tcPr>
                <w:p w14:paraId="34315AA5"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0208020X0AAABAB</w:t>
                  </w:r>
                </w:p>
              </w:tc>
              <w:tc>
                <w:tcPr>
                  <w:tcW w:w="3798" w:type="dxa"/>
                  <w:tcBorders>
                    <w:top w:val="nil"/>
                    <w:left w:val="nil"/>
                    <w:bottom w:val="nil"/>
                    <w:right w:val="nil"/>
                  </w:tcBorders>
                  <w:shd w:val="clear" w:color="auto" w:fill="auto"/>
                  <w:noWrap/>
                  <w:hideMark/>
                </w:tcPr>
                <w:p w14:paraId="646F37B1"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Dabigatran etexilate 110mg capsules</w:t>
                  </w:r>
                </w:p>
              </w:tc>
            </w:tr>
            <w:tr w:rsidR="00007571" w:rsidRPr="00CE67C3" w14:paraId="544C472B"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54393B76"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0208020X0AAACAC</w:t>
                  </w:r>
                </w:p>
              </w:tc>
              <w:tc>
                <w:tcPr>
                  <w:tcW w:w="3798" w:type="dxa"/>
                  <w:tcBorders>
                    <w:top w:val="nil"/>
                    <w:left w:val="nil"/>
                    <w:bottom w:val="nil"/>
                    <w:right w:val="nil"/>
                  </w:tcBorders>
                  <w:shd w:val="clear" w:color="auto" w:fill="F2F2F2" w:themeFill="background1" w:themeFillShade="F2"/>
                  <w:noWrap/>
                  <w:hideMark/>
                </w:tcPr>
                <w:p w14:paraId="32AAF263"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Dabigatran etexilate 150mg capsules</w:t>
                  </w:r>
                </w:p>
              </w:tc>
            </w:tr>
            <w:tr w:rsidR="00007571" w:rsidRPr="00CE67C3" w14:paraId="29732A90" w14:textId="77777777" w:rsidTr="00E85490">
              <w:trPr>
                <w:trHeight w:val="276"/>
              </w:trPr>
              <w:tc>
                <w:tcPr>
                  <w:tcW w:w="2725" w:type="dxa"/>
                  <w:tcBorders>
                    <w:top w:val="nil"/>
                    <w:left w:val="nil"/>
                    <w:bottom w:val="nil"/>
                    <w:right w:val="nil"/>
                  </w:tcBorders>
                  <w:shd w:val="clear" w:color="auto" w:fill="auto"/>
                  <w:noWrap/>
                  <w:hideMark/>
                </w:tcPr>
                <w:p w14:paraId="1A754CC1"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0208020Y0AAAAAA</w:t>
                  </w:r>
                </w:p>
              </w:tc>
              <w:tc>
                <w:tcPr>
                  <w:tcW w:w="3798" w:type="dxa"/>
                  <w:tcBorders>
                    <w:top w:val="nil"/>
                    <w:left w:val="nil"/>
                    <w:bottom w:val="nil"/>
                    <w:right w:val="nil"/>
                  </w:tcBorders>
                  <w:shd w:val="clear" w:color="auto" w:fill="auto"/>
                  <w:noWrap/>
                  <w:hideMark/>
                </w:tcPr>
                <w:p w14:paraId="210E3BBE"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Rivaroxaban 10mg tablets</w:t>
                  </w:r>
                </w:p>
              </w:tc>
            </w:tr>
            <w:tr w:rsidR="00007571" w:rsidRPr="00CE67C3" w14:paraId="55DD4A99"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1135A538"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0208020Y0AAABAB</w:t>
                  </w:r>
                </w:p>
              </w:tc>
              <w:tc>
                <w:tcPr>
                  <w:tcW w:w="3798" w:type="dxa"/>
                  <w:tcBorders>
                    <w:top w:val="nil"/>
                    <w:left w:val="nil"/>
                    <w:bottom w:val="nil"/>
                    <w:right w:val="nil"/>
                  </w:tcBorders>
                  <w:shd w:val="clear" w:color="auto" w:fill="F2F2F2" w:themeFill="background1" w:themeFillShade="F2"/>
                  <w:noWrap/>
                  <w:hideMark/>
                </w:tcPr>
                <w:p w14:paraId="520FFDF4"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Rivaroxaban 15mg tablets</w:t>
                  </w:r>
                </w:p>
              </w:tc>
            </w:tr>
            <w:tr w:rsidR="00007571" w:rsidRPr="00CE67C3" w14:paraId="7F79F62D" w14:textId="77777777" w:rsidTr="00E85490">
              <w:trPr>
                <w:trHeight w:val="276"/>
              </w:trPr>
              <w:tc>
                <w:tcPr>
                  <w:tcW w:w="2725" w:type="dxa"/>
                  <w:tcBorders>
                    <w:top w:val="nil"/>
                    <w:left w:val="nil"/>
                    <w:bottom w:val="nil"/>
                    <w:right w:val="nil"/>
                  </w:tcBorders>
                  <w:shd w:val="clear" w:color="auto" w:fill="auto"/>
                  <w:noWrap/>
                  <w:hideMark/>
                </w:tcPr>
                <w:p w14:paraId="53BA899C"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0208020Y0AAACAC</w:t>
                  </w:r>
                </w:p>
              </w:tc>
              <w:tc>
                <w:tcPr>
                  <w:tcW w:w="3798" w:type="dxa"/>
                  <w:tcBorders>
                    <w:top w:val="nil"/>
                    <w:left w:val="nil"/>
                    <w:bottom w:val="nil"/>
                    <w:right w:val="nil"/>
                  </w:tcBorders>
                  <w:shd w:val="clear" w:color="auto" w:fill="auto"/>
                  <w:noWrap/>
                  <w:hideMark/>
                </w:tcPr>
                <w:p w14:paraId="363E0A4D"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Rivaroxaban 20mg tablets</w:t>
                  </w:r>
                </w:p>
              </w:tc>
            </w:tr>
            <w:tr w:rsidR="00007571" w:rsidRPr="00CE67C3" w14:paraId="358DA908"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6B7E71FC"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0208020Y0AAAEAE</w:t>
                  </w:r>
                </w:p>
              </w:tc>
              <w:tc>
                <w:tcPr>
                  <w:tcW w:w="3798" w:type="dxa"/>
                  <w:tcBorders>
                    <w:top w:val="nil"/>
                    <w:left w:val="nil"/>
                    <w:bottom w:val="nil"/>
                    <w:right w:val="nil"/>
                  </w:tcBorders>
                  <w:shd w:val="clear" w:color="auto" w:fill="F2F2F2" w:themeFill="background1" w:themeFillShade="F2"/>
                  <w:noWrap/>
                  <w:hideMark/>
                </w:tcPr>
                <w:p w14:paraId="6CE7AE5B"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Rivaroxaban 15mg tablets and Rivaroxaban 20mg tablets</w:t>
                  </w:r>
                </w:p>
              </w:tc>
            </w:tr>
            <w:tr w:rsidR="00007571" w:rsidRPr="00CE67C3" w14:paraId="68A0840F" w14:textId="77777777" w:rsidTr="00E85490">
              <w:trPr>
                <w:trHeight w:val="276"/>
              </w:trPr>
              <w:tc>
                <w:tcPr>
                  <w:tcW w:w="2725" w:type="dxa"/>
                  <w:tcBorders>
                    <w:top w:val="nil"/>
                    <w:left w:val="nil"/>
                    <w:bottom w:val="nil"/>
                    <w:right w:val="nil"/>
                  </w:tcBorders>
                  <w:shd w:val="clear" w:color="auto" w:fill="auto"/>
                  <w:noWrap/>
                  <w:hideMark/>
                </w:tcPr>
                <w:p w14:paraId="43F557E2"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0208020Z0AAAAAA</w:t>
                  </w:r>
                </w:p>
              </w:tc>
              <w:tc>
                <w:tcPr>
                  <w:tcW w:w="3798" w:type="dxa"/>
                  <w:tcBorders>
                    <w:top w:val="nil"/>
                    <w:left w:val="nil"/>
                    <w:bottom w:val="nil"/>
                    <w:right w:val="nil"/>
                  </w:tcBorders>
                  <w:shd w:val="clear" w:color="auto" w:fill="auto"/>
                  <w:noWrap/>
                  <w:hideMark/>
                </w:tcPr>
                <w:p w14:paraId="36396227"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Apixaban 2.5mg tablets</w:t>
                  </w:r>
                </w:p>
              </w:tc>
            </w:tr>
            <w:tr w:rsidR="00007571" w:rsidRPr="00CE67C3" w14:paraId="0D75BB1B" w14:textId="77777777" w:rsidTr="00E85490">
              <w:trPr>
                <w:trHeight w:val="276"/>
              </w:trPr>
              <w:tc>
                <w:tcPr>
                  <w:tcW w:w="2725" w:type="dxa"/>
                  <w:tcBorders>
                    <w:top w:val="nil"/>
                    <w:left w:val="nil"/>
                    <w:bottom w:val="nil"/>
                    <w:right w:val="nil"/>
                  </w:tcBorders>
                  <w:shd w:val="clear" w:color="auto" w:fill="F2F2F2" w:themeFill="background1" w:themeFillShade="F2"/>
                  <w:noWrap/>
                  <w:hideMark/>
                </w:tcPr>
                <w:p w14:paraId="43B790E7"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0208020Z0AAABAB</w:t>
                  </w:r>
                </w:p>
              </w:tc>
              <w:tc>
                <w:tcPr>
                  <w:tcW w:w="3798" w:type="dxa"/>
                  <w:tcBorders>
                    <w:top w:val="nil"/>
                    <w:left w:val="nil"/>
                    <w:bottom w:val="nil"/>
                    <w:right w:val="nil"/>
                  </w:tcBorders>
                  <w:shd w:val="clear" w:color="auto" w:fill="F2F2F2" w:themeFill="background1" w:themeFillShade="F2"/>
                  <w:noWrap/>
                  <w:hideMark/>
                </w:tcPr>
                <w:p w14:paraId="743EBB77"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Apixaban 5mg tablets</w:t>
                  </w:r>
                </w:p>
              </w:tc>
            </w:tr>
          </w:tbl>
          <w:p w14:paraId="7ADA70F1" w14:textId="77777777" w:rsidR="00007571" w:rsidRPr="00CE67C3" w:rsidRDefault="00007571" w:rsidP="00E85490">
            <w:pPr>
              <w:keepLines/>
              <w:spacing w:after="0" w:line="240" w:lineRule="auto"/>
              <w:rPr>
                <w:rFonts w:ascii="Arial" w:eastAsia="Times New Roman" w:hAnsi="Arial" w:cs="Arial"/>
                <w:bCs w:val="0"/>
                <w:sz w:val="22"/>
                <w:szCs w:val="22"/>
                <w:lang w:eastAsia="en-GB"/>
              </w:rPr>
            </w:pPr>
          </w:p>
          <w:p w14:paraId="54A8BADB" w14:textId="74710B2A" w:rsidR="00F94D3C" w:rsidRPr="00CE67C3" w:rsidRDefault="00F94D3C" w:rsidP="00F80497">
            <w:pPr>
              <w:keepLines/>
              <w:spacing w:after="0" w:line="240" w:lineRule="auto"/>
              <w:rPr>
                <w:rFonts w:ascii="Arial" w:eastAsia="Times New Roman" w:hAnsi="Arial" w:cs="Arial"/>
                <w:bCs w:val="0"/>
                <w:sz w:val="22"/>
                <w:szCs w:val="22"/>
                <w:lang w:eastAsia="en-GB"/>
              </w:rPr>
            </w:pPr>
          </w:p>
        </w:tc>
      </w:tr>
      <w:tr w:rsidR="00F80497" w:rsidRPr="00C23E6D" w14:paraId="7CD7E314" w14:textId="77777777" w:rsidTr="00F80497">
        <w:trPr>
          <w:trHeight w:val="51"/>
        </w:trPr>
        <w:tc>
          <w:tcPr>
            <w:tcW w:w="9016" w:type="dxa"/>
            <w:gridSpan w:val="2"/>
            <w:tcBorders>
              <w:top w:val="single" w:sz="4" w:space="0" w:color="auto"/>
            </w:tcBorders>
            <w:shd w:val="clear" w:color="auto" w:fill="auto"/>
          </w:tcPr>
          <w:p w14:paraId="1C1F6E51" w14:textId="1C036E76" w:rsidR="00F80497" w:rsidRPr="4257620F" w:rsidRDefault="00F80497" w:rsidP="4257620F">
            <w:pPr>
              <w:spacing w:after="0" w:line="240" w:lineRule="auto"/>
              <w:rPr>
                <w:rFonts w:ascii="Arial" w:eastAsia="Times New Roman" w:hAnsi="Arial" w:cs="Arial"/>
                <w:sz w:val="22"/>
                <w:szCs w:val="22"/>
                <w:lang w:eastAsia="en-GB"/>
              </w:rPr>
            </w:pPr>
            <w:r>
              <w:rPr>
                <w:rFonts w:ascii="Arial" w:eastAsia="Times New Roman" w:hAnsi="Arial" w:cs="Arial"/>
                <w:bCs w:val="0"/>
                <w:color w:val="000000"/>
                <w:sz w:val="22"/>
                <w:szCs w:val="22"/>
                <w:lang w:eastAsia="en-GB"/>
              </w:rPr>
              <w:t>Continued overleaf</w:t>
            </w:r>
          </w:p>
        </w:tc>
      </w:tr>
      <w:tr w:rsidR="00F80497" w:rsidRPr="00C23E6D" w14:paraId="502C57D3" w14:textId="77777777" w:rsidTr="00F80497">
        <w:trPr>
          <w:cantSplit/>
          <w:trHeight w:val="51"/>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8523731"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p>
        </w:tc>
        <w:tc>
          <w:tcPr>
            <w:tcW w:w="7036" w:type="dxa"/>
            <w:tcBorders>
              <w:top w:val="single" w:sz="4" w:space="0" w:color="auto"/>
              <w:left w:val="nil"/>
              <w:bottom w:val="single" w:sz="4" w:space="0" w:color="auto"/>
              <w:right w:val="single" w:sz="4" w:space="0" w:color="auto"/>
            </w:tcBorders>
            <w:shd w:val="clear" w:color="auto" w:fill="auto"/>
          </w:tcPr>
          <w:p w14:paraId="33747211" w14:textId="77777777" w:rsidR="00F80497" w:rsidRDefault="00F80497" w:rsidP="00F80497">
            <w:pPr>
              <w:keepLines/>
              <w:spacing w:after="0" w:line="240" w:lineRule="auto"/>
              <w:rPr>
                <w:rFonts w:ascii="Arial" w:eastAsia="Times New Roman" w:hAnsi="Arial" w:cs="Arial"/>
                <w:bCs w:val="0"/>
                <w:sz w:val="22"/>
                <w:szCs w:val="22"/>
                <w:lang w:eastAsia="en-GB"/>
              </w:rPr>
            </w:pPr>
          </w:p>
          <w:p w14:paraId="1548B5F1" w14:textId="77777777" w:rsidR="00F80497" w:rsidRPr="00CE67C3" w:rsidRDefault="00F80497" w:rsidP="00F80497">
            <w:pPr>
              <w:keepLines/>
              <w:spacing w:after="0" w:line="240" w:lineRule="auto"/>
              <w:rPr>
                <w:rFonts w:ascii="Arial" w:eastAsia="Times New Roman" w:hAnsi="Arial" w:cs="Arial"/>
                <w:bCs w:val="0"/>
                <w:sz w:val="22"/>
                <w:szCs w:val="22"/>
                <w:lang w:eastAsia="en-GB"/>
              </w:rPr>
            </w:pPr>
            <w:r w:rsidRPr="00CE67C3">
              <w:rPr>
                <w:rFonts w:ascii="Arial" w:eastAsia="Times New Roman" w:hAnsi="Arial" w:cs="Arial"/>
                <w:bCs w:val="0"/>
                <w:sz w:val="22"/>
                <w:szCs w:val="22"/>
                <w:lang w:eastAsia="en-GB"/>
              </w:rPr>
              <w:t>The DDDs were calculated based on the following values:</w:t>
            </w:r>
          </w:p>
          <w:tbl>
            <w:tblPr>
              <w:tblW w:w="6521" w:type="dxa"/>
              <w:tblLayout w:type="fixed"/>
              <w:tblCellMar>
                <w:left w:w="0" w:type="dxa"/>
                <w:right w:w="0" w:type="dxa"/>
              </w:tblCellMar>
              <w:tblLook w:val="04A0" w:firstRow="1" w:lastRow="0" w:firstColumn="1" w:lastColumn="0" w:noHBand="0" w:noVBand="1"/>
            </w:tblPr>
            <w:tblGrid>
              <w:gridCol w:w="4536"/>
              <w:gridCol w:w="1985"/>
            </w:tblGrid>
            <w:tr w:rsidR="00F80497" w:rsidRPr="00CE67C3" w14:paraId="4AAB651D" w14:textId="77777777" w:rsidTr="00CA4CB1">
              <w:trPr>
                <w:trHeight w:val="276"/>
              </w:trPr>
              <w:tc>
                <w:tcPr>
                  <w:tcW w:w="4536" w:type="dxa"/>
                  <w:shd w:val="clear" w:color="auto" w:fill="005EB8"/>
                  <w:noWrap/>
                  <w:tcMar>
                    <w:top w:w="0" w:type="dxa"/>
                    <w:left w:w="108" w:type="dxa"/>
                    <w:bottom w:w="0" w:type="dxa"/>
                    <w:right w:w="108" w:type="dxa"/>
                  </w:tcMar>
                  <w:vAlign w:val="bottom"/>
                  <w:hideMark/>
                </w:tcPr>
                <w:p w14:paraId="2178A822" w14:textId="77777777" w:rsidR="00F80497" w:rsidRPr="00CE67C3" w:rsidRDefault="00F80497" w:rsidP="00F80497">
                  <w:pPr>
                    <w:keepLines/>
                    <w:rPr>
                      <w:rFonts w:ascii="Arial" w:hAnsi="Arial" w:cs="Arial"/>
                      <w:b/>
                      <w:bCs w:val="0"/>
                      <w:color w:val="FFFFFF" w:themeColor="background1"/>
                      <w:sz w:val="22"/>
                      <w:szCs w:val="22"/>
                      <w:lang w:eastAsia="en-GB"/>
                    </w:rPr>
                  </w:pPr>
                  <w:r w:rsidRPr="00CE67C3">
                    <w:rPr>
                      <w:rFonts w:ascii="Arial" w:hAnsi="Arial" w:cs="Arial"/>
                      <w:b/>
                      <w:bCs w:val="0"/>
                      <w:color w:val="FFFFFF" w:themeColor="background1"/>
                      <w:sz w:val="22"/>
                      <w:szCs w:val="22"/>
                      <w:lang w:eastAsia="en-GB"/>
                    </w:rPr>
                    <w:t>BNF Chemical Substance plus Code</w:t>
                  </w:r>
                </w:p>
              </w:tc>
              <w:tc>
                <w:tcPr>
                  <w:tcW w:w="1985" w:type="dxa"/>
                  <w:shd w:val="clear" w:color="auto" w:fill="005EB8"/>
                  <w:noWrap/>
                  <w:tcMar>
                    <w:top w:w="0" w:type="dxa"/>
                    <w:left w:w="108" w:type="dxa"/>
                    <w:bottom w:w="0" w:type="dxa"/>
                    <w:right w:w="108" w:type="dxa"/>
                  </w:tcMar>
                  <w:vAlign w:val="bottom"/>
                  <w:hideMark/>
                </w:tcPr>
                <w:p w14:paraId="2CD6E211" w14:textId="77777777" w:rsidR="00F80497" w:rsidRPr="00CE67C3" w:rsidRDefault="00F80497" w:rsidP="00F80497">
                  <w:pPr>
                    <w:keepLines/>
                    <w:jc w:val="center"/>
                    <w:rPr>
                      <w:rFonts w:ascii="Arial" w:hAnsi="Arial" w:cs="Arial"/>
                      <w:b/>
                      <w:bCs w:val="0"/>
                      <w:color w:val="FFFFFF" w:themeColor="background1"/>
                      <w:sz w:val="22"/>
                      <w:szCs w:val="22"/>
                      <w:lang w:eastAsia="en-GB"/>
                    </w:rPr>
                  </w:pPr>
                  <w:r w:rsidRPr="00CE67C3">
                    <w:rPr>
                      <w:rFonts w:ascii="Arial" w:hAnsi="Arial" w:cs="Arial"/>
                      <w:b/>
                      <w:bCs w:val="0"/>
                      <w:color w:val="FFFFFF" w:themeColor="background1"/>
                      <w:sz w:val="22"/>
                      <w:szCs w:val="22"/>
                      <w:lang w:eastAsia="en-GB"/>
                    </w:rPr>
                    <w:t>DDD Value (mg)</w:t>
                  </w:r>
                </w:p>
              </w:tc>
            </w:tr>
            <w:tr w:rsidR="00F80497" w:rsidRPr="00CE67C3" w14:paraId="5AD162E2" w14:textId="77777777" w:rsidTr="00CA4CB1">
              <w:trPr>
                <w:trHeight w:val="276"/>
              </w:trPr>
              <w:tc>
                <w:tcPr>
                  <w:tcW w:w="4536" w:type="dxa"/>
                  <w:noWrap/>
                  <w:tcMar>
                    <w:top w:w="0" w:type="dxa"/>
                    <w:left w:w="108" w:type="dxa"/>
                    <w:bottom w:w="0" w:type="dxa"/>
                    <w:right w:w="108" w:type="dxa"/>
                  </w:tcMar>
                  <w:vAlign w:val="bottom"/>
                  <w:hideMark/>
                </w:tcPr>
                <w:p w14:paraId="2C52F98E" w14:textId="77777777" w:rsidR="00F80497" w:rsidRPr="00CE67C3" w:rsidRDefault="00F80497" w:rsidP="00F80497">
                  <w:pPr>
                    <w:keepLines/>
                    <w:rPr>
                      <w:rFonts w:ascii="Arial" w:hAnsi="Arial" w:cs="Arial"/>
                      <w:bCs w:val="0"/>
                      <w:sz w:val="22"/>
                      <w:szCs w:val="22"/>
                      <w:lang w:eastAsia="en-GB"/>
                    </w:rPr>
                  </w:pPr>
                  <w:r w:rsidRPr="00CE67C3">
                    <w:rPr>
                      <w:rFonts w:ascii="Arial" w:hAnsi="Arial" w:cs="Arial"/>
                      <w:sz w:val="22"/>
                      <w:szCs w:val="22"/>
                      <w:lang w:eastAsia="en-GB"/>
                    </w:rPr>
                    <w:t>Edoxaban (0208020AA)</w:t>
                  </w:r>
                </w:p>
              </w:tc>
              <w:tc>
                <w:tcPr>
                  <w:tcW w:w="1985" w:type="dxa"/>
                  <w:noWrap/>
                  <w:tcMar>
                    <w:top w:w="0" w:type="dxa"/>
                    <w:left w:w="108" w:type="dxa"/>
                    <w:bottom w:w="0" w:type="dxa"/>
                    <w:right w:w="108" w:type="dxa"/>
                  </w:tcMar>
                  <w:vAlign w:val="bottom"/>
                  <w:hideMark/>
                </w:tcPr>
                <w:p w14:paraId="063C8545" w14:textId="77777777" w:rsidR="00F80497" w:rsidRPr="00CE67C3" w:rsidRDefault="00F80497" w:rsidP="00F80497">
                  <w:pPr>
                    <w:keepLines/>
                    <w:jc w:val="center"/>
                    <w:rPr>
                      <w:rFonts w:ascii="Arial" w:hAnsi="Arial" w:cs="Arial"/>
                      <w:sz w:val="22"/>
                      <w:szCs w:val="22"/>
                      <w:lang w:eastAsia="en-GB"/>
                    </w:rPr>
                  </w:pPr>
                  <w:r w:rsidRPr="00CE67C3">
                    <w:rPr>
                      <w:rFonts w:ascii="Arial" w:hAnsi="Arial" w:cs="Arial"/>
                      <w:sz w:val="22"/>
                      <w:szCs w:val="22"/>
                      <w:lang w:eastAsia="en-GB"/>
                    </w:rPr>
                    <w:t>60</w:t>
                  </w:r>
                </w:p>
              </w:tc>
            </w:tr>
            <w:tr w:rsidR="00F80497" w:rsidRPr="00CE67C3" w14:paraId="6690512F" w14:textId="77777777" w:rsidTr="00CA4CB1">
              <w:trPr>
                <w:trHeight w:val="276"/>
              </w:trPr>
              <w:tc>
                <w:tcPr>
                  <w:tcW w:w="4536" w:type="dxa"/>
                  <w:shd w:val="clear" w:color="auto" w:fill="F2F2F2" w:themeFill="background1" w:themeFillShade="F2"/>
                  <w:noWrap/>
                  <w:tcMar>
                    <w:top w:w="0" w:type="dxa"/>
                    <w:left w:w="108" w:type="dxa"/>
                    <w:bottom w:w="0" w:type="dxa"/>
                    <w:right w:w="108" w:type="dxa"/>
                  </w:tcMar>
                  <w:vAlign w:val="bottom"/>
                  <w:hideMark/>
                </w:tcPr>
                <w:p w14:paraId="2DCB687F" w14:textId="77777777" w:rsidR="00F80497" w:rsidRPr="00CE67C3" w:rsidRDefault="00F80497" w:rsidP="00F80497">
                  <w:pPr>
                    <w:keepLines/>
                    <w:rPr>
                      <w:rFonts w:ascii="Arial" w:hAnsi="Arial" w:cs="Arial"/>
                      <w:sz w:val="22"/>
                      <w:szCs w:val="22"/>
                      <w:lang w:eastAsia="en-GB"/>
                    </w:rPr>
                  </w:pPr>
                  <w:r w:rsidRPr="00CE67C3">
                    <w:rPr>
                      <w:rFonts w:ascii="Arial" w:hAnsi="Arial" w:cs="Arial"/>
                      <w:sz w:val="22"/>
                      <w:szCs w:val="22"/>
                      <w:lang w:eastAsia="en-GB"/>
                    </w:rPr>
                    <w:t>Dabigatran etexilate (0208020X0)</w:t>
                  </w:r>
                </w:p>
              </w:tc>
              <w:tc>
                <w:tcPr>
                  <w:tcW w:w="1985" w:type="dxa"/>
                  <w:shd w:val="clear" w:color="auto" w:fill="F2F2F2" w:themeFill="background1" w:themeFillShade="F2"/>
                  <w:noWrap/>
                  <w:tcMar>
                    <w:top w:w="0" w:type="dxa"/>
                    <w:left w:w="108" w:type="dxa"/>
                    <w:bottom w:w="0" w:type="dxa"/>
                    <w:right w:w="108" w:type="dxa"/>
                  </w:tcMar>
                  <w:vAlign w:val="bottom"/>
                  <w:hideMark/>
                </w:tcPr>
                <w:p w14:paraId="6F74954B" w14:textId="77777777" w:rsidR="00F80497" w:rsidRPr="00CE67C3" w:rsidRDefault="00F80497" w:rsidP="00F80497">
                  <w:pPr>
                    <w:keepLines/>
                    <w:jc w:val="center"/>
                    <w:rPr>
                      <w:rFonts w:ascii="Arial" w:hAnsi="Arial" w:cs="Arial"/>
                      <w:sz w:val="22"/>
                      <w:szCs w:val="22"/>
                      <w:lang w:eastAsia="en-GB"/>
                    </w:rPr>
                  </w:pPr>
                  <w:r w:rsidRPr="00CE67C3">
                    <w:rPr>
                      <w:rFonts w:ascii="Arial" w:hAnsi="Arial" w:cs="Arial"/>
                      <w:sz w:val="22"/>
                      <w:szCs w:val="22"/>
                      <w:lang w:eastAsia="en-GB"/>
                    </w:rPr>
                    <w:t>300</w:t>
                  </w:r>
                </w:p>
              </w:tc>
            </w:tr>
            <w:tr w:rsidR="00F80497" w:rsidRPr="00CE67C3" w14:paraId="725B4BBC" w14:textId="77777777" w:rsidTr="00CA4CB1">
              <w:trPr>
                <w:trHeight w:val="276"/>
              </w:trPr>
              <w:tc>
                <w:tcPr>
                  <w:tcW w:w="4536" w:type="dxa"/>
                  <w:noWrap/>
                  <w:tcMar>
                    <w:top w:w="0" w:type="dxa"/>
                    <w:left w:w="108" w:type="dxa"/>
                    <w:bottom w:w="0" w:type="dxa"/>
                    <w:right w:w="108" w:type="dxa"/>
                  </w:tcMar>
                  <w:vAlign w:val="bottom"/>
                  <w:hideMark/>
                </w:tcPr>
                <w:p w14:paraId="49876A7D" w14:textId="77777777" w:rsidR="00F80497" w:rsidRPr="00CE67C3" w:rsidRDefault="00F80497" w:rsidP="00F80497">
                  <w:pPr>
                    <w:keepLines/>
                    <w:rPr>
                      <w:rFonts w:ascii="Arial" w:hAnsi="Arial" w:cs="Arial"/>
                      <w:sz w:val="22"/>
                      <w:szCs w:val="22"/>
                      <w:lang w:eastAsia="en-GB"/>
                    </w:rPr>
                  </w:pPr>
                  <w:r w:rsidRPr="00CE67C3">
                    <w:rPr>
                      <w:rFonts w:ascii="Arial" w:hAnsi="Arial" w:cs="Arial"/>
                      <w:sz w:val="22"/>
                      <w:szCs w:val="22"/>
                      <w:lang w:eastAsia="en-GB"/>
                    </w:rPr>
                    <w:t>Rivaroxaban (0208020Y0)</w:t>
                  </w:r>
                </w:p>
              </w:tc>
              <w:tc>
                <w:tcPr>
                  <w:tcW w:w="1985" w:type="dxa"/>
                  <w:noWrap/>
                  <w:tcMar>
                    <w:top w:w="0" w:type="dxa"/>
                    <w:left w:w="108" w:type="dxa"/>
                    <w:bottom w:w="0" w:type="dxa"/>
                    <w:right w:w="108" w:type="dxa"/>
                  </w:tcMar>
                  <w:vAlign w:val="bottom"/>
                  <w:hideMark/>
                </w:tcPr>
                <w:p w14:paraId="6B0D2542" w14:textId="77777777" w:rsidR="00F80497" w:rsidRPr="00CE67C3" w:rsidRDefault="00F80497" w:rsidP="00F80497">
                  <w:pPr>
                    <w:keepLines/>
                    <w:jc w:val="center"/>
                    <w:rPr>
                      <w:rFonts w:ascii="Arial" w:hAnsi="Arial" w:cs="Arial"/>
                      <w:sz w:val="22"/>
                      <w:szCs w:val="22"/>
                      <w:lang w:eastAsia="en-GB"/>
                    </w:rPr>
                  </w:pPr>
                  <w:r w:rsidRPr="00CE67C3">
                    <w:rPr>
                      <w:rFonts w:ascii="Arial" w:hAnsi="Arial" w:cs="Arial"/>
                      <w:sz w:val="22"/>
                      <w:szCs w:val="22"/>
                      <w:lang w:eastAsia="en-GB"/>
                    </w:rPr>
                    <w:t>20</w:t>
                  </w:r>
                </w:p>
              </w:tc>
            </w:tr>
            <w:tr w:rsidR="00F80497" w:rsidRPr="00CE67C3" w14:paraId="1825A5B7" w14:textId="77777777" w:rsidTr="00CA4CB1">
              <w:trPr>
                <w:trHeight w:val="60"/>
              </w:trPr>
              <w:tc>
                <w:tcPr>
                  <w:tcW w:w="4536" w:type="dxa"/>
                  <w:shd w:val="clear" w:color="auto" w:fill="F2F2F2" w:themeFill="background1" w:themeFillShade="F2"/>
                  <w:noWrap/>
                  <w:tcMar>
                    <w:top w:w="0" w:type="dxa"/>
                    <w:left w:w="108" w:type="dxa"/>
                    <w:bottom w:w="0" w:type="dxa"/>
                    <w:right w:w="108" w:type="dxa"/>
                  </w:tcMar>
                  <w:vAlign w:val="bottom"/>
                  <w:hideMark/>
                </w:tcPr>
                <w:p w14:paraId="337567C1" w14:textId="77777777" w:rsidR="00F80497" w:rsidRPr="00CE67C3" w:rsidRDefault="00F80497" w:rsidP="00F80497">
                  <w:pPr>
                    <w:keepLines/>
                    <w:rPr>
                      <w:rFonts w:ascii="Arial" w:hAnsi="Arial" w:cs="Arial"/>
                      <w:sz w:val="22"/>
                      <w:szCs w:val="22"/>
                      <w:lang w:eastAsia="en-GB"/>
                    </w:rPr>
                  </w:pPr>
                  <w:r w:rsidRPr="00CE67C3">
                    <w:rPr>
                      <w:rFonts w:ascii="Arial" w:hAnsi="Arial" w:cs="Arial"/>
                      <w:sz w:val="22"/>
                      <w:szCs w:val="22"/>
                      <w:lang w:eastAsia="en-GB"/>
                    </w:rPr>
                    <w:t>Apixaban (0208020Z0)</w:t>
                  </w:r>
                </w:p>
              </w:tc>
              <w:tc>
                <w:tcPr>
                  <w:tcW w:w="1985" w:type="dxa"/>
                  <w:shd w:val="clear" w:color="auto" w:fill="F2F2F2" w:themeFill="background1" w:themeFillShade="F2"/>
                  <w:noWrap/>
                  <w:tcMar>
                    <w:top w:w="0" w:type="dxa"/>
                    <w:left w:w="108" w:type="dxa"/>
                    <w:bottom w:w="0" w:type="dxa"/>
                    <w:right w:w="108" w:type="dxa"/>
                  </w:tcMar>
                  <w:vAlign w:val="bottom"/>
                  <w:hideMark/>
                </w:tcPr>
                <w:p w14:paraId="3A1A25B7" w14:textId="77777777" w:rsidR="00F80497" w:rsidRPr="00CE67C3" w:rsidRDefault="00F80497" w:rsidP="00F80497">
                  <w:pPr>
                    <w:keepLines/>
                    <w:jc w:val="center"/>
                    <w:rPr>
                      <w:rFonts w:ascii="Arial" w:hAnsi="Arial" w:cs="Arial"/>
                      <w:sz w:val="22"/>
                      <w:szCs w:val="22"/>
                      <w:lang w:eastAsia="en-GB"/>
                    </w:rPr>
                  </w:pPr>
                  <w:r w:rsidRPr="00CE67C3">
                    <w:rPr>
                      <w:rFonts w:ascii="Arial" w:hAnsi="Arial" w:cs="Arial"/>
                      <w:sz w:val="22"/>
                      <w:szCs w:val="22"/>
                      <w:lang w:eastAsia="en-GB"/>
                    </w:rPr>
                    <w:t>10</w:t>
                  </w:r>
                </w:p>
              </w:tc>
            </w:tr>
          </w:tbl>
          <w:p w14:paraId="775314D9" w14:textId="77777777" w:rsidR="00F80497" w:rsidRDefault="00F80497" w:rsidP="00F80497">
            <w:pPr>
              <w:keepLines/>
              <w:spacing w:after="0" w:line="240" w:lineRule="auto"/>
              <w:rPr>
                <w:rFonts w:ascii="Arial" w:eastAsia="Times New Roman" w:hAnsi="Arial" w:cs="Arial"/>
                <w:bCs w:val="0"/>
                <w:sz w:val="22"/>
                <w:szCs w:val="22"/>
                <w:lang w:eastAsia="en-GB"/>
              </w:rPr>
            </w:pPr>
          </w:p>
          <w:p w14:paraId="751C0D04" w14:textId="77777777" w:rsidR="00F80497" w:rsidRPr="4257620F" w:rsidRDefault="00F80497" w:rsidP="00F80497">
            <w:pPr>
              <w:spacing w:after="0" w:line="240" w:lineRule="auto"/>
              <w:rPr>
                <w:rFonts w:ascii="Arial" w:eastAsia="Times New Roman" w:hAnsi="Arial" w:cs="Arial"/>
                <w:sz w:val="22"/>
                <w:szCs w:val="22"/>
                <w:lang w:eastAsia="en-GB"/>
              </w:rPr>
            </w:pPr>
          </w:p>
        </w:tc>
      </w:tr>
      <w:tr w:rsidR="00F80497" w:rsidRPr="00C23E6D" w14:paraId="7F54394C" w14:textId="77777777" w:rsidTr="4257620F">
        <w:trPr>
          <w:trHeight w:val="51"/>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0B3714F" w14:textId="77777777" w:rsidR="00F80497" w:rsidRPr="00CE67C3" w:rsidRDefault="00F80497" w:rsidP="00F8049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Other inclusion or exclusion criteria:</w:t>
            </w:r>
          </w:p>
        </w:tc>
        <w:tc>
          <w:tcPr>
            <w:tcW w:w="7036" w:type="dxa"/>
            <w:tcBorders>
              <w:top w:val="single" w:sz="4" w:space="0" w:color="auto"/>
              <w:left w:val="nil"/>
              <w:bottom w:val="single" w:sz="4" w:space="0" w:color="auto"/>
              <w:right w:val="single" w:sz="4" w:space="0" w:color="auto"/>
            </w:tcBorders>
            <w:shd w:val="clear" w:color="auto" w:fill="auto"/>
            <w:hideMark/>
          </w:tcPr>
          <w:p w14:paraId="10BC9447" w14:textId="77777777" w:rsidR="00F80497" w:rsidRDefault="00F80497" w:rsidP="00F80497">
            <w:pPr>
              <w:spacing w:after="0" w:line="240" w:lineRule="auto"/>
              <w:rPr>
                <w:rFonts w:ascii="Arial" w:eastAsia="Times New Roman" w:hAnsi="Arial" w:cs="Arial"/>
                <w:sz w:val="22"/>
                <w:szCs w:val="22"/>
                <w:lang w:eastAsia="en-GB"/>
              </w:rPr>
            </w:pPr>
            <w:r w:rsidRPr="4257620F">
              <w:rPr>
                <w:rFonts w:ascii="Arial" w:eastAsia="Times New Roman" w:hAnsi="Arial" w:cs="Arial"/>
                <w:sz w:val="22"/>
                <w:szCs w:val="22"/>
                <w:lang w:eastAsia="en-GB"/>
              </w:rPr>
              <w:t>Includes active English Primary Care Prescribing Cost Centres (linked to SICBLs)</w:t>
            </w:r>
          </w:p>
          <w:p w14:paraId="4F0EA171" w14:textId="0628C34A" w:rsidR="00F80497" w:rsidRPr="00CE67C3" w:rsidRDefault="00F80497" w:rsidP="00F80497">
            <w:pPr>
              <w:spacing w:after="0" w:line="240" w:lineRule="auto"/>
              <w:rPr>
                <w:rFonts w:ascii="Arial" w:eastAsia="Times New Roman" w:hAnsi="Arial" w:cs="Arial"/>
                <w:color w:val="FF0000"/>
                <w:sz w:val="22"/>
                <w:szCs w:val="22"/>
                <w:lang w:eastAsia="en-GB"/>
              </w:rPr>
            </w:pPr>
          </w:p>
        </w:tc>
      </w:tr>
    </w:tbl>
    <w:p w14:paraId="5249242A" w14:textId="640E45A8" w:rsidR="4257620F" w:rsidRDefault="4257620F"/>
    <w:p w14:paraId="3FF0EEDB" w14:textId="462A21D9" w:rsidR="008C050A" w:rsidRPr="008C050A" w:rsidRDefault="008C050A" w:rsidP="008C050A">
      <w:pPr>
        <w:rPr>
          <w:rFonts w:asciiTheme="majorHAnsi" w:eastAsiaTheme="majorEastAsia" w:hAnsiTheme="majorHAnsi" w:cstheme="majorBidi"/>
          <w:color w:val="005EB8" w:themeColor="text2"/>
          <w:sz w:val="24"/>
          <w:szCs w:val="26"/>
        </w:rPr>
      </w:pPr>
      <w:r>
        <w:br w:type="page"/>
      </w:r>
    </w:p>
    <w:p w14:paraId="52FE3E90" w14:textId="5F725342" w:rsidR="009B7AA8" w:rsidRDefault="009B7AA8" w:rsidP="009B7AA8">
      <w:pPr>
        <w:pStyle w:val="Heading2"/>
      </w:pPr>
      <w:bookmarkStart w:id="16" w:name="_Toc172291528"/>
      <w:r>
        <w:lastRenderedPageBreak/>
        <w:t>Metric 11.Carbon emissions from inhalers</w:t>
      </w:r>
      <w:bookmarkEnd w:id="16"/>
    </w:p>
    <w:tbl>
      <w:tblPr>
        <w:tblW w:w="8920" w:type="dxa"/>
        <w:tblLook w:val="04A0" w:firstRow="1" w:lastRow="0" w:firstColumn="1" w:lastColumn="0" w:noHBand="0" w:noVBand="1"/>
      </w:tblPr>
      <w:tblGrid>
        <w:gridCol w:w="2120"/>
        <w:gridCol w:w="6800"/>
      </w:tblGrid>
      <w:tr w:rsidR="00C23E6D" w:rsidRPr="00C23E6D" w14:paraId="51CF28F0"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0C0DF8E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0F1272EA"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Carbon emissions from inhalers</w:t>
            </w:r>
          </w:p>
        </w:tc>
      </w:tr>
      <w:tr w:rsidR="00C23E6D" w:rsidRPr="00C23E6D" w14:paraId="77AED504"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362664B"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40FAFC53"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Improving respiratory outcomes while reducing the carbon emissions from inhalers</w:t>
            </w:r>
          </w:p>
        </w:tc>
      </w:tr>
      <w:tr w:rsidR="00C23E6D" w:rsidRPr="00C23E6D" w14:paraId="6142A6CB"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92EE4A1"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6705B6CC" w14:textId="7780631C" w:rsidR="00C23E6D" w:rsidRPr="00C23E6D"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186A6C57" w:rsidRPr="4257620F">
              <w:rPr>
                <w:rFonts w:ascii="Arial" w:eastAsia="Times New Roman" w:hAnsi="Arial" w:cs="Arial"/>
                <w:color w:val="000000" w:themeColor="text1"/>
                <w:sz w:val="22"/>
                <w:szCs w:val="22"/>
                <w:lang w:eastAsia="en-GB"/>
              </w:rPr>
              <w:t xml:space="preserve"> care</w:t>
            </w:r>
          </w:p>
        </w:tc>
      </w:tr>
      <w:tr w:rsidR="00C23E6D" w:rsidRPr="00C23E6D" w14:paraId="454D6369"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505AF28"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561D8392" w14:textId="06C52943"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Greenhouse gas emissions (kgCO2e) from inhalers per patient</w:t>
            </w:r>
          </w:p>
        </w:tc>
      </w:tr>
      <w:tr w:rsidR="00C23E6D" w:rsidRPr="00C23E6D" w14:paraId="24DBEC72"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44EB9826"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1D38BDF4"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Lower</w:t>
            </w:r>
          </w:p>
        </w:tc>
      </w:tr>
      <w:tr w:rsidR="00C23E6D" w:rsidRPr="00C23E6D" w14:paraId="19C37B5D"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40A8ABC"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4379266A" w14:textId="390FC3C4"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xml:space="preserve">The volume of </w:t>
            </w:r>
            <w:r w:rsidR="00D5547B">
              <w:rPr>
                <w:rFonts w:ascii="Arial" w:eastAsia="Times New Roman" w:hAnsi="Arial" w:cs="Arial"/>
                <w:bCs w:val="0"/>
                <w:color w:val="000000"/>
                <w:sz w:val="22"/>
                <w:szCs w:val="22"/>
                <w:lang w:eastAsia="en-GB"/>
              </w:rPr>
              <w:t xml:space="preserve">greenhouse gas </w:t>
            </w:r>
            <w:r w:rsidRPr="00C23E6D">
              <w:rPr>
                <w:rFonts w:ascii="Arial" w:eastAsia="Times New Roman" w:hAnsi="Arial" w:cs="Arial"/>
                <w:bCs w:val="0"/>
                <w:color w:val="000000"/>
                <w:sz w:val="22"/>
                <w:szCs w:val="22"/>
                <w:lang w:eastAsia="en-GB"/>
              </w:rPr>
              <w:t xml:space="preserve">emissions </w:t>
            </w:r>
            <w:r w:rsidR="00DA31CA">
              <w:rPr>
                <w:rFonts w:ascii="Arial" w:eastAsia="Times New Roman" w:hAnsi="Arial" w:cs="Arial"/>
                <w:bCs w:val="0"/>
                <w:color w:val="000000"/>
                <w:sz w:val="22"/>
                <w:szCs w:val="22"/>
                <w:lang w:eastAsia="en-GB"/>
              </w:rPr>
              <w:t>from</w:t>
            </w:r>
            <w:r w:rsidRPr="00C23E6D">
              <w:rPr>
                <w:rFonts w:ascii="Arial" w:eastAsia="Times New Roman" w:hAnsi="Arial" w:cs="Arial"/>
                <w:bCs w:val="0"/>
                <w:color w:val="000000"/>
                <w:sz w:val="22"/>
                <w:szCs w:val="22"/>
                <w:lang w:eastAsia="en-GB"/>
              </w:rPr>
              <w:t xml:space="preserve"> inhalers (in kgCO2e) in a </w:t>
            </w:r>
            <w:r w:rsidR="00DA31CA">
              <w:rPr>
                <w:rFonts w:ascii="Arial" w:eastAsia="Times New Roman" w:hAnsi="Arial" w:cs="Arial"/>
                <w:bCs w:val="0"/>
                <w:color w:val="000000"/>
                <w:sz w:val="22"/>
                <w:szCs w:val="22"/>
                <w:lang w:eastAsia="en-GB"/>
              </w:rPr>
              <w:t>3</w:t>
            </w:r>
            <w:r w:rsidR="00DA31CA" w:rsidRPr="00C23E6D">
              <w:rPr>
                <w:rFonts w:ascii="Arial" w:eastAsia="Times New Roman" w:hAnsi="Arial" w:cs="Arial"/>
                <w:bCs w:val="0"/>
                <w:color w:val="000000"/>
                <w:sz w:val="22"/>
                <w:szCs w:val="22"/>
                <w:lang w:eastAsia="en-GB"/>
              </w:rPr>
              <w:t xml:space="preserve"> </w:t>
            </w:r>
            <w:r w:rsidRPr="00C23E6D">
              <w:rPr>
                <w:rFonts w:ascii="Arial" w:eastAsia="Times New Roman" w:hAnsi="Arial" w:cs="Arial"/>
                <w:bCs w:val="0"/>
                <w:color w:val="000000"/>
                <w:sz w:val="22"/>
                <w:szCs w:val="22"/>
                <w:lang w:eastAsia="en-GB"/>
              </w:rPr>
              <w:t xml:space="preserve">month </w:t>
            </w:r>
            <w:r w:rsidR="00DA31CA">
              <w:rPr>
                <w:rFonts w:ascii="Arial" w:eastAsia="Times New Roman" w:hAnsi="Arial" w:cs="Arial"/>
                <w:bCs w:val="0"/>
                <w:color w:val="000000"/>
                <w:sz w:val="22"/>
                <w:szCs w:val="22"/>
                <w:lang w:eastAsia="en-GB"/>
              </w:rPr>
              <w:t>rolling period</w:t>
            </w:r>
          </w:p>
        </w:tc>
      </w:tr>
      <w:tr w:rsidR="00C23E6D" w:rsidRPr="00C23E6D" w14:paraId="3AD0CEDC"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B6063D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3BE4279F"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kilogrammes of carbon dioxide equivalent (kgCO2e)</w:t>
            </w:r>
          </w:p>
        </w:tc>
      </w:tr>
      <w:tr w:rsidR="00C23E6D" w:rsidRPr="00C23E6D" w14:paraId="37A70C53"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779CAE6D"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50DC8A00" w14:textId="2CD616F0"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Total number of patients prescribed one or more inhalers</w:t>
            </w:r>
            <w:r w:rsidR="00D5547B">
              <w:rPr>
                <w:rFonts w:ascii="Arial" w:eastAsia="Times New Roman" w:hAnsi="Arial" w:cs="Arial"/>
                <w:bCs w:val="0"/>
                <w:color w:val="000000"/>
                <w:sz w:val="22"/>
                <w:szCs w:val="22"/>
                <w:lang w:eastAsia="en-GB"/>
              </w:rPr>
              <w:t xml:space="preserve"> in a 3 month period. Each patient is counted once per month in which they were prescribed an inhaler.</w:t>
            </w:r>
          </w:p>
        </w:tc>
      </w:tr>
      <w:tr w:rsidR="00C23E6D" w:rsidRPr="00C23E6D" w14:paraId="5CFA0B68"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E909C54"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2CCA03A1" w14:textId="2C3ABBC6"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Patient</w:t>
            </w:r>
            <w:r w:rsidR="00D5547B">
              <w:rPr>
                <w:rFonts w:ascii="Arial" w:eastAsia="Times New Roman" w:hAnsi="Arial" w:cs="Arial"/>
                <w:bCs w:val="0"/>
                <w:color w:val="000000"/>
                <w:sz w:val="22"/>
                <w:szCs w:val="22"/>
                <w:lang w:eastAsia="en-GB"/>
              </w:rPr>
              <w:t>s (patient months)</w:t>
            </w:r>
          </w:p>
        </w:tc>
      </w:tr>
      <w:tr w:rsidR="00A00FD7" w:rsidRPr="00C23E6D" w14:paraId="3848725F" w14:textId="77777777" w:rsidTr="00F94D3C">
        <w:trPr>
          <w:trHeight w:val="327"/>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947F67" w14:textId="4C393AA0" w:rsidR="00A00FD7" w:rsidRPr="00C23E6D" w:rsidRDefault="00A00FD7" w:rsidP="00A00FD7">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Hyperlinks to supporting information </w:t>
            </w:r>
          </w:p>
        </w:tc>
        <w:tc>
          <w:tcPr>
            <w:tcW w:w="6800" w:type="dxa"/>
            <w:tcBorders>
              <w:top w:val="single" w:sz="4" w:space="0" w:color="auto"/>
              <w:left w:val="nil"/>
              <w:bottom w:val="nil"/>
              <w:right w:val="single" w:sz="4" w:space="0" w:color="auto"/>
            </w:tcBorders>
            <w:shd w:val="clear" w:color="auto" w:fill="auto"/>
            <w:hideMark/>
          </w:tcPr>
          <w:p w14:paraId="7EE87E76" w14:textId="597CACC1" w:rsidR="00A00FD7" w:rsidRPr="00E85490" w:rsidRDefault="00430238" w:rsidP="009C5723">
            <w:pPr>
              <w:pStyle w:val="Hyperlinkinpara"/>
            </w:pPr>
            <w:hyperlink r:id="rId35" w:history="1">
              <w:r w:rsidR="00A00FD7" w:rsidRPr="00E85490">
                <w:rPr>
                  <w:rStyle w:val="Hyperlink"/>
                  <w:color w:val="0072CE"/>
                </w:rPr>
                <w:t>Greener NHS Dashboard - Inhaler emissions - Requires login</w:t>
              </w:r>
            </w:hyperlink>
          </w:p>
        </w:tc>
      </w:tr>
      <w:tr w:rsidR="00A00FD7" w:rsidRPr="00C23E6D" w14:paraId="586EB78B" w14:textId="77777777" w:rsidTr="00F94D3C">
        <w:trPr>
          <w:trHeight w:val="50"/>
        </w:trPr>
        <w:tc>
          <w:tcPr>
            <w:tcW w:w="2120" w:type="dxa"/>
            <w:vMerge/>
            <w:tcBorders>
              <w:left w:val="single" w:sz="4" w:space="0" w:color="auto"/>
              <w:bottom w:val="single" w:sz="4" w:space="0" w:color="auto"/>
              <w:right w:val="single" w:sz="4" w:space="0" w:color="auto"/>
            </w:tcBorders>
            <w:hideMark/>
          </w:tcPr>
          <w:p w14:paraId="4E5889F1" w14:textId="795FF774" w:rsidR="00A00FD7" w:rsidRPr="00C23E6D" w:rsidRDefault="00A00FD7" w:rsidP="00C23E6D">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hideMark/>
          </w:tcPr>
          <w:p w14:paraId="35B0BDD0" w14:textId="77777777" w:rsidR="00A00FD7" w:rsidRPr="002F1FFC" w:rsidRDefault="00430238" w:rsidP="009C5723">
            <w:pPr>
              <w:pStyle w:val="Hyperlinkinpara"/>
            </w:pPr>
            <w:hyperlink r:id="rId36" w:tgtFrame="_parent" w:history="1">
              <w:r w:rsidR="00A00FD7" w:rsidRPr="00E85490">
                <w:rPr>
                  <w:rStyle w:val="Hyperlink"/>
                  <w:color w:val="0072CE"/>
                </w:rPr>
                <w:t>OpenPrescribing - Environmental impact of inhalers</w:t>
              </w:r>
            </w:hyperlink>
          </w:p>
        </w:tc>
      </w:tr>
      <w:tr w:rsidR="00C23E6D" w:rsidRPr="00C23E6D" w14:paraId="13BC5327" w14:textId="77777777" w:rsidTr="00F94D3C">
        <w:trPr>
          <w:trHeight w:val="626"/>
        </w:trPr>
        <w:tc>
          <w:tcPr>
            <w:tcW w:w="2120" w:type="dxa"/>
            <w:tcBorders>
              <w:top w:val="single" w:sz="4" w:space="0" w:color="auto"/>
              <w:left w:val="single" w:sz="4" w:space="0" w:color="auto"/>
              <w:bottom w:val="nil"/>
              <w:right w:val="single" w:sz="4" w:space="0" w:color="auto"/>
            </w:tcBorders>
            <w:shd w:val="clear" w:color="auto" w:fill="auto"/>
            <w:hideMark/>
          </w:tcPr>
          <w:p w14:paraId="2BE2C4CF"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Notes</w:t>
            </w:r>
          </w:p>
        </w:tc>
        <w:tc>
          <w:tcPr>
            <w:tcW w:w="6800" w:type="dxa"/>
            <w:tcBorders>
              <w:top w:val="single" w:sz="4" w:space="0" w:color="auto"/>
              <w:left w:val="nil"/>
              <w:bottom w:val="nil"/>
              <w:right w:val="single" w:sz="4" w:space="0" w:color="auto"/>
            </w:tcBorders>
            <w:shd w:val="clear" w:color="auto" w:fill="auto"/>
            <w:hideMark/>
          </w:tcPr>
          <w:p w14:paraId="35A4F0F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xml:space="preserve">When exact emissions are not known average emissions values for inhalers based on device type and therapeutic group are used </w:t>
            </w:r>
          </w:p>
        </w:tc>
      </w:tr>
      <w:tr w:rsidR="00C23E6D" w:rsidRPr="00C23E6D" w14:paraId="652316F8" w14:textId="77777777" w:rsidTr="4257620F">
        <w:trPr>
          <w:trHeight w:val="418"/>
        </w:trPr>
        <w:tc>
          <w:tcPr>
            <w:tcW w:w="2120" w:type="dxa"/>
            <w:tcBorders>
              <w:top w:val="nil"/>
              <w:left w:val="single" w:sz="4" w:space="0" w:color="auto"/>
              <w:bottom w:val="nil"/>
              <w:right w:val="single" w:sz="4" w:space="0" w:color="auto"/>
            </w:tcBorders>
            <w:shd w:val="clear" w:color="auto" w:fill="auto"/>
            <w:hideMark/>
          </w:tcPr>
          <w:p w14:paraId="3ACEAD79"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25E1DE8A" w14:textId="77777777" w:rsidR="00C23E6D" w:rsidRPr="00E6388E" w:rsidRDefault="00C23E6D" w:rsidP="00C23E6D">
            <w:pPr>
              <w:spacing w:after="0" w:line="240" w:lineRule="auto"/>
              <w:rPr>
                <w:rFonts w:ascii="Arial" w:eastAsia="Times New Roman" w:hAnsi="Arial" w:cs="Arial"/>
                <w:bCs w:val="0"/>
                <w:color w:val="000000"/>
                <w:sz w:val="22"/>
                <w:szCs w:val="22"/>
                <w:lang w:eastAsia="en-GB"/>
              </w:rPr>
            </w:pPr>
            <w:r w:rsidRPr="00E6388E">
              <w:rPr>
                <w:rFonts w:ascii="Arial" w:eastAsia="Times New Roman" w:hAnsi="Arial" w:cs="Arial"/>
                <w:bCs w:val="0"/>
                <w:color w:val="000000"/>
                <w:sz w:val="22"/>
                <w:szCs w:val="22"/>
                <w:lang w:eastAsia="en-GB"/>
              </w:rPr>
              <w:t>Patients may appear in the denominator for multiple organisations</w:t>
            </w:r>
          </w:p>
        </w:tc>
      </w:tr>
      <w:tr w:rsidR="00E6388E" w:rsidRPr="00E6388E" w14:paraId="677E7B36"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E3502D6" w14:textId="77777777" w:rsidR="00C23E6D" w:rsidRPr="00E85490" w:rsidRDefault="00C23E6D" w:rsidP="00C23E6D">
            <w:pPr>
              <w:spacing w:after="0" w:line="240" w:lineRule="auto"/>
              <w:rPr>
                <w:rFonts w:ascii="Arial" w:eastAsia="Times New Roman" w:hAnsi="Arial" w:cs="Arial"/>
                <w:bCs w:val="0"/>
                <w:color w:val="000000" w:themeColor="text1"/>
                <w:sz w:val="22"/>
                <w:szCs w:val="22"/>
                <w:lang w:eastAsia="en-GB"/>
              </w:rPr>
            </w:pPr>
            <w:r w:rsidRPr="00E85490">
              <w:rPr>
                <w:rFonts w:ascii="Arial" w:eastAsia="Times New Roman" w:hAnsi="Arial" w:cs="Arial"/>
                <w:bCs w:val="0"/>
                <w:color w:val="000000" w:themeColor="text1"/>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22BA7DF2" w14:textId="0F8F1C4F" w:rsidR="00C23E6D" w:rsidRPr="00E85490" w:rsidRDefault="00C23E6D" w:rsidP="00C23E6D">
            <w:pPr>
              <w:spacing w:after="0" w:line="240" w:lineRule="auto"/>
              <w:rPr>
                <w:rFonts w:ascii="Arial" w:eastAsia="Times New Roman" w:hAnsi="Arial" w:cs="Arial"/>
                <w:bCs w:val="0"/>
                <w:color w:val="000000" w:themeColor="text1"/>
                <w:sz w:val="22"/>
                <w:szCs w:val="22"/>
                <w:lang w:eastAsia="en-GB"/>
              </w:rPr>
            </w:pPr>
            <w:r w:rsidRPr="00E85490">
              <w:rPr>
                <w:rFonts w:ascii="Arial" w:eastAsia="Times New Roman" w:hAnsi="Arial" w:cs="Arial"/>
                <w:bCs w:val="0"/>
                <w:color w:val="000000" w:themeColor="text1"/>
                <w:sz w:val="22"/>
                <w:szCs w:val="22"/>
                <w:lang w:eastAsia="en-GB"/>
              </w:rPr>
              <w:t>Figures may not match the more detailed Greener NHS metrics exactly due differences in the data source for national data, simplification in emissions factor assumptions and the treatment of practices and other types of prescribing organisation.</w:t>
            </w:r>
          </w:p>
        </w:tc>
      </w:tr>
      <w:tr w:rsidR="00E6388E" w:rsidRPr="00E6388E" w14:paraId="56176638"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A49BFB3" w14:textId="77777777" w:rsidR="00C23E6D" w:rsidRPr="00E85490" w:rsidRDefault="00C23E6D" w:rsidP="00C23E6D">
            <w:pPr>
              <w:spacing w:after="0" w:line="240" w:lineRule="auto"/>
              <w:rPr>
                <w:rFonts w:ascii="Arial" w:eastAsia="Times New Roman" w:hAnsi="Arial" w:cs="Arial"/>
                <w:bCs w:val="0"/>
                <w:color w:val="000000" w:themeColor="text1"/>
                <w:sz w:val="22"/>
                <w:szCs w:val="22"/>
                <w:lang w:eastAsia="en-GB"/>
              </w:rPr>
            </w:pPr>
            <w:r w:rsidRPr="00E85490">
              <w:rPr>
                <w:rFonts w:ascii="Arial" w:eastAsia="Times New Roman" w:hAnsi="Arial" w:cs="Arial"/>
                <w:bCs w:val="0"/>
                <w:color w:val="000000" w:themeColor="text1"/>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7A4C243E" w14:textId="4F080784" w:rsidR="00C23E6D" w:rsidRPr="00E85490" w:rsidRDefault="00D5547B" w:rsidP="00C23E6D">
            <w:pPr>
              <w:rPr>
                <w:color w:val="000000" w:themeColor="text1"/>
              </w:rPr>
            </w:pPr>
            <w:r w:rsidRPr="00E85490">
              <w:rPr>
                <w:rFonts w:ascii="Arial" w:eastAsia="Times New Roman" w:hAnsi="Arial" w:cs="Arial"/>
                <w:bCs w:val="0"/>
                <w:color w:val="000000" w:themeColor="text1"/>
                <w:sz w:val="22"/>
                <w:szCs w:val="22"/>
                <w:lang w:eastAsia="en-GB"/>
              </w:rPr>
              <w:t xml:space="preserve">See Appendix 1 for a description of the inhalers and GHG emissions factors used. </w:t>
            </w:r>
          </w:p>
        </w:tc>
      </w:tr>
      <w:tr w:rsidR="00E6388E" w:rsidRPr="00E6388E" w14:paraId="4A072366" w14:textId="77777777" w:rsidTr="4257620F">
        <w:trPr>
          <w:trHeight w:val="51"/>
        </w:trPr>
        <w:tc>
          <w:tcPr>
            <w:tcW w:w="2120" w:type="dxa"/>
            <w:tcBorders>
              <w:top w:val="nil"/>
              <w:left w:val="single" w:sz="4" w:space="0" w:color="auto"/>
              <w:bottom w:val="single" w:sz="4" w:space="0" w:color="auto"/>
              <w:right w:val="single" w:sz="4" w:space="0" w:color="auto"/>
            </w:tcBorders>
            <w:shd w:val="clear" w:color="auto" w:fill="auto"/>
            <w:hideMark/>
          </w:tcPr>
          <w:p w14:paraId="5AB94A62" w14:textId="77777777" w:rsidR="00C23E6D" w:rsidRPr="00E85490" w:rsidRDefault="00C23E6D" w:rsidP="00C23E6D">
            <w:pPr>
              <w:spacing w:after="0" w:line="240" w:lineRule="auto"/>
              <w:rPr>
                <w:rFonts w:ascii="Arial" w:eastAsia="Times New Roman" w:hAnsi="Arial" w:cs="Arial"/>
                <w:bCs w:val="0"/>
                <w:color w:val="000000" w:themeColor="text1"/>
                <w:sz w:val="22"/>
                <w:szCs w:val="22"/>
                <w:lang w:eastAsia="en-GB"/>
              </w:rPr>
            </w:pPr>
            <w:r w:rsidRPr="00E85490">
              <w:rPr>
                <w:rFonts w:ascii="Arial" w:eastAsia="Times New Roman" w:hAnsi="Arial" w:cs="Arial"/>
                <w:bCs w:val="0"/>
                <w:color w:val="000000" w:themeColor="text1"/>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hideMark/>
          </w:tcPr>
          <w:p w14:paraId="11677BDA" w14:textId="6B0F47E7" w:rsidR="00C23E6D" w:rsidRPr="00E85490" w:rsidRDefault="46B331A4" w:rsidP="4257620F">
            <w:pPr>
              <w:spacing w:after="0" w:line="240" w:lineRule="auto"/>
              <w:rPr>
                <w:rFonts w:ascii="Arial" w:eastAsia="Times New Roman" w:hAnsi="Arial" w:cs="Arial"/>
                <w:color w:val="000000" w:themeColor="text1"/>
                <w:sz w:val="22"/>
                <w:szCs w:val="22"/>
                <w:lang w:eastAsia="en-GB"/>
              </w:rPr>
            </w:pPr>
            <w:r w:rsidRPr="4257620F">
              <w:rPr>
                <w:rFonts w:ascii="Arial" w:eastAsia="Times New Roman" w:hAnsi="Arial" w:cs="Arial"/>
                <w:sz w:val="22"/>
                <w:szCs w:val="22"/>
                <w:lang w:eastAsia="en-GB"/>
              </w:rPr>
              <w:t xml:space="preserve">Includes </w:t>
            </w:r>
            <w:r w:rsidRPr="4257620F">
              <w:rPr>
                <w:rFonts w:ascii="Arial" w:eastAsia="Times New Roman" w:hAnsi="Arial" w:cs="Arial"/>
                <w:color w:val="000000" w:themeColor="text1"/>
                <w:sz w:val="22"/>
                <w:szCs w:val="22"/>
                <w:lang w:eastAsia="en-GB"/>
              </w:rPr>
              <w:t>a</w:t>
            </w:r>
            <w:r w:rsidR="71D2DD40" w:rsidRPr="4257620F">
              <w:rPr>
                <w:rFonts w:ascii="Arial" w:eastAsia="Times New Roman" w:hAnsi="Arial" w:cs="Arial"/>
                <w:color w:val="000000" w:themeColor="text1"/>
                <w:sz w:val="22"/>
                <w:szCs w:val="22"/>
                <w:lang w:eastAsia="en-GB"/>
              </w:rPr>
              <w:t xml:space="preserve">ctive English </w:t>
            </w:r>
            <w:r w:rsidR="223EDFBF" w:rsidRPr="4257620F">
              <w:rPr>
                <w:rFonts w:ascii="Arial" w:eastAsia="Times New Roman" w:hAnsi="Arial" w:cs="Arial"/>
                <w:color w:val="000000" w:themeColor="text1"/>
                <w:sz w:val="22"/>
                <w:szCs w:val="22"/>
                <w:lang w:eastAsia="en-GB"/>
              </w:rPr>
              <w:t>GP Practices</w:t>
            </w:r>
            <w:r w:rsidR="3600D8CA" w:rsidRPr="4257620F">
              <w:rPr>
                <w:rFonts w:ascii="Arial" w:eastAsia="Times New Roman" w:hAnsi="Arial" w:cs="Arial"/>
                <w:color w:val="000000" w:themeColor="text1"/>
                <w:sz w:val="22"/>
                <w:szCs w:val="22"/>
                <w:lang w:eastAsia="en-GB"/>
              </w:rPr>
              <w:t xml:space="preserve"> and i</w:t>
            </w:r>
            <w:r w:rsidR="223EDFBF" w:rsidRPr="4257620F">
              <w:rPr>
                <w:rFonts w:ascii="Arial" w:eastAsia="Times New Roman" w:hAnsi="Arial" w:cs="Arial"/>
                <w:color w:val="000000" w:themeColor="text1"/>
                <w:sz w:val="22"/>
                <w:szCs w:val="22"/>
                <w:lang w:eastAsia="en-GB"/>
              </w:rPr>
              <w:t>tems with identified patients only</w:t>
            </w:r>
          </w:p>
        </w:tc>
      </w:tr>
    </w:tbl>
    <w:p w14:paraId="5B2716D0" w14:textId="1A4137FE" w:rsidR="009B7AA8" w:rsidRPr="009C5723" w:rsidRDefault="009B7AA8">
      <w:pPr>
        <w:rPr>
          <w:rFonts w:asciiTheme="majorHAnsi" w:eastAsiaTheme="majorEastAsia" w:hAnsiTheme="majorHAnsi" w:cstheme="majorBidi"/>
          <w:color w:val="000000" w:themeColor="text1"/>
          <w:sz w:val="24"/>
          <w:szCs w:val="26"/>
        </w:rPr>
      </w:pPr>
      <w:r w:rsidRPr="009C5723">
        <w:rPr>
          <w:color w:val="000000" w:themeColor="text1"/>
        </w:rPr>
        <w:br w:type="page"/>
      </w:r>
    </w:p>
    <w:p w14:paraId="7EB2EFF4" w14:textId="30F5A77C" w:rsidR="009B7AA8" w:rsidRDefault="009B7AA8" w:rsidP="009B7AA8">
      <w:pPr>
        <w:pStyle w:val="Heading2"/>
      </w:pPr>
      <w:bookmarkStart w:id="17" w:name="_Toc172291529"/>
      <w:r>
        <w:lastRenderedPageBreak/>
        <w:t>Metric 12.Valproate safety</w:t>
      </w:r>
      <w:bookmarkEnd w:id="17"/>
    </w:p>
    <w:tbl>
      <w:tblPr>
        <w:tblW w:w="8920" w:type="dxa"/>
        <w:tblLook w:val="04A0" w:firstRow="1" w:lastRow="0" w:firstColumn="1" w:lastColumn="0" w:noHBand="0" w:noVBand="1"/>
      </w:tblPr>
      <w:tblGrid>
        <w:gridCol w:w="2120"/>
        <w:gridCol w:w="6800"/>
      </w:tblGrid>
      <w:tr w:rsidR="00C23E6D" w:rsidRPr="00C23E6D" w14:paraId="4A31A322"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8FE8F73"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18D1F85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Valproate safety</w:t>
            </w:r>
          </w:p>
        </w:tc>
      </w:tr>
      <w:tr w:rsidR="00C23E6D" w:rsidRPr="00C23E6D" w14:paraId="79AE5AB1"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D4C34A7"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1F8CDAB0"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Improving valproate safety</w:t>
            </w:r>
          </w:p>
        </w:tc>
      </w:tr>
      <w:tr w:rsidR="00C23E6D" w:rsidRPr="00C23E6D" w14:paraId="33DC2000"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30DA2074"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3B1BC833" w14:textId="6D961841" w:rsidR="00C23E6D" w:rsidRPr="00CE67C3"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027A3959" w:rsidRPr="4257620F">
              <w:rPr>
                <w:rFonts w:ascii="Arial" w:eastAsia="Times New Roman" w:hAnsi="Arial" w:cs="Arial"/>
                <w:color w:val="000000" w:themeColor="text1"/>
                <w:sz w:val="22"/>
                <w:szCs w:val="22"/>
                <w:lang w:eastAsia="en-GB"/>
              </w:rPr>
              <w:t xml:space="preserve"> care</w:t>
            </w:r>
          </w:p>
        </w:tc>
      </w:tr>
      <w:tr w:rsidR="00C23E6D" w:rsidRPr="00C23E6D" w14:paraId="4696CA33"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EC460D1"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6EC2E9F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Female patients prescribed valproate per 1,000 population</w:t>
            </w:r>
          </w:p>
        </w:tc>
      </w:tr>
      <w:tr w:rsidR="00C23E6D" w:rsidRPr="00C23E6D" w14:paraId="02B7C431"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1D7F127"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744B2AD9"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Lower</w:t>
            </w:r>
          </w:p>
        </w:tc>
      </w:tr>
      <w:tr w:rsidR="00C23E6D" w:rsidRPr="00C23E6D" w14:paraId="60A0BFF6"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EEE3AEE"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74579FF7"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Number of female patients in the age band 13-54 in the three-month period, who have been prescribed one or more items of a valproate product</w:t>
            </w:r>
          </w:p>
        </w:tc>
      </w:tr>
      <w:tr w:rsidR="00C23E6D" w:rsidRPr="00C23E6D" w14:paraId="298C8732"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1F13CAD"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6EB1796F"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Patients</w:t>
            </w:r>
          </w:p>
        </w:tc>
      </w:tr>
      <w:tr w:rsidR="00C23E6D" w:rsidRPr="00C23E6D" w14:paraId="53DCC6EC"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F2B43F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09DBE494"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Number of female patients in the age band 13-54, who are registered with GP practices, in the same three-month period</w:t>
            </w:r>
          </w:p>
        </w:tc>
      </w:tr>
      <w:tr w:rsidR="00C23E6D" w:rsidRPr="00C23E6D" w14:paraId="3B8925AA"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7C83EAC"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38193EC0"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List Size</w:t>
            </w:r>
          </w:p>
        </w:tc>
      </w:tr>
      <w:tr w:rsidR="00A00FD7" w:rsidRPr="00C23E6D" w14:paraId="37FA3FC1" w14:textId="77777777" w:rsidTr="00F94D3C">
        <w:trPr>
          <w:trHeight w:val="273"/>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776C367" w14:textId="3A21E202" w:rsidR="00A00FD7" w:rsidRPr="00CE67C3" w:rsidRDefault="00A00FD7" w:rsidP="00A00FD7">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Hyperlinks to supporting information </w:t>
            </w:r>
          </w:p>
        </w:tc>
        <w:tc>
          <w:tcPr>
            <w:tcW w:w="6800" w:type="dxa"/>
            <w:tcBorders>
              <w:top w:val="single" w:sz="4" w:space="0" w:color="auto"/>
              <w:left w:val="nil"/>
              <w:bottom w:val="nil"/>
              <w:right w:val="single" w:sz="4" w:space="0" w:color="auto"/>
            </w:tcBorders>
            <w:shd w:val="clear" w:color="auto" w:fill="auto"/>
            <w:hideMark/>
          </w:tcPr>
          <w:p w14:paraId="4232F553" w14:textId="0C6C1897" w:rsidR="00A00FD7" w:rsidRPr="00CE67C3" w:rsidRDefault="00430238" w:rsidP="009C5723">
            <w:pPr>
              <w:pStyle w:val="Hyperlinkinpara"/>
              <w:rPr>
                <w:rStyle w:val="Hyperlink"/>
                <w:color w:val="0072CE"/>
                <w:szCs w:val="22"/>
              </w:rPr>
            </w:pPr>
            <w:hyperlink r:id="rId37" w:history="1">
              <w:r w:rsidR="00A00FD7" w:rsidRPr="00CE67C3">
                <w:rPr>
                  <w:rStyle w:val="Hyperlink"/>
                  <w:color w:val="0072CE"/>
                  <w:szCs w:val="22"/>
                </w:rPr>
                <w:t>NHSBSA - Valproate safety dashboard - Summary webpage</w:t>
              </w:r>
            </w:hyperlink>
          </w:p>
        </w:tc>
      </w:tr>
      <w:tr w:rsidR="00A00FD7" w:rsidRPr="00C23E6D" w14:paraId="414A2425" w14:textId="77777777" w:rsidTr="00F94D3C">
        <w:trPr>
          <w:trHeight w:val="552"/>
        </w:trPr>
        <w:tc>
          <w:tcPr>
            <w:tcW w:w="2120" w:type="dxa"/>
            <w:vMerge/>
            <w:tcBorders>
              <w:left w:val="single" w:sz="4" w:space="0" w:color="auto"/>
              <w:bottom w:val="single" w:sz="4" w:space="0" w:color="auto"/>
              <w:right w:val="single" w:sz="4" w:space="0" w:color="auto"/>
            </w:tcBorders>
            <w:hideMark/>
          </w:tcPr>
          <w:p w14:paraId="166C9759" w14:textId="4FB4B925" w:rsidR="00A00FD7" w:rsidRPr="00CE67C3" w:rsidRDefault="00A00FD7" w:rsidP="00C23E6D">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hideMark/>
          </w:tcPr>
          <w:p w14:paraId="5EF6E8B4" w14:textId="29F810E7" w:rsidR="00A00FD7" w:rsidRPr="00CE67C3" w:rsidRDefault="00430238" w:rsidP="009C5723">
            <w:pPr>
              <w:pStyle w:val="Hyperlinkinpara"/>
              <w:rPr>
                <w:rStyle w:val="Hyperlink"/>
                <w:color w:val="0072CE"/>
                <w:szCs w:val="22"/>
              </w:rPr>
            </w:pPr>
            <w:hyperlink r:id="rId38" w:history="1">
              <w:r w:rsidR="00A00FD7" w:rsidRPr="00CE67C3">
                <w:rPr>
                  <w:rStyle w:val="Hyperlink"/>
                  <w:color w:val="0072CE"/>
                  <w:szCs w:val="22"/>
                </w:rPr>
                <w:t>NHS England - Medicines and Pregnancy Registry</w:t>
              </w:r>
            </w:hyperlink>
          </w:p>
        </w:tc>
      </w:tr>
      <w:tr w:rsidR="00C23E6D" w:rsidRPr="00C23E6D" w14:paraId="227BF364" w14:textId="77777777" w:rsidTr="00F94D3C">
        <w:trPr>
          <w:trHeight w:val="828"/>
        </w:trPr>
        <w:tc>
          <w:tcPr>
            <w:tcW w:w="2120" w:type="dxa"/>
            <w:tcBorders>
              <w:top w:val="single" w:sz="4" w:space="0" w:color="auto"/>
              <w:left w:val="single" w:sz="4" w:space="0" w:color="auto"/>
              <w:bottom w:val="nil"/>
              <w:right w:val="single" w:sz="4" w:space="0" w:color="auto"/>
            </w:tcBorders>
            <w:shd w:val="clear" w:color="auto" w:fill="auto"/>
            <w:hideMark/>
          </w:tcPr>
          <w:p w14:paraId="606D63C6"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Notes</w:t>
            </w:r>
          </w:p>
        </w:tc>
        <w:tc>
          <w:tcPr>
            <w:tcW w:w="6800" w:type="dxa"/>
            <w:tcBorders>
              <w:top w:val="single" w:sz="4" w:space="0" w:color="auto"/>
              <w:left w:val="nil"/>
              <w:bottom w:val="nil"/>
              <w:right w:val="single" w:sz="4" w:space="0" w:color="auto"/>
            </w:tcBorders>
            <w:shd w:val="clear" w:color="auto" w:fill="auto"/>
            <w:hideMark/>
          </w:tcPr>
          <w:p w14:paraId="5F99987E" w14:textId="12C7AC24" w:rsidR="00C23E6D" w:rsidRPr="00CE67C3" w:rsidRDefault="52709460" w:rsidP="00C23E6D">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This is a proxy metric as it does not fully reflect the safe prescribing of valproate, instead highlighting the e</w:t>
            </w:r>
            <w:r w:rsidR="33FEA1D7" w:rsidRPr="4257620F">
              <w:rPr>
                <w:rFonts w:ascii="Arial" w:eastAsia="Times New Roman" w:hAnsi="Arial" w:cs="Arial"/>
                <w:color w:val="000000" w:themeColor="text1"/>
                <w:sz w:val="22"/>
                <w:szCs w:val="22"/>
                <w:lang w:eastAsia="en-GB"/>
              </w:rPr>
              <w:t>xtent</w:t>
            </w:r>
            <w:r w:rsidRPr="4257620F">
              <w:rPr>
                <w:rFonts w:ascii="Arial" w:eastAsia="Times New Roman" w:hAnsi="Arial" w:cs="Arial"/>
                <w:color w:val="000000" w:themeColor="text1"/>
                <w:sz w:val="22"/>
                <w:szCs w:val="22"/>
                <w:lang w:eastAsia="en-GB"/>
              </w:rPr>
              <w:t xml:space="preserve"> of valproate prescribing. Please ensure that female patients taking valproate and with childbearing potential are participating in the Pregnancy Prevention Programme - please make use of your local data to investigate further.</w:t>
            </w:r>
          </w:p>
        </w:tc>
      </w:tr>
      <w:tr w:rsidR="00C23E6D" w:rsidRPr="00C23E6D" w14:paraId="756DB50E" w14:textId="77777777" w:rsidTr="4257620F">
        <w:trPr>
          <w:trHeight w:val="276"/>
        </w:trPr>
        <w:tc>
          <w:tcPr>
            <w:tcW w:w="2120" w:type="dxa"/>
            <w:tcBorders>
              <w:top w:val="nil"/>
              <w:left w:val="single" w:sz="4" w:space="0" w:color="auto"/>
              <w:bottom w:val="nil"/>
              <w:right w:val="single" w:sz="4" w:space="0" w:color="auto"/>
            </w:tcBorders>
            <w:shd w:val="clear" w:color="auto" w:fill="auto"/>
            <w:hideMark/>
          </w:tcPr>
          <w:p w14:paraId="08350019"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74517E7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C23E6D" w:rsidRPr="00C23E6D" w14:paraId="69796BE0"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CC7D6D8"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6989E094"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w:t>
            </w:r>
          </w:p>
        </w:tc>
      </w:tr>
      <w:tr w:rsidR="00C23E6D" w:rsidRPr="00C23E6D" w14:paraId="233C3556" w14:textId="77777777" w:rsidTr="004B2F6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22C4F9B"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457E52C0" w14:textId="77777777" w:rsidR="008311AC" w:rsidRPr="00CE67C3" w:rsidRDefault="008311AC" w:rsidP="004B2F6C">
            <w:pPr>
              <w:spacing w:before="240"/>
              <w:rPr>
                <w:rFonts w:ascii="Arial" w:hAnsi="Arial" w:cs="Arial"/>
                <w:sz w:val="22"/>
                <w:szCs w:val="22"/>
              </w:rPr>
            </w:pPr>
            <w:r w:rsidRPr="00CE67C3">
              <w:rPr>
                <w:rFonts w:ascii="Arial" w:eastAsia="Times New Roman" w:hAnsi="Arial" w:cs="Arial"/>
                <w:bCs w:val="0"/>
                <w:color w:val="000000"/>
                <w:sz w:val="22"/>
                <w:szCs w:val="22"/>
                <w:lang w:eastAsia="en-GB"/>
              </w:rPr>
              <w:t xml:space="preserve">The detailed list of medicines and specification can be found here: </w:t>
            </w:r>
            <w:hyperlink r:id="rId39" w:history="1">
              <w:r w:rsidRPr="00CE67C3">
                <w:rPr>
                  <w:rStyle w:val="Hyperlink"/>
                  <w:rFonts w:eastAsia="Times New Roman" w:cstheme="minorHAnsi"/>
                  <w:bCs w:val="0"/>
                  <w:color w:val="0072CE"/>
                  <w:sz w:val="22"/>
                  <w:szCs w:val="22"/>
                  <w:lang w:eastAsia="en-GB"/>
                </w:rPr>
                <w:t>NHSBSA - Valproate safety dashboard - Summary webpage</w:t>
              </w:r>
            </w:hyperlink>
            <w:r w:rsidRPr="00CE67C3">
              <w:rPr>
                <w:rStyle w:val="Hyperlink"/>
                <w:color w:val="0072CE"/>
                <w:sz w:val="22"/>
                <w:szCs w:val="22"/>
              </w:rPr>
              <w:br/>
            </w:r>
            <w:r w:rsidRPr="00CE67C3">
              <w:rPr>
                <w:rStyle w:val="Hyperlink"/>
                <w:color w:val="0072CE"/>
                <w:sz w:val="22"/>
                <w:szCs w:val="22"/>
              </w:rPr>
              <w:br/>
            </w:r>
            <w:r w:rsidRPr="00CE67C3">
              <w:rPr>
                <w:rFonts w:ascii="Arial" w:eastAsia="Times New Roman" w:hAnsi="Arial" w:cs="Arial"/>
                <w:bCs w:val="0"/>
                <w:color w:val="000000"/>
                <w:sz w:val="22"/>
                <w:szCs w:val="22"/>
                <w:lang w:eastAsia="en-GB"/>
              </w:rPr>
              <w:t>Medicines under the following chemical substances have been included in the indicators: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3276"/>
            </w:tblGrid>
            <w:tr w:rsidR="008311AC" w:rsidRPr="00CE67C3" w14:paraId="31E600E3" w14:textId="77777777" w:rsidTr="008311AC">
              <w:tc>
                <w:tcPr>
                  <w:tcW w:w="4814" w:type="dxa"/>
                  <w:shd w:val="clear" w:color="auto" w:fill="005EB8" w:themeFill="text2"/>
                </w:tcPr>
                <w:p w14:paraId="1A3969F7" w14:textId="77777777" w:rsidR="008311AC" w:rsidRPr="00CE67C3" w:rsidRDefault="008311AC" w:rsidP="004B2F6C">
                  <w:pPr>
                    <w:keepLines/>
                    <w:rPr>
                      <w:rFonts w:ascii="Arial" w:eastAsia="Times New Roman" w:hAnsi="Arial" w:cs="Arial"/>
                      <w:b/>
                      <w:color w:val="FFFFFF" w:themeColor="background1"/>
                      <w:sz w:val="22"/>
                      <w:szCs w:val="22"/>
                      <w:lang w:eastAsia="en-GB"/>
                    </w:rPr>
                  </w:pPr>
                  <w:bookmarkStart w:id="18" w:name="_3o7alnk"/>
                  <w:bookmarkEnd w:id="18"/>
                  <w:r w:rsidRPr="00CE67C3">
                    <w:rPr>
                      <w:rFonts w:ascii="Arial" w:eastAsia="Times New Roman" w:hAnsi="Arial" w:cs="Arial"/>
                      <w:b/>
                      <w:color w:val="FFFFFF" w:themeColor="background1"/>
                      <w:sz w:val="22"/>
                      <w:szCs w:val="22"/>
                      <w:lang w:eastAsia="en-GB"/>
                    </w:rPr>
                    <w:t>BNF Chemical Substance Code</w:t>
                  </w:r>
                </w:p>
              </w:tc>
              <w:tc>
                <w:tcPr>
                  <w:tcW w:w="4814" w:type="dxa"/>
                  <w:shd w:val="clear" w:color="auto" w:fill="005EB8" w:themeFill="text2"/>
                </w:tcPr>
                <w:p w14:paraId="27A2F6E2" w14:textId="77777777" w:rsidR="008311AC" w:rsidRPr="00CE67C3" w:rsidRDefault="008311AC" w:rsidP="004B2F6C">
                  <w:pPr>
                    <w:keepLines/>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Chemical Substance Name</w:t>
                  </w:r>
                </w:p>
              </w:tc>
            </w:tr>
            <w:tr w:rsidR="008311AC" w:rsidRPr="00CE67C3" w14:paraId="53AEE854" w14:textId="77777777" w:rsidTr="008311AC">
              <w:tc>
                <w:tcPr>
                  <w:tcW w:w="4814" w:type="dxa"/>
                  <w:shd w:val="clear" w:color="auto" w:fill="F2F2F2" w:themeFill="background1" w:themeFillShade="F2"/>
                </w:tcPr>
                <w:p w14:paraId="5FBCD490"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0408010W0</w:t>
                  </w:r>
                </w:p>
              </w:tc>
              <w:tc>
                <w:tcPr>
                  <w:tcW w:w="4814" w:type="dxa"/>
                  <w:shd w:val="clear" w:color="auto" w:fill="F2F2F2" w:themeFill="background1" w:themeFillShade="F2"/>
                </w:tcPr>
                <w:p w14:paraId="6A3378D1"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Sodium Valproate</w:t>
                  </w:r>
                </w:p>
              </w:tc>
            </w:tr>
            <w:tr w:rsidR="008311AC" w:rsidRPr="00CE67C3" w14:paraId="558D1174" w14:textId="77777777" w:rsidTr="008311AC">
              <w:tc>
                <w:tcPr>
                  <w:tcW w:w="4814" w:type="dxa"/>
                  <w:shd w:val="clear" w:color="auto" w:fill="D9D9D9" w:themeFill="background1" w:themeFillShade="D9"/>
                </w:tcPr>
                <w:p w14:paraId="7813C8C3"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0402030Q0</w:t>
                  </w:r>
                </w:p>
              </w:tc>
              <w:tc>
                <w:tcPr>
                  <w:tcW w:w="4814" w:type="dxa"/>
                  <w:shd w:val="clear" w:color="auto" w:fill="D9D9D9" w:themeFill="background1" w:themeFillShade="D9"/>
                </w:tcPr>
                <w:p w14:paraId="2A09D069"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Valproic acid</w:t>
                  </w:r>
                </w:p>
              </w:tc>
            </w:tr>
            <w:tr w:rsidR="008311AC" w:rsidRPr="00CE67C3" w14:paraId="5EA201F6" w14:textId="77777777" w:rsidTr="008311AC">
              <w:tc>
                <w:tcPr>
                  <w:tcW w:w="4814" w:type="dxa"/>
                  <w:shd w:val="clear" w:color="auto" w:fill="F2F2F2" w:themeFill="background1" w:themeFillShade="F2"/>
                </w:tcPr>
                <w:p w14:paraId="1FE369A8"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040801020</w:t>
                  </w:r>
                </w:p>
              </w:tc>
              <w:tc>
                <w:tcPr>
                  <w:tcW w:w="4814" w:type="dxa"/>
                  <w:shd w:val="clear" w:color="auto" w:fill="F2F2F2" w:themeFill="background1" w:themeFillShade="F2"/>
                </w:tcPr>
                <w:p w14:paraId="725915B0" w14:textId="77777777" w:rsidR="008311AC" w:rsidRPr="00CE67C3" w:rsidRDefault="008311AC" w:rsidP="004B2F6C">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Valproic acid</w:t>
                  </w:r>
                </w:p>
              </w:tc>
            </w:tr>
          </w:tbl>
          <w:p w14:paraId="28F6E858" w14:textId="0832327B" w:rsidR="00C23E6D" w:rsidRPr="00CE67C3" w:rsidRDefault="008311AC" w:rsidP="004B2F6C">
            <w:pPr>
              <w:spacing w:after="0" w:line="240" w:lineRule="auto"/>
              <w:rPr>
                <w:rFonts w:ascii="Arial" w:eastAsia="Times New Roman" w:hAnsi="Arial" w:cs="Arial"/>
                <w:bCs w:val="0"/>
                <w:color w:val="FF0000"/>
                <w:sz w:val="22"/>
                <w:szCs w:val="22"/>
                <w:lang w:eastAsia="en-GB"/>
              </w:rPr>
            </w:pPr>
            <w:r w:rsidRPr="00CE67C3">
              <w:rPr>
                <w:rStyle w:val="Hyperlink"/>
                <w:color w:val="0072CE"/>
                <w:sz w:val="22"/>
                <w:szCs w:val="22"/>
              </w:rPr>
              <w:br/>
            </w:r>
            <w:r w:rsidRPr="00CE67C3">
              <w:rPr>
                <w:rStyle w:val="Hyperlink"/>
                <w:color w:val="0072CE"/>
                <w:sz w:val="22"/>
                <w:szCs w:val="22"/>
              </w:rPr>
              <w:br/>
            </w:r>
          </w:p>
        </w:tc>
      </w:tr>
      <w:tr w:rsidR="00C23E6D" w:rsidRPr="00C23E6D" w14:paraId="629A7F97" w14:textId="77777777" w:rsidTr="4257620F">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57D6F504"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hideMark/>
          </w:tcPr>
          <w:p w14:paraId="6C826CF2" w14:textId="4A9E5571" w:rsidR="00C23E6D" w:rsidRPr="00CE67C3" w:rsidRDefault="008E56EA" w:rsidP="00C23E6D">
            <w:pPr>
              <w:spacing w:after="0" w:line="240" w:lineRule="auto"/>
              <w:rPr>
                <w:rFonts w:ascii="Arial" w:eastAsia="Times New Roman" w:hAnsi="Arial" w:cs="Arial"/>
                <w:bCs w:val="0"/>
                <w:color w:val="FF0000"/>
                <w:sz w:val="22"/>
                <w:szCs w:val="22"/>
                <w:lang w:eastAsia="en-GB"/>
              </w:rPr>
            </w:pPr>
            <w:r w:rsidRPr="00CE67C3">
              <w:rPr>
                <w:rFonts w:ascii="Arial" w:eastAsia="Times New Roman" w:hAnsi="Arial" w:cs="Arial"/>
                <w:bCs w:val="0"/>
                <w:color w:val="000000" w:themeColor="text1"/>
                <w:sz w:val="22"/>
                <w:szCs w:val="22"/>
                <w:lang w:eastAsia="en-GB"/>
              </w:rPr>
              <w:t>Active English GP Practices.</w:t>
            </w:r>
            <w:r w:rsidRPr="00CE67C3">
              <w:rPr>
                <w:rFonts w:ascii="Arial" w:eastAsia="Times New Roman" w:hAnsi="Arial" w:cs="Arial"/>
                <w:bCs w:val="0"/>
                <w:color w:val="000000" w:themeColor="text1"/>
                <w:sz w:val="22"/>
                <w:szCs w:val="22"/>
                <w:lang w:eastAsia="en-GB"/>
              </w:rPr>
              <w:br/>
              <w:t>Items with identified female patients aged 13 to 54 years old</w:t>
            </w:r>
          </w:p>
        </w:tc>
      </w:tr>
    </w:tbl>
    <w:p w14:paraId="5BBA8196" w14:textId="77777777" w:rsidR="009B7AA8" w:rsidRDefault="009B7AA8">
      <w:pPr>
        <w:rPr>
          <w:rFonts w:asciiTheme="majorHAnsi" w:eastAsiaTheme="majorEastAsia" w:hAnsiTheme="majorHAnsi" w:cstheme="majorBidi"/>
          <w:color w:val="005EB8" w:themeColor="text2"/>
          <w:sz w:val="24"/>
          <w:szCs w:val="26"/>
        </w:rPr>
      </w:pPr>
      <w:r>
        <w:br w:type="page"/>
      </w:r>
    </w:p>
    <w:p w14:paraId="31AC5515" w14:textId="05A31071" w:rsidR="009B7AA8" w:rsidRDefault="009B7AA8" w:rsidP="009B7AA8">
      <w:pPr>
        <w:pStyle w:val="Heading2"/>
      </w:pPr>
      <w:bookmarkStart w:id="19" w:name="_Toc172291530"/>
      <w:r>
        <w:lastRenderedPageBreak/>
        <w:t>Metric 14.Course length of antimicrobial prescribing</w:t>
      </w:r>
      <w:bookmarkEnd w:id="19"/>
    </w:p>
    <w:tbl>
      <w:tblPr>
        <w:tblW w:w="8920" w:type="dxa"/>
        <w:tblLook w:val="04A0" w:firstRow="1" w:lastRow="0" w:firstColumn="1" w:lastColumn="0" w:noHBand="0" w:noVBand="1"/>
      </w:tblPr>
      <w:tblGrid>
        <w:gridCol w:w="2120"/>
        <w:gridCol w:w="6800"/>
      </w:tblGrid>
      <w:tr w:rsidR="00C23E6D" w:rsidRPr="00C23E6D" w14:paraId="3D32FB95"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B4C8FC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0335ACC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Course length of antimicrobial prescribing</w:t>
            </w:r>
          </w:p>
        </w:tc>
      </w:tr>
      <w:tr w:rsidR="00C23E6D" w:rsidRPr="00C23E6D" w14:paraId="423728C5"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67EA4511"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2168880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Reducing course length of antimicrobial prescribing</w:t>
            </w:r>
          </w:p>
        </w:tc>
      </w:tr>
      <w:tr w:rsidR="00C23E6D" w:rsidRPr="00C23E6D" w14:paraId="119F0DBB"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923D83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4F29CCB5" w14:textId="735EB4C9" w:rsidR="00C23E6D" w:rsidRPr="00C23E6D"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542796A5" w:rsidRPr="4257620F">
              <w:rPr>
                <w:rFonts w:ascii="Arial" w:eastAsia="Times New Roman" w:hAnsi="Arial" w:cs="Arial"/>
                <w:color w:val="000000" w:themeColor="text1"/>
                <w:sz w:val="22"/>
                <w:szCs w:val="22"/>
                <w:lang w:eastAsia="en-GB"/>
              </w:rPr>
              <w:t xml:space="preserve"> care</w:t>
            </w:r>
          </w:p>
        </w:tc>
      </w:tr>
      <w:tr w:rsidR="00C23E6D" w:rsidRPr="00C23E6D" w14:paraId="09228248"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DDE6779"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78344AB2" w14:textId="6A9F14D6" w:rsidR="00C23E6D" w:rsidRPr="00C23E6D" w:rsidRDefault="00C7499F" w:rsidP="00C23E6D">
            <w:pPr>
              <w:spacing w:after="0" w:line="240" w:lineRule="auto"/>
              <w:rPr>
                <w:rFonts w:ascii="Arial" w:eastAsia="Times New Roman" w:hAnsi="Arial" w:cs="Arial"/>
                <w:bCs w:val="0"/>
                <w:color w:val="000000"/>
                <w:sz w:val="22"/>
                <w:szCs w:val="22"/>
                <w:lang w:eastAsia="en-GB"/>
              </w:rPr>
            </w:pPr>
            <w:r w:rsidRPr="00C7499F">
              <w:rPr>
                <w:rFonts w:ascii="Arial" w:eastAsia="Times New Roman" w:hAnsi="Arial" w:cs="Arial"/>
                <w:bCs w:val="0"/>
                <w:color w:val="000000"/>
                <w:sz w:val="22"/>
                <w:szCs w:val="22"/>
                <w:lang w:eastAsia="en-GB"/>
              </w:rPr>
              <w:t>Percentage of shorter (5-day) antibiotic courses</w:t>
            </w:r>
          </w:p>
        </w:tc>
      </w:tr>
      <w:tr w:rsidR="00C23E6D" w:rsidRPr="00C23E6D" w14:paraId="70A33DC2"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BECC220"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14E0016C"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Higher</w:t>
            </w:r>
          </w:p>
        </w:tc>
      </w:tr>
      <w:tr w:rsidR="00C23E6D" w:rsidRPr="00C23E6D" w14:paraId="486584E2"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41853E2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2FAE2F9E" w14:textId="2C92042A" w:rsidR="00C23E6D" w:rsidRPr="00C23E6D" w:rsidRDefault="004C1104" w:rsidP="00C23E6D">
            <w:pPr>
              <w:spacing w:after="0" w:line="240" w:lineRule="auto"/>
              <w:rPr>
                <w:rFonts w:ascii="Arial" w:eastAsia="Times New Roman" w:hAnsi="Arial" w:cs="Arial"/>
                <w:bCs w:val="0"/>
                <w:color w:val="000000"/>
                <w:sz w:val="22"/>
                <w:szCs w:val="22"/>
                <w:lang w:eastAsia="en-GB"/>
              </w:rPr>
            </w:pPr>
            <w:r w:rsidRPr="004C1104">
              <w:rPr>
                <w:rFonts w:ascii="Arial" w:eastAsia="Times New Roman" w:hAnsi="Arial" w:cs="Arial"/>
                <w:bCs w:val="0"/>
                <w:color w:val="000000"/>
                <w:sz w:val="22"/>
                <w:szCs w:val="22"/>
                <w:lang w:eastAsia="en-GB"/>
              </w:rPr>
              <w:t>Items of amoxicillin 500mg capsules prescribed as 15 capsules</w:t>
            </w:r>
          </w:p>
        </w:tc>
      </w:tr>
      <w:tr w:rsidR="00C23E6D" w:rsidRPr="00C23E6D" w14:paraId="70FA9D00"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9A7ACB0"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3098CCEE" w14:textId="35383E31"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xml:space="preserve">Items </w:t>
            </w:r>
            <w:r w:rsidR="004C1104">
              <w:rPr>
                <w:rFonts w:ascii="Arial" w:eastAsia="Times New Roman" w:hAnsi="Arial" w:cs="Arial"/>
                <w:bCs w:val="0"/>
                <w:color w:val="000000"/>
                <w:sz w:val="22"/>
                <w:szCs w:val="22"/>
                <w:lang w:eastAsia="en-GB"/>
              </w:rPr>
              <w:t>at</w:t>
            </w:r>
            <w:r w:rsidRPr="00C23E6D">
              <w:rPr>
                <w:rFonts w:ascii="Arial" w:eastAsia="Times New Roman" w:hAnsi="Arial" w:cs="Arial"/>
                <w:bCs w:val="0"/>
                <w:color w:val="000000"/>
                <w:sz w:val="22"/>
                <w:szCs w:val="22"/>
                <w:lang w:eastAsia="en-GB"/>
              </w:rPr>
              <w:t xml:space="preserve"> q</w:t>
            </w:r>
            <w:r w:rsidR="004C1104">
              <w:rPr>
                <w:rFonts w:ascii="Arial" w:eastAsia="Times New Roman" w:hAnsi="Arial" w:cs="Arial"/>
                <w:bCs w:val="0"/>
                <w:color w:val="000000"/>
                <w:sz w:val="22"/>
                <w:szCs w:val="22"/>
                <w:lang w:eastAsia="en-GB"/>
              </w:rPr>
              <w:t>uantity = 15 capsules</w:t>
            </w:r>
          </w:p>
        </w:tc>
      </w:tr>
      <w:tr w:rsidR="00C23E6D" w:rsidRPr="00C23E6D" w14:paraId="02AD7BEE"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9660155"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394E0F4B"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Items of amoxicillin 500mg capsules prescribed as any quantity</w:t>
            </w:r>
          </w:p>
        </w:tc>
      </w:tr>
      <w:tr w:rsidR="00C23E6D" w:rsidRPr="00C23E6D" w14:paraId="603CFEB5"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477F81B"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197608D1"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Items</w:t>
            </w:r>
          </w:p>
        </w:tc>
      </w:tr>
      <w:tr w:rsidR="00141A76" w:rsidRPr="00C23E6D" w14:paraId="4A97B573" w14:textId="77777777" w:rsidTr="00F94D3C">
        <w:trPr>
          <w:trHeight w:val="139"/>
        </w:trPr>
        <w:tc>
          <w:tcPr>
            <w:tcW w:w="2120" w:type="dxa"/>
            <w:vMerge w:val="restart"/>
            <w:tcBorders>
              <w:top w:val="single" w:sz="4" w:space="0" w:color="auto"/>
              <w:left w:val="single" w:sz="4" w:space="0" w:color="auto"/>
              <w:right w:val="single" w:sz="4" w:space="0" w:color="auto"/>
            </w:tcBorders>
            <w:shd w:val="clear" w:color="auto" w:fill="auto"/>
            <w:hideMark/>
          </w:tcPr>
          <w:p w14:paraId="1F045C38" w14:textId="77777777" w:rsidR="00141A76" w:rsidRPr="00C23E6D" w:rsidRDefault="00141A76"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Hyperlinks to supporting information</w:t>
            </w:r>
          </w:p>
        </w:tc>
        <w:tc>
          <w:tcPr>
            <w:tcW w:w="6800" w:type="dxa"/>
            <w:tcBorders>
              <w:top w:val="nil"/>
              <w:left w:val="nil"/>
              <w:bottom w:val="nil"/>
              <w:right w:val="single" w:sz="4" w:space="0" w:color="auto"/>
            </w:tcBorders>
            <w:shd w:val="clear" w:color="auto" w:fill="auto"/>
            <w:hideMark/>
          </w:tcPr>
          <w:p w14:paraId="05528A7E" w14:textId="09F9C802" w:rsidR="00141A76" w:rsidRPr="009C5723" w:rsidRDefault="00430238" w:rsidP="009C5723">
            <w:pPr>
              <w:pStyle w:val="Hyperlinkinpara"/>
              <w:rPr>
                <w:rStyle w:val="Hyperlink"/>
                <w:color w:val="0072CE"/>
              </w:rPr>
            </w:pPr>
            <w:hyperlink r:id="rId40" w:history="1">
              <w:r w:rsidR="00141A76" w:rsidRPr="009C5723">
                <w:rPr>
                  <w:rStyle w:val="Hyperlink"/>
                  <w:bCs/>
                  <w:color w:val="0072CE"/>
                </w:rPr>
                <w:t>NICE - Antimicrobial stewardship</w:t>
              </w:r>
            </w:hyperlink>
          </w:p>
        </w:tc>
      </w:tr>
      <w:tr w:rsidR="00141A76" w:rsidRPr="00C23E6D" w14:paraId="0CE64AFD" w14:textId="77777777" w:rsidTr="00F94D3C">
        <w:trPr>
          <w:trHeight w:val="552"/>
        </w:trPr>
        <w:tc>
          <w:tcPr>
            <w:tcW w:w="2120" w:type="dxa"/>
            <w:vMerge/>
            <w:tcBorders>
              <w:left w:val="single" w:sz="4" w:space="0" w:color="auto"/>
              <w:right w:val="single" w:sz="4" w:space="0" w:color="auto"/>
            </w:tcBorders>
            <w:hideMark/>
          </w:tcPr>
          <w:p w14:paraId="3918E707" w14:textId="2E534073" w:rsidR="00141A76" w:rsidRPr="00C23E6D" w:rsidRDefault="00141A76" w:rsidP="00C23E6D">
            <w:pPr>
              <w:spacing w:after="0" w:line="240" w:lineRule="auto"/>
              <w:rPr>
                <w:rFonts w:ascii="Arial" w:eastAsia="Times New Roman" w:hAnsi="Arial" w:cs="Arial"/>
                <w:bCs w:val="0"/>
                <w:color w:val="000000"/>
                <w:sz w:val="22"/>
                <w:szCs w:val="22"/>
                <w:highlight w:val="yellow"/>
                <w:lang w:eastAsia="en-GB"/>
              </w:rPr>
            </w:pPr>
          </w:p>
        </w:tc>
        <w:tc>
          <w:tcPr>
            <w:tcW w:w="6800" w:type="dxa"/>
            <w:tcBorders>
              <w:top w:val="nil"/>
              <w:left w:val="single" w:sz="4" w:space="0" w:color="auto"/>
              <w:bottom w:val="nil"/>
              <w:right w:val="single" w:sz="4" w:space="0" w:color="auto"/>
            </w:tcBorders>
            <w:shd w:val="clear" w:color="auto" w:fill="auto"/>
            <w:hideMark/>
          </w:tcPr>
          <w:p w14:paraId="0B63C0C0" w14:textId="49DB47A7" w:rsidR="00141A76" w:rsidRPr="009C5723" w:rsidRDefault="00430238" w:rsidP="009C5723">
            <w:pPr>
              <w:pStyle w:val="Hyperlinkinpara"/>
              <w:rPr>
                <w:rStyle w:val="Hyperlink"/>
                <w:color w:val="0072CE"/>
              </w:rPr>
            </w:pPr>
            <w:hyperlink r:id="rId41" w:history="1">
              <w:r w:rsidR="00141A76" w:rsidRPr="009C5723">
                <w:rPr>
                  <w:rStyle w:val="Hyperlink"/>
                  <w:color w:val="0072CE"/>
                </w:rPr>
                <w:t>PrescQIPP - Antimicrobial Stewardship (AMS) Hub - Open access</w:t>
              </w:r>
            </w:hyperlink>
          </w:p>
        </w:tc>
      </w:tr>
      <w:tr w:rsidR="00C23E6D" w:rsidRPr="00C23E6D" w14:paraId="63D5E9F0" w14:textId="05C038EA"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9D7791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5A4D5580"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p>
        </w:tc>
      </w:tr>
      <w:tr w:rsidR="00C23E6D" w:rsidRPr="00C23E6D" w14:paraId="68BE43EB" w14:textId="77777777" w:rsidTr="4257620F">
        <w:trPr>
          <w:trHeight w:val="828"/>
        </w:trPr>
        <w:tc>
          <w:tcPr>
            <w:tcW w:w="2120" w:type="dxa"/>
            <w:tcBorders>
              <w:top w:val="nil"/>
              <w:left w:val="single" w:sz="4" w:space="0" w:color="auto"/>
              <w:bottom w:val="nil"/>
              <w:right w:val="single" w:sz="4" w:space="0" w:color="auto"/>
            </w:tcBorders>
            <w:shd w:val="clear" w:color="auto" w:fill="auto"/>
            <w:hideMark/>
          </w:tcPr>
          <w:p w14:paraId="207C7F3F"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Notes</w:t>
            </w:r>
          </w:p>
        </w:tc>
        <w:tc>
          <w:tcPr>
            <w:tcW w:w="6800" w:type="dxa"/>
            <w:tcBorders>
              <w:top w:val="nil"/>
              <w:left w:val="nil"/>
              <w:bottom w:val="nil"/>
              <w:right w:val="single" w:sz="4" w:space="0" w:color="auto"/>
            </w:tcBorders>
            <w:shd w:val="clear" w:color="auto" w:fill="auto"/>
            <w:hideMark/>
          </w:tcPr>
          <w:p w14:paraId="632A4C4E" w14:textId="347D5DD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Note figures are expected to be revised due a technical compromise for the initial release</w:t>
            </w:r>
            <w:r w:rsidR="00C15E8F">
              <w:rPr>
                <w:rFonts w:ascii="Arial" w:eastAsia="Times New Roman" w:hAnsi="Arial" w:cs="Arial"/>
                <w:bCs w:val="0"/>
                <w:color w:val="000000"/>
                <w:sz w:val="22"/>
                <w:szCs w:val="22"/>
                <w:lang w:eastAsia="en-GB"/>
              </w:rPr>
              <w:t xml:space="preserve"> requiring the use of identified patient data only.</w:t>
            </w:r>
          </w:p>
        </w:tc>
      </w:tr>
      <w:tr w:rsidR="00C23E6D" w:rsidRPr="00C23E6D" w14:paraId="202682FB" w14:textId="77777777" w:rsidTr="4257620F">
        <w:trPr>
          <w:trHeight w:val="276"/>
        </w:trPr>
        <w:tc>
          <w:tcPr>
            <w:tcW w:w="2120" w:type="dxa"/>
            <w:tcBorders>
              <w:top w:val="nil"/>
              <w:left w:val="single" w:sz="4" w:space="0" w:color="auto"/>
              <w:bottom w:val="nil"/>
              <w:right w:val="single" w:sz="4" w:space="0" w:color="auto"/>
            </w:tcBorders>
            <w:shd w:val="clear" w:color="auto" w:fill="auto"/>
            <w:hideMark/>
          </w:tcPr>
          <w:p w14:paraId="66408AAD"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5514F5CC" w14:textId="31B39B91" w:rsidR="00C23E6D" w:rsidRPr="00C23E6D" w:rsidRDefault="00C23E6D" w:rsidP="00C23E6D">
            <w:pPr>
              <w:spacing w:after="0" w:line="240" w:lineRule="auto"/>
              <w:rPr>
                <w:rFonts w:ascii="Arial" w:eastAsia="Times New Roman" w:hAnsi="Arial" w:cs="Arial"/>
                <w:bCs w:val="0"/>
                <w:color w:val="000000"/>
                <w:sz w:val="22"/>
                <w:szCs w:val="22"/>
                <w:lang w:eastAsia="en-GB"/>
              </w:rPr>
            </w:pPr>
          </w:p>
        </w:tc>
      </w:tr>
      <w:tr w:rsidR="00C23E6D" w:rsidRPr="00C23E6D" w14:paraId="75F84FF5"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007B91E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1F9A1A86"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r>
      <w:tr w:rsidR="00C23E6D" w:rsidRPr="00C23E6D" w14:paraId="3F699769"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220681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358BE224" w14:textId="04EB25C9" w:rsidR="00C23E6D" w:rsidRDefault="00C15E8F" w:rsidP="00C23E6D">
            <w:pPr>
              <w:spacing w:after="0" w:line="240" w:lineRule="auto"/>
              <w:rPr>
                <w:rFonts w:ascii="Arial" w:eastAsia="Times New Roman" w:hAnsi="Arial" w:cs="Arial"/>
                <w:bCs w:val="0"/>
                <w:color w:val="000000"/>
                <w:sz w:val="22"/>
                <w:szCs w:val="22"/>
                <w:lang w:eastAsia="en-GB"/>
              </w:rPr>
            </w:pPr>
            <w:r>
              <w:rPr>
                <w:rFonts w:ascii="Arial" w:eastAsia="Times New Roman" w:hAnsi="Arial" w:cs="Arial"/>
                <w:bCs w:val="0"/>
                <w:color w:val="000000"/>
                <w:sz w:val="22"/>
                <w:szCs w:val="22"/>
                <w:lang w:eastAsia="en-GB"/>
              </w:rPr>
              <w:t>Amoxicillin 500mg capsules  -  all medicines classified with generic BNF Presentation as 0501013B0AAABAB</w:t>
            </w:r>
          </w:p>
          <w:p w14:paraId="404558B9" w14:textId="28E20E14" w:rsidR="00C23E6D" w:rsidRPr="00C23E6D" w:rsidRDefault="00C23E6D" w:rsidP="00C23E6D">
            <w:pPr>
              <w:spacing w:after="0" w:line="240" w:lineRule="auto"/>
              <w:rPr>
                <w:rFonts w:ascii="Arial" w:eastAsia="Times New Roman" w:hAnsi="Arial" w:cs="Arial"/>
                <w:bCs w:val="0"/>
                <w:color w:val="FF0000"/>
                <w:sz w:val="22"/>
                <w:szCs w:val="22"/>
                <w:lang w:eastAsia="en-GB"/>
              </w:rPr>
            </w:pPr>
          </w:p>
        </w:tc>
      </w:tr>
      <w:tr w:rsidR="00C23E6D" w:rsidRPr="00C23E6D" w14:paraId="52F2044A" w14:textId="77777777" w:rsidTr="4257620F">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50E267B1"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hideMark/>
          </w:tcPr>
          <w:p w14:paraId="18B0D542" w14:textId="1413806D" w:rsidR="00C23E6D" w:rsidRPr="00C23E6D" w:rsidRDefault="2A9F39D3" w:rsidP="00C23E6D">
            <w:pPr>
              <w:spacing w:after="0" w:line="240" w:lineRule="auto"/>
              <w:rPr>
                <w:rFonts w:ascii="Arial" w:eastAsia="Times New Roman" w:hAnsi="Arial" w:cs="Arial"/>
                <w:color w:val="FF0000"/>
                <w:sz w:val="22"/>
                <w:szCs w:val="22"/>
                <w:lang w:eastAsia="en-GB"/>
              </w:rPr>
            </w:pPr>
            <w:r w:rsidRPr="4257620F">
              <w:rPr>
                <w:rFonts w:ascii="Arial" w:eastAsia="Times New Roman" w:hAnsi="Arial" w:cs="Arial"/>
                <w:sz w:val="22"/>
                <w:szCs w:val="22"/>
                <w:lang w:eastAsia="en-GB"/>
              </w:rPr>
              <w:t>Includes a</w:t>
            </w:r>
            <w:r w:rsidR="71D2DD40" w:rsidRPr="4257620F">
              <w:rPr>
                <w:rFonts w:ascii="Arial" w:eastAsia="Times New Roman" w:hAnsi="Arial" w:cs="Arial"/>
                <w:sz w:val="22"/>
                <w:szCs w:val="22"/>
                <w:lang w:eastAsia="en-GB"/>
              </w:rPr>
              <w:t>ctive English Primary Care Prescribing Cost Centres (linked to SICBLs)</w:t>
            </w:r>
            <w:r w:rsidR="044659A6" w:rsidRPr="4257620F">
              <w:rPr>
                <w:rFonts w:ascii="Arial" w:eastAsia="Times New Roman" w:hAnsi="Arial" w:cs="Arial"/>
                <w:sz w:val="22"/>
                <w:szCs w:val="22"/>
                <w:lang w:eastAsia="en-GB"/>
              </w:rPr>
              <w:t xml:space="preserve"> w</w:t>
            </w:r>
            <w:r w:rsidR="36757BA1" w:rsidRPr="4257620F">
              <w:rPr>
                <w:rFonts w:ascii="Arial" w:eastAsia="Times New Roman" w:hAnsi="Arial" w:cs="Arial"/>
                <w:sz w:val="22"/>
                <w:szCs w:val="22"/>
                <w:lang w:eastAsia="en-GB"/>
              </w:rPr>
              <w:t>ith identified patients only</w:t>
            </w:r>
          </w:p>
        </w:tc>
      </w:tr>
    </w:tbl>
    <w:p w14:paraId="2ADA5E31" w14:textId="77777777" w:rsidR="008E56EA" w:rsidRDefault="008E56EA" w:rsidP="009B7AA8">
      <w:pPr>
        <w:pStyle w:val="Heading2"/>
      </w:pPr>
    </w:p>
    <w:p w14:paraId="6EEBA823" w14:textId="77777777" w:rsidR="008E56EA" w:rsidRDefault="008E56EA">
      <w:pPr>
        <w:rPr>
          <w:rFonts w:asciiTheme="majorHAnsi" w:eastAsiaTheme="majorEastAsia" w:hAnsiTheme="majorHAnsi" w:cstheme="majorBidi"/>
          <w:color w:val="005EB8" w:themeColor="text2"/>
          <w:sz w:val="24"/>
          <w:szCs w:val="26"/>
        </w:rPr>
      </w:pPr>
      <w:r>
        <w:br w:type="page"/>
      </w:r>
    </w:p>
    <w:p w14:paraId="3B48E0C5" w14:textId="1D0A3CB9" w:rsidR="009B7AA8" w:rsidRDefault="009B7AA8" w:rsidP="009B7AA8">
      <w:pPr>
        <w:pStyle w:val="Heading2"/>
      </w:pPr>
      <w:bookmarkStart w:id="20" w:name="_Toc172291531"/>
      <w:r>
        <w:lastRenderedPageBreak/>
        <w:t>Metric 15.Opioid use</w:t>
      </w:r>
      <w:bookmarkEnd w:id="20"/>
    </w:p>
    <w:tbl>
      <w:tblPr>
        <w:tblW w:w="8920" w:type="dxa"/>
        <w:tblLook w:val="04A0" w:firstRow="1" w:lastRow="0" w:firstColumn="1" w:lastColumn="0" w:noHBand="0" w:noVBand="1"/>
      </w:tblPr>
      <w:tblGrid>
        <w:gridCol w:w="2120"/>
        <w:gridCol w:w="6800"/>
      </w:tblGrid>
      <w:tr w:rsidR="00C23E6D" w:rsidRPr="00C23E6D" w14:paraId="272A38C1"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4168374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561CBA77"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Opioid use</w:t>
            </w:r>
          </w:p>
        </w:tc>
      </w:tr>
      <w:tr w:rsidR="00C23E6D" w:rsidRPr="00C23E6D" w14:paraId="2895CA72"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9D00F9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5DF20424"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Reducing opioid use in chronic non-cancer pain</w:t>
            </w:r>
          </w:p>
        </w:tc>
      </w:tr>
      <w:tr w:rsidR="00C23E6D" w:rsidRPr="00C23E6D" w14:paraId="1C2CB1DC"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15844A70"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0F28680F" w14:textId="6056E581" w:rsidR="00C23E6D" w:rsidRPr="00C23E6D" w:rsidRDefault="52709460"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Primary</w:t>
            </w:r>
            <w:r w:rsidR="40474BED" w:rsidRPr="4257620F">
              <w:rPr>
                <w:rFonts w:ascii="Arial" w:eastAsia="Times New Roman" w:hAnsi="Arial" w:cs="Arial"/>
                <w:color w:val="000000" w:themeColor="text1"/>
                <w:sz w:val="22"/>
                <w:szCs w:val="22"/>
                <w:lang w:eastAsia="en-GB"/>
              </w:rPr>
              <w:t xml:space="preserve"> care</w:t>
            </w:r>
          </w:p>
        </w:tc>
      </w:tr>
      <w:tr w:rsidR="00C23E6D" w:rsidRPr="00C23E6D" w14:paraId="735B21B1"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9B0176A"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737F3D2F" w14:textId="34734F75" w:rsidR="00C23E6D" w:rsidRPr="00C23E6D" w:rsidRDefault="00580C30" w:rsidP="00C23E6D">
            <w:pPr>
              <w:spacing w:after="0" w:line="240" w:lineRule="auto"/>
              <w:rPr>
                <w:rFonts w:ascii="Arial" w:eastAsia="Times New Roman" w:hAnsi="Arial" w:cs="Arial"/>
                <w:bCs w:val="0"/>
                <w:color w:val="000000"/>
                <w:sz w:val="22"/>
                <w:szCs w:val="22"/>
                <w:lang w:eastAsia="en-GB"/>
              </w:rPr>
            </w:pPr>
            <w:r w:rsidRPr="00580C30">
              <w:rPr>
                <w:rFonts w:ascii="Arial" w:eastAsia="Times New Roman" w:hAnsi="Arial" w:cs="Arial"/>
                <w:bCs w:val="0"/>
                <w:color w:val="000000"/>
                <w:sz w:val="22"/>
                <w:szCs w:val="22"/>
                <w:lang w:eastAsia="en-GB"/>
              </w:rPr>
              <w:t>Patients aged 18+ currently prescribed an oral or transdermal opioid for more than three months per 1,000 patients in GP list</w:t>
            </w:r>
          </w:p>
        </w:tc>
      </w:tr>
      <w:tr w:rsidR="00C23E6D" w:rsidRPr="00C23E6D" w14:paraId="7EAD5075"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A28799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4DCE4EA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Lower</w:t>
            </w:r>
          </w:p>
        </w:tc>
      </w:tr>
      <w:tr w:rsidR="00C23E6D" w:rsidRPr="00C23E6D" w14:paraId="5A07A705"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9F4A43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194DD596" w14:textId="379013D5" w:rsidR="00C23E6D" w:rsidRPr="00C23E6D" w:rsidRDefault="00580C30" w:rsidP="00C23E6D">
            <w:pPr>
              <w:spacing w:after="0" w:line="240" w:lineRule="auto"/>
              <w:rPr>
                <w:rFonts w:ascii="Arial" w:eastAsia="Times New Roman" w:hAnsi="Arial" w:cs="Arial"/>
                <w:bCs w:val="0"/>
                <w:color w:val="000000"/>
                <w:sz w:val="22"/>
                <w:szCs w:val="22"/>
                <w:lang w:eastAsia="en-GB"/>
              </w:rPr>
            </w:pPr>
            <w:r w:rsidRPr="00580C30">
              <w:rPr>
                <w:rFonts w:ascii="Arial" w:eastAsia="Times New Roman" w:hAnsi="Arial" w:cs="Arial"/>
                <w:bCs w:val="0"/>
                <w:color w:val="000000"/>
                <w:sz w:val="22"/>
                <w:szCs w:val="22"/>
                <w:lang w:eastAsia="en-GB"/>
              </w:rPr>
              <w:t>Patients aged 18+ prescribed an oral or transdermal opioid for each of the last four months</w:t>
            </w:r>
          </w:p>
        </w:tc>
      </w:tr>
      <w:tr w:rsidR="00C23E6D" w:rsidRPr="00C23E6D" w14:paraId="191D57AF"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29F4840"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63A3AC7E"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Patients</w:t>
            </w:r>
          </w:p>
        </w:tc>
      </w:tr>
      <w:tr w:rsidR="00C23E6D" w:rsidRPr="00C23E6D" w14:paraId="5D2F1073"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15B99C5C"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0CB0295A" w14:textId="5BDF7060" w:rsidR="00C23E6D" w:rsidRPr="00C23E6D" w:rsidRDefault="00580C30" w:rsidP="00C23E6D">
            <w:pPr>
              <w:spacing w:after="0" w:line="240" w:lineRule="auto"/>
              <w:rPr>
                <w:rFonts w:ascii="Arial" w:eastAsia="Times New Roman" w:hAnsi="Arial" w:cs="Arial"/>
                <w:bCs w:val="0"/>
                <w:color w:val="000000"/>
                <w:sz w:val="22"/>
                <w:szCs w:val="22"/>
                <w:highlight w:val="yellow"/>
                <w:lang w:eastAsia="en-GB"/>
              </w:rPr>
            </w:pPr>
            <w:r w:rsidRPr="00580C30">
              <w:rPr>
                <w:rFonts w:ascii="Arial" w:eastAsia="Times New Roman" w:hAnsi="Arial" w:cs="Arial"/>
                <w:bCs w:val="0"/>
                <w:color w:val="000000"/>
                <w:sz w:val="22"/>
                <w:szCs w:val="22"/>
                <w:lang w:eastAsia="en-GB"/>
              </w:rPr>
              <w:t>Patients aged 18+ on GP list, four month average</w:t>
            </w:r>
          </w:p>
        </w:tc>
      </w:tr>
      <w:tr w:rsidR="00C23E6D" w:rsidRPr="00C23E6D" w14:paraId="241F48D6" w14:textId="77777777" w:rsidTr="00F94D3C">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7196F2CD" w14:textId="77777777" w:rsidR="00C23E6D" w:rsidRPr="00580C30" w:rsidRDefault="00C23E6D" w:rsidP="00C23E6D">
            <w:pPr>
              <w:spacing w:after="0" w:line="240" w:lineRule="auto"/>
              <w:rPr>
                <w:rFonts w:ascii="Arial" w:eastAsia="Times New Roman" w:hAnsi="Arial" w:cs="Arial"/>
                <w:bCs w:val="0"/>
                <w:color w:val="000000"/>
                <w:sz w:val="22"/>
                <w:szCs w:val="22"/>
                <w:lang w:eastAsia="en-GB"/>
              </w:rPr>
            </w:pPr>
            <w:r w:rsidRPr="00580C30">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46ED994F" w14:textId="77777777" w:rsidR="00C23E6D" w:rsidRPr="00580C30" w:rsidRDefault="00C23E6D" w:rsidP="00C23E6D">
            <w:pPr>
              <w:spacing w:after="0" w:line="240" w:lineRule="auto"/>
              <w:rPr>
                <w:rFonts w:ascii="Arial" w:eastAsia="Times New Roman" w:hAnsi="Arial" w:cs="Arial"/>
                <w:bCs w:val="0"/>
                <w:color w:val="000000"/>
                <w:sz w:val="22"/>
                <w:szCs w:val="22"/>
                <w:lang w:eastAsia="en-GB"/>
              </w:rPr>
            </w:pPr>
            <w:r w:rsidRPr="00580C30">
              <w:rPr>
                <w:rFonts w:ascii="Arial" w:eastAsia="Times New Roman" w:hAnsi="Arial" w:cs="Arial"/>
                <w:bCs w:val="0"/>
                <w:color w:val="000000"/>
                <w:sz w:val="22"/>
                <w:szCs w:val="22"/>
                <w:lang w:eastAsia="en-GB"/>
              </w:rPr>
              <w:t>Patients</w:t>
            </w:r>
          </w:p>
        </w:tc>
      </w:tr>
      <w:tr w:rsidR="00D14D60" w:rsidRPr="00C23E6D" w14:paraId="52F93037" w14:textId="77777777" w:rsidTr="00F94D3C">
        <w:trPr>
          <w:trHeight w:val="139"/>
        </w:trPr>
        <w:tc>
          <w:tcPr>
            <w:tcW w:w="2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DDB326" w14:textId="34DD1282" w:rsidR="00D14D60" w:rsidRPr="00C23E6D" w:rsidRDefault="00D14D60"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Hyperlinks to supporting information </w:t>
            </w:r>
          </w:p>
          <w:p w14:paraId="5F3A0B1D" w14:textId="1E2E8B3A" w:rsidR="00D14D60" w:rsidRPr="00C23E6D" w:rsidRDefault="00D14D60"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tcPr>
          <w:p w14:paraId="50C93B6A" w14:textId="43DE3EA6" w:rsidR="00D14D60" w:rsidRPr="00E16ED8" w:rsidRDefault="00430238" w:rsidP="009C5723">
            <w:pPr>
              <w:pStyle w:val="Hyperlinkinpara"/>
              <w:rPr>
                <w:rStyle w:val="Hyperlink"/>
                <w:color w:val="0072CE"/>
              </w:rPr>
            </w:pPr>
            <w:hyperlink r:id="rId42" w:history="1">
              <w:r w:rsidR="00D14D60" w:rsidRPr="009C5723">
                <w:rPr>
                  <w:rStyle w:val="Hyperlink"/>
                  <w:color w:val="0072CE"/>
                </w:rPr>
                <w:t>NHS England - Medicines Safety Improvement Programme</w:t>
              </w:r>
            </w:hyperlink>
          </w:p>
        </w:tc>
      </w:tr>
      <w:tr w:rsidR="00D14D60" w:rsidRPr="00C23E6D" w14:paraId="5BA3F984" w14:textId="77777777" w:rsidTr="00F94D3C">
        <w:trPr>
          <w:trHeight w:val="128"/>
        </w:trPr>
        <w:tc>
          <w:tcPr>
            <w:tcW w:w="2120" w:type="dxa"/>
            <w:vMerge/>
            <w:tcBorders>
              <w:left w:val="single" w:sz="4" w:space="0" w:color="auto"/>
              <w:bottom w:val="single" w:sz="4" w:space="0" w:color="auto"/>
              <w:right w:val="single" w:sz="4" w:space="0" w:color="auto"/>
            </w:tcBorders>
            <w:hideMark/>
          </w:tcPr>
          <w:p w14:paraId="3CBB9E99" w14:textId="38992BA6" w:rsidR="00D14D60" w:rsidRPr="00C23E6D" w:rsidRDefault="00D14D60" w:rsidP="00C23E6D">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nil"/>
              <w:right w:val="single" w:sz="4" w:space="0" w:color="auto"/>
            </w:tcBorders>
            <w:shd w:val="clear" w:color="auto" w:fill="auto"/>
          </w:tcPr>
          <w:p w14:paraId="04C02DA6" w14:textId="46FD7A69" w:rsidR="00D14D60" w:rsidRPr="00E16ED8" w:rsidRDefault="00430238" w:rsidP="009C5723">
            <w:pPr>
              <w:pStyle w:val="Hyperlinkinpara"/>
              <w:rPr>
                <w:rStyle w:val="Hyperlink"/>
                <w:color w:val="0072CE"/>
              </w:rPr>
            </w:pPr>
            <w:hyperlink r:id="rId43" w:history="1">
              <w:r w:rsidR="00D14D60" w:rsidRPr="009C5723">
                <w:rPr>
                  <w:rStyle w:val="Hyperlink"/>
                  <w:color w:val="0072CE"/>
                </w:rPr>
                <w:t>NHSBSA - Opioid Prescribing Comparators - Summary webpage</w:t>
              </w:r>
            </w:hyperlink>
          </w:p>
        </w:tc>
      </w:tr>
      <w:tr w:rsidR="00D14D60" w:rsidRPr="00C23E6D" w14:paraId="6AE25DF9" w14:textId="77777777" w:rsidTr="00F94D3C">
        <w:trPr>
          <w:trHeight w:val="50"/>
        </w:trPr>
        <w:tc>
          <w:tcPr>
            <w:tcW w:w="2120" w:type="dxa"/>
            <w:vMerge/>
            <w:tcBorders>
              <w:left w:val="single" w:sz="4" w:space="0" w:color="auto"/>
              <w:bottom w:val="single" w:sz="4" w:space="0" w:color="auto"/>
              <w:right w:val="single" w:sz="4" w:space="0" w:color="auto"/>
            </w:tcBorders>
            <w:hideMark/>
          </w:tcPr>
          <w:p w14:paraId="3CA83058" w14:textId="68D16412" w:rsidR="00D14D60" w:rsidRPr="00C23E6D" w:rsidRDefault="00D14D60" w:rsidP="00C23E6D">
            <w:pPr>
              <w:spacing w:after="0" w:line="240" w:lineRule="auto"/>
              <w:rPr>
                <w:rFonts w:ascii="Arial" w:eastAsia="Times New Roman" w:hAnsi="Arial" w:cs="Arial"/>
                <w:bCs w:val="0"/>
                <w:color w:val="000000"/>
                <w:sz w:val="22"/>
                <w:szCs w:val="22"/>
                <w:lang w:eastAsia="en-GB"/>
              </w:rPr>
            </w:pPr>
          </w:p>
        </w:tc>
        <w:tc>
          <w:tcPr>
            <w:tcW w:w="6800" w:type="dxa"/>
            <w:tcBorders>
              <w:top w:val="nil"/>
              <w:left w:val="single" w:sz="4" w:space="0" w:color="auto"/>
              <w:bottom w:val="single" w:sz="4" w:space="0" w:color="auto"/>
              <w:right w:val="single" w:sz="4" w:space="0" w:color="auto"/>
            </w:tcBorders>
            <w:shd w:val="clear" w:color="auto" w:fill="auto"/>
          </w:tcPr>
          <w:p w14:paraId="1B536F52" w14:textId="201BE031" w:rsidR="00D14D60" w:rsidRPr="00E16ED8" w:rsidRDefault="00430238" w:rsidP="009C5723">
            <w:pPr>
              <w:pStyle w:val="Hyperlinkinpara"/>
              <w:rPr>
                <w:rStyle w:val="Hyperlink"/>
                <w:color w:val="0072CE"/>
              </w:rPr>
            </w:pPr>
            <w:hyperlink r:id="rId44" w:history="1">
              <w:r w:rsidR="00D14D60" w:rsidRPr="009C5723">
                <w:rPr>
                  <w:rStyle w:val="Hyperlink"/>
                  <w:color w:val="0072CE"/>
                </w:rPr>
                <w:t>OpenPrescribing - Prescribing of opioids</w:t>
              </w:r>
            </w:hyperlink>
          </w:p>
        </w:tc>
      </w:tr>
      <w:tr w:rsidR="00C23E6D" w:rsidRPr="00C23E6D" w14:paraId="6EEA21E7" w14:textId="77777777" w:rsidTr="00F94D3C">
        <w:trPr>
          <w:cantSplit/>
          <w:trHeight w:val="828"/>
        </w:trPr>
        <w:tc>
          <w:tcPr>
            <w:tcW w:w="2120" w:type="dxa"/>
            <w:tcBorders>
              <w:top w:val="single" w:sz="4" w:space="0" w:color="auto"/>
              <w:left w:val="single" w:sz="4" w:space="0" w:color="auto"/>
              <w:bottom w:val="nil"/>
              <w:right w:val="single" w:sz="4" w:space="0" w:color="auto"/>
            </w:tcBorders>
            <w:shd w:val="clear" w:color="auto" w:fill="auto"/>
            <w:hideMark/>
          </w:tcPr>
          <w:p w14:paraId="093C1AB6"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Notes</w:t>
            </w:r>
          </w:p>
        </w:tc>
        <w:tc>
          <w:tcPr>
            <w:tcW w:w="6800" w:type="dxa"/>
            <w:tcBorders>
              <w:top w:val="nil"/>
              <w:left w:val="nil"/>
              <w:bottom w:val="nil"/>
              <w:right w:val="single" w:sz="4" w:space="0" w:color="auto"/>
            </w:tcBorders>
            <w:shd w:val="clear" w:color="auto" w:fill="auto"/>
            <w:hideMark/>
          </w:tcPr>
          <w:p w14:paraId="376FEB2E" w14:textId="7954226D" w:rsidR="004306DD" w:rsidRDefault="004306DD" w:rsidP="004306DD">
            <w:pPr>
              <w:spacing w:after="0" w:line="240" w:lineRule="auto"/>
              <w:rPr>
                <w:rFonts w:ascii="Arial" w:eastAsia="Times New Roman" w:hAnsi="Arial" w:cs="Arial"/>
                <w:bCs w:val="0"/>
                <w:color w:val="000000"/>
                <w:sz w:val="22"/>
                <w:szCs w:val="22"/>
                <w:lang w:eastAsia="en-GB"/>
              </w:rPr>
            </w:pPr>
            <w:r w:rsidRPr="004306DD">
              <w:rPr>
                <w:rFonts w:ascii="Arial" w:eastAsia="Times New Roman" w:hAnsi="Arial" w:cs="Arial"/>
                <w:bCs w:val="0"/>
                <w:color w:val="000000"/>
                <w:sz w:val="22"/>
                <w:szCs w:val="22"/>
                <w:lang w:eastAsia="en-GB"/>
              </w:rPr>
              <w:t>Note this measure has been presented as a ratio per 1,000 GP list patients for comparative purposes. For patient safety purposes, the raw number of patients is also considered an important source of insight - see the "numerator" information within the detailed data tables, or other resources provided by the NHS England Medicines Safety Improvement Programme (MedSIP).</w:t>
            </w:r>
          </w:p>
          <w:p w14:paraId="671FDEBF" w14:textId="77777777" w:rsidR="004306DD" w:rsidRPr="004306DD" w:rsidRDefault="004306DD" w:rsidP="004306DD">
            <w:pPr>
              <w:spacing w:after="0" w:line="240" w:lineRule="auto"/>
              <w:rPr>
                <w:rFonts w:ascii="Arial" w:eastAsia="Times New Roman" w:hAnsi="Arial" w:cs="Arial"/>
                <w:bCs w:val="0"/>
                <w:color w:val="000000"/>
                <w:sz w:val="22"/>
                <w:szCs w:val="22"/>
                <w:lang w:eastAsia="en-GB"/>
              </w:rPr>
            </w:pPr>
          </w:p>
          <w:p w14:paraId="61D97854" w14:textId="171C0692" w:rsidR="00C23E6D" w:rsidRPr="00C23E6D" w:rsidRDefault="004306DD" w:rsidP="004306DD">
            <w:pPr>
              <w:spacing w:after="0" w:line="240" w:lineRule="auto"/>
              <w:rPr>
                <w:rFonts w:ascii="Arial" w:eastAsia="Times New Roman" w:hAnsi="Arial" w:cs="Arial"/>
                <w:bCs w:val="0"/>
                <w:color w:val="000000"/>
                <w:sz w:val="22"/>
                <w:szCs w:val="22"/>
                <w:lang w:eastAsia="en-GB"/>
              </w:rPr>
            </w:pPr>
            <w:r w:rsidRPr="004306DD">
              <w:rPr>
                <w:rFonts w:ascii="Arial" w:eastAsia="Times New Roman" w:hAnsi="Arial" w:cs="Arial"/>
                <w:bCs w:val="0"/>
                <w:color w:val="000000"/>
                <w:sz w:val="22"/>
                <w:szCs w:val="22"/>
                <w:lang w:eastAsia="en-GB"/>
              </w:rPr>
              <w:t xml:space="preserve">The aggregated GP list used for groups of GP Practices is based on the sum of four-month averaged list sizes. This may not be consistent with other measures of list sizes depending on the treatment of practices that open or close throughout the </w:t>
            </w:r>
            <w:r>
              <w:rPr>
                <w:rFonts w:ascii="Arial" w:eastAsia="Times New Roman" w:hAnsi="Arial" w:cs="Arial"/>
                <w:bCs w:val="0"/>
                <w:color w:val="000000"/>
                <w:sz w:val="22"/>
                <w:szCs w:val="22"/>
                <w:lang w:eastAsia="en-GB"/>
              </w:rPr>
              <w:t>four-</w:t>
            </w:r>
            <w:r w:rsidRPr="004306DD">
              <w:rPr>
                <w:rFonts w:ascii="Arial" w:eastAsia="Times New Roman" w:hAnsi="Arial" w:cs="Arial"/>
                <w:bCs w:val="0"/>
                <w:color w:val="000000"/>
                <w:sz w:val="22"/>
                <w:szCs w:val="22"/>
                <w:lang w:eastAsia="en-GB"/>
              </w:rPr>
              <w:t>month period and the 'latest' practice used to report the patients in</w:t>
            </w:r>
            <w:r>
              <w:rPr>
                <w:rFonts w:ascii="Arial" w:eastAsia="Times New Roman" w:hAnsi="Arial" w:cs="Arial"/>
                <w:bCs w:val="0"/>
                <w:color w:val="000000"/>
                <w:sz w:val="22"/>
                <w:szCs w:val="22"/>
                <w:lang w:eastAsia="en-GB"/>
              </w:rPr>
              <w:t xml:space="preserve"> t</w:t>
            </w:r>
            <w:r w:rsidRPr="004306DD">
              <w:rPr>
                <w:rFonts w:ascii="Arial" w:eastAsia="Times New Roman" w:hAnsi="Arial" w:cs="Arial"/>
                <w:bCs w:val="0"/>
                <w:color w:val="000000"/>
                <w:sz w:val="22"/>
                <w:szCs w:val="22"/>
                <w:lang w:eastAsia="en-GB"/>
              </w:rPr>
              <w:t>he numerator.</w:t>
            </w:r>
          </w:p>
        </w:tc>
      </w:tr>
      <w:tr w:rsidR="00C23E6D" w:rsidRPr="00C23E6D" w14:paraId="62F13264" w14:textId="77777777" w:rsidTr="4257620F">
        <w:trPr>
          <w:trHeight w:val="276"/>
        </w:trPr>
        <w:tc>
          <w:tcPr>
            <w:tcW w:w="2120" w:type="dxa"/>
            <w:tcBorders>
              <w:top w:val="nil"/>
              <w:left w:val="single" w:sz="4" w:space="0" w:color="auto"/>
              <w:bottom w:val="nil"/>
              <w:right w:val="single" w:sz="4" w:space="0" w:color="auto"/>
            </w:tcBorders>
            <w:shd w:val="clear" w:color="auto" w:fill="auto"/>
            <w:hideMark/>
          </w:tcPr>
          <w:p w14:paraId="272390A2"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nil"/>
              <w:right w:val="single" w:sz="4" w:space="0" w:color="auto"/>
            </w:tcBorders>
            <w:shd w:val="clear" w:color="auto" w:fill="auto"/>
            <w:hideMark/>
          </w:tcPr>
          <w:p w14:paraId="1A70581E" w14:textId="4CB127EB" w:rsidR="00C23E6D" w:rsidRPr="00C23E6D" w:rsidRDefault="00C23E6D" w:rsidP="00C23E6D">
            <w:pPr>
              <w:spacing w:after="0" w:line="240" w:lineRule="auto"/>
              <w:rPr>
                <w:rFonts w:ascii="Arial" w:eastAsia="Times New Roman" w:hAnsi="Arial" w:cs="Arial"/>
                <w:bCs w:val="0"/>
                <w:color w:val="000000"/>
                <w:sz w:val="22"/>
                <w:szCs w:val="22"/>
                <w:lang w:eastAsia="en-GB"/>
              </w:rPr>
            </w:pPr>
          </w:p>
        </w:tc>
      </w:tr>
      <w:tr w:rsidR="00C23E6D" w:rsidRPr="00C23E6D" w14:paraId="7C03952B" w14:textId="77777777" w:rsidTr="004B2F6C">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5A2708B5" w14:textId="77777777" w:rsidR="00C23E6D" w:rsidRPr="00C23E6D" w:rsidRDefault="00C23E6D" w:rsidP="00C23E6D">
            <w:pPr>
              <w:spacing w:after="0" w:line="240" w:lineRule="auto"/>
              <w:rPr>
                <w:rFonts w:ascii="Arial" w:eastAsia="Times New Roman" w:hAnsi="Arial" w:cs="Arial"/>
                <w:bCs w:val="0"/>
                <w:color w:val="000000"/>
                <w:sz w:val="22"/>
                <w:szCs w:val="22"/>
                <w:lang w:eastAsia="en-GB"/>
              </w:rPr>
            </w:pPr>
            <w:r w:rsidRPr="00C23E6D">
              <w:rPr>
                <w:rFonts w:ascii="Arial" w:eastAsia="Times New Roman" w:hAnsi="Arial" w:cs="Arial"/>
                <w:bCs w:val="0"/>
                <w:color w:val="000000"/>
                <w:sz w:val="22"/>
                <w:szCs w:val="22"/>
                <w:lang w:eastAsia="en-GB"/>
              </w:rPr>
              <w:t> </w:t>
            </w:r>
          </w:p>
        </w:tc>
        <w:tc>
          <w:tcPr>
            <w:tcW w:w="6800" w:type="dxa"/>
            <w:tcBorders>
              <w:top w:val="nil"/>
              <w:left w:val="nil"/>
              <w:bottom w:val="single" w:sz="4" w:space="0" w:color="auto"/>
              <w:right w:val="single" w:sz="4" w:space="0" w:color="auto"/>
            </w:tcBorders>
            <w:shd w:val="clear" w:color="auto" w:fill="auto"/>
            <w:hideMark/>
          </w:tcPr>
          <w:p w14:paraId="2685F48D" w14:textId="4014CB4F" w:rsidR="00C23E6D" w:rsidRPr="00C23E6D" w:rsidRDefault="00C23E6D" w:rsidP="00C23E6D">
            <w:pPr>
              <w:spacing w:after="0" w:line="240" w:lineRule="auto"/>
              <w:rPr>
                <w:rFonts w:ascii="Arial" w:eastAsia="Times New Roman" w:hAnsi="Arial" w:cs="Arial"/>
                <w:bCs w:val="0"/>
                <w:color w:val="000000"/>
                <w:sz w:val="22"/>
                <w:szCs w:val="22"/>
                <w:lang w:eastAsia="en-GB"/>
              </w:rPr>
            </w:pPr>
          </w:p>
        </w:tc>
      </w:tr>
      <w:tr w:rsidR="004B2F6C" w:rsidRPr="00C23E6D" w14:paraId="58558A05" w14:textId="77777777" w:rsidTr="004B2F6C">
        <w:trPr>
          <w:trHeight w:val="276"/>
        </w:trPr>
        <w:tc>
          <w:tcPr>
            <w:tcW w:w="8920" w:type="dxa"/>
            <w:gridSpan w:val="2"/>
            <w:tcBorders>
              <w:top w:val="single" w:sz="4" w:space="0" w:color="auto"/>
            </w:tcBorders>
            <w:shd w:val="clear" w:color="auto" w:fill="auto"/>
          </w:tcPr>
          <w:p w14:paraId="1532C8FF" w14:textId="05CF46EB" w:rsidR="004B2F6C" w:rsidRPr="00C23E6D" w:rsidRDefault="004B2F6C" w:rsidP="00C23E6D">
            <w:pPr>
              <w:spacing w:after="0" w:line="240" w:lineRule="auto"/>
              <w:rPr>
                <w:rFonts w:ascii="Arial" w:eastAsia="Times New Roman" w:hAnsi="Arial" w:cs="Arial"/>
                <w:bCs w:val="0"/>
                <w:color w:val="000000"/>
                <w:sz w:val="22"/>
                <w:szCs w:val="22"/>
                <w:lang w:eastAsia="en-GB"/>
              </w:rPr>
            </w:pPr>
            <w:r>
              <w:rPr>
                <w:rFonts w:ascii="Arial" w:eastAsia="Times New Roman" w:hAnsi="Arial" w:cs="Arial"/>
                <w:bCs w:val="0"/>
                <w:color w:val="000000"/>
                <w:sz w:val="22"/>
                <w:szCs w:val="22"/>
                <w:lang w:eastAsia="en-GB"/>
              </w:rPr>
              <w:t>Continued overleaf</w:t>
            </w:r>
          </w:p>
        </w:tc>
      </w:tr>
      <w:tr w:rsidR="00C23E6D" w:rsidRPr="00C23E6D" w14:paraId="3D603BE4" w14:textId="77777777" w:rsidTr="004B2F6C">
        <w:trPr>
          <w:cantSplit/>
          <w:trHeight w:val="552"/>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307E8B8F"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lastRenderedPageBreak/>
              <w:t>Medicine Group Definitions</w:t>
            </w:r>
          </w:p>
        </w:tc>
        <w:tc>
          <w:tcPr>
            <w:tcW w:w="6800" w:type="dxa"/>
            <w:tcBorders>
              <w:top w:val="single" w:sz="4" w:space="0" w:color="auto"/>
              <w:left w:val="single" w:sz="4" w:space="0" w:color="auto"/>
              <w:bottom w:val="single" w:sz="4" w:space="0" w:color="auto"/>
              <w:right w:val="single" w:sz="4" w:space="0" w:color="auto"/>
            </w:tcBorders>
            <w:shd w:val="clear" w:color="auto" w:fill="auto"/>
            <w:hideMark/>
          </w:tcPr>
          <w:p w14:paraId="138FA67F" w14:textId="77777777" w:rsidR="00E641A5" w:rsidRPr="00CE67C3" w:rsidRDefault="00E641A5"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 xml:space="preserve">See the NHSBSA </w:t>
            </w:r>
            <w:hyperlink r:id="rId45" w:history="1">
              <w:r w:rsidRPr="00CE67C3">
                <w:rPr>
                  <w:rStyle w:val="Hyperlink"/>
                  <w:color w:val="0072CE"/>
                  <w:sz w:val="22"/>
                  <w:szCs w:val="22"/>
                </w:rPr>
                <w:t>ePACT2 medicines safety dashboard specification</w:t>
              </w:r>
            </w:hyperlink>
            <w:r w:rsidRPr="00CE67C3">
              <w:rPr>
                <w:rStyle w:val="Hyperlink"/>
                <w:rFonts w:cstheme="minorHAnsi"/>
                <w:color w:val="0072CE"/>
                <w:sz w:val="22"/>
                <w:szCs w:val="22"/>
              </w:rPr>
              <w:t xml:space="preserve"> </w:t>
            </w:r>
            <w:r w:rsidRPr="00CE67C3">
              <w:rPr>
                <w:rFonts w:ascii="Arial" w:eastAsia="Times New Roman" w:hAnsi="Arial" w:cs="Arial"/>
                <w:bCs w:val="0"/>
                <w:color w:val="000000"/>
                <w:sz w:val="22"/>
                <w:szCs w:val="22"/>
                <w:lang w:eastAsia="en-GB"/>
              </w:rPr>
              <w:t>PAIN03 comparator for more details.</w:t>
            </w:r>
            <w:r w:rsidRPr="00CE67C3">
              <w:rPr>
                <w:rFonts w:ascii="Arial" w:eastAsia="Times New Roman" w:hAnsi="Arial" w:cs="Arial"/>
                <w:bCs w:val="0"/>
                <w:color w:val="000000"/>
                <w:sz w:val="22"/>
                <w:szCs w:val="22"/>
                <w:lang w:eastAsia="en-GB"/>
              </w:rPr>
              <w:br/>
            </w:r>
            <w:r w:rsidRPr="00CE67C3">
              <w:rPr>
                <w:rFonts w:ascii="Arial" w:eastAsia="Times New Roman" w:hAnsi="Arial" w:cs="Arial"/>
                <w:bCs w:val="0"/>
                <w:color w:val="000000"/>
                <w:sz w:val="22"/>
                <w:szCs w:val="22"/>
                <w:lang w:eastAsia="en-GB"/>
              </w:rPr>
              <w:br/>
              <w:t>Oral or transdermal opioids are defined as:</w:t>
            </w:r>
            <w:r w:rsidRPr="00CE67C3">
              <w:rPr>
                <w:rFonts w:ascii="Arial" w:eastAsia="Times New Roman" w:hAnsi="Arial" w:cs="Arial"/>
                <w:bCs w:val="0"/>
                <w:color w:val="000000"/>
                <w:sz w:val="22"/>
                <w:szCs w:val="22"/>
                <w:lang w:eastAsia="en-GB"/>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268"/>
              <w:gridCol w:w="1306"/>
            </w:tblGrid>
            <w:tr w:rsidR="00E641A5" w:rsidRPr="00CE67C3" w14:paraId="40FCA9B5" w14:textId="77777777" w:rsidTr="00CF7770">
              <w:tc>
                <w:tcPr>
                  <w:tcW w:w="3010" w:type="dxa"/>
                  <w:shd w:val="clear" w:color="auto" w:fill="005EB8" w:themeFill="text2"/>
                </w:tcPr>
                <w:p w14:paraId="08F309EA" w14:textId="06CC7ACF" w:rsidR="00E641A5" w:rsidRPr="00CE67C3" w:rsidRDefault="00E641A5" w:rsidP="00E641A5">
                  <w:pPr>
                    <w:keepLines/>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Group</w:t>
                  </w:r>
                </w:p>
              </w:tc>
              <w:tc>
                <w:tcPr>
                  <w:tcW w:w="2268" w:type="dxa"/>
                  <w:shd w:val="clear" w:color="auto" w:fill="005EB8" w:themeFill="text2"/>
                </w:tcPr>
                <w:p w14:paraId="007D2BB3" w14:textId="580F9933" w:rsidR="00E641A5" w:rsidRPr="00CE67C3" w:rsidRDefault="00E641A5" w:rsidP="00E641A5">
                  <w:pPr>
                    <w:keepLines/>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Description</w:t>
                  </w:r>
                </w:p>
              </w:tc>
              <w:tc>
                <w:tcPr>
                  <w:tcW w:w="1306" w:type="dxa"/>
                  <w:shd w:val="clear" w:color="auto" w:fill="005EB8" w:themeFill="text2"/>
                </w:tcPr>
                <w:p w14:paraId="6ED01D30" w14:textId="5D3B4AEA" w:rsidR="00E641A5" w:rsidRPr="00CE67C3" w:rsidRDefault="00E641A5" w:rsidP="00E641A5">
                  <w:pPr>
                    <w:keepLines/>
                    <w:rPr>
                      <w:rFonts w:ascii="Arial" w:eastAsia="Times New Roman" w:hAnsi="Arial" w:cs="Arial"/>
                      <w:b/>
                      <w:color w:val="FFFFFF" w:themeColor="background1"/>
                      <w:sz w:val="22"/>
                      <w:szCs w:val="22"/>
                      <w:lang w:eastAsia="en-GB"/>
                    </w:rPr>
                  </w:pPr>
                  <w:r w:rsidRPr="00CE67C3">
                    <w:rPr>
                      <w:rFonts w:ascii="Arial" w:eastAsia="Times New Roman" w:hAnsi="Arial" w:cs="Arial"/>
                      <w:b/>
                      <w:color w:val="FFFFFF" w:themeColor="background1"/>
                      <w:sz w:val="22"/>
                      <w:szCs w:val="22"/>
                      <w:lang w:eastAsia="en-GB"/>
                    </w:rPr>
                    <w:t>BNF Code</w:t>
                  </w:r>
                </w:p>
              </w:tc>
            </w:tr>
            <w:tr w:rsidR="00E641A5" w:rsidRPr="00CE67C3" w14:paraId="17009CDF" w14:textId="77777777" w:rsidTr="00CF7770">
              <w:tc>
                <w:tcPr>
                  <w:tcW w:w="3010" w:type="dxa"/>
                  <w:shd w:val="clear" w:color="auto" w:fill="F2F2F2" w:themeFill="background1" w:themeFillShade="F2"/>
                </w:tcPr>
                <w:p w14:paraId="4568B854" w14:textId="174452C3"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Oral medicines</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containing</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15mg or more</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of codeine or</w:t>
                  </w:r>
                </w:p>
                <w:p w14:paraId="3807548E" w14:textId="1677B9AB" w:rsidR="00E641A5" w:rsidRPr="00CE67C3" w:rsidRDefault="00E641A5" w:rsidP="00CF7770">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10mg or more</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of</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dihydrocodeine</w:t>
                  </w:r>
                </w:p>
              </w:tc>
              <w:tc>
                <w:tcPr>
                  <w:tcW w:w="2268" w:type="dxa"/>
                  <w:shd w:val="clear" w:color="auto" w:fill="F2F2F2" w:themeFill="background1" w:themeFillShade="F2"/>
                </w:tcPr>
                <w:p w14:paraId="045A181C" w14:textId="77777777"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Non-Opioid Analgesics And</w:t>
                  </w:r>
                </w:p>
                <w:p w14:paraId="02D56E36" w14:textId="6B2253AA"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Compound Prep (sub-set)</w:t>
                  </w:r>
                </w:p>
              </w:tc>
              <w:tc>
                <w:tcPr>
                  <w:tcW w:w="1306" w:type="dxa"/>
                  <w:shd w:val="clear" w:color="auto" w:fill="F2F2F2" w:themeFill="background1" w:themeFillShade="F2"/>
                </w:tcPr>
                <w:p w14:paraId="0C439039" w14:textId="4C27BB5B"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040701</w:t>
                  </w:r>
                </w:p>
              </w:tc>
            </w:tr>
            <w:tr w:rsidR="00E641A5" w:rsidRPr="00CE67C3" w14:paraId="236F2243" w14:textId="77777777" w:rsidTr="00CF7770">
              <w:tc>
                <w:tcPr>
                  <w:tcW w:w="3010" w:type="dxa"/>
                  <w:shd w:val="clear" w:color="auto" w:fill="D9D9D9" w:themeFill="background1" w:themeFillShade="D9"/>
                </w:tcPr>
                <w:p w14:paraId="0D8ED967" w14:textId="65CCB415" w:rsidR="00E641A5" w:rsidRPr="00CE67C3" w:rsidRDefault="00E641A5" w:rsidP="00CF7770">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Oral or</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transdermal</w:t>
                  </w:r>
                  <w:r w:rsidR="00CF7770" w:rsidRPr="00CE67C3">
                    <w:rPr>
                      <w:rFonts w:ascii="Arial" w:eastAsia="Times New Roman" w:hAnsi="Arial" w:cs="Arial"/>
                      <w:bCs w:val="0"/>
                      <w:color w:val="000000" w:themeColor="text1"/>
                      <w:sz w:val="22"/>
                      <w:szCs w:val="22"/>
                      <w:lang w:eastAsia="en-GB"/>
                    </w:rPr>
                    <w:t xml:space="preserve"> </w:t>
                  </w:r>
                  <w:r w:rsidRPr="00CE67C3">
                    <w:rPr>
                      <w:rFonts w:ascii="Arial" w:eastAsia="Times New Roman" w:hAnsi="Arial" w:cs="Arial"/>
                      <w:bCs w:val="0"/>
                      <w:color w:val="000000" w:themeColor="text1"/>
                      <w:sz w:val="22"/>
                      <w:szCs w:val="22"/>
                      <w:lang w:eastAsia="en-GB"/>
                    </w:rPr>
                    <w:t>opioids</w:t>
                  </w:r>
                </w:p>
              </w:tc>
              <w:tc>
                <w:tcPr>
                  <w:tcW w:w="2268" w:type="dxa"/>
                  <w:shd w:val="clear" w:color="auto" w:fill="D9D9D9" w:themeFill="background1" w:themeFillShade="D9"/>
                </w:tcPr>
                <w:p w14:paraId="4548B3BE" w14:textId="38C03E53"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Opioid Analgesics (sub-set)</w:t>
                  </w:r>
                </w:p>
              </w:tc>
              <w:tc>
                <w:tcPr>
                  <w:tcW w:w="1306" w:type="dxa"/>
                  <w:shd w:val="clear" w:color="auto" w:fill="D9D9D9" w:themeFill="background1" w:themeFillShade="D9"/>
                </w:tcPr>
                <w:p w14:paraId="3C36F559" w14:textId="12C8A533" w:rsidR="00E641A5" w:rsidRPr="00CE67C3" w:rsidRDefault="00E641A5" w:rsidP="00E641A5">
                  <w:pPr>
                    <w:keepLines/>
                    <w:rPr>
                      <w:rFonts w:ascii="Arial" w:eastAsia="Times New Roman" w:hAnsi="Arial" w:cs="Arial"/>
                      <w:bCs w:val="0"/>
                      <w:color w:val="000000" w:themeColor="text1"/>
                      <w:sz w:val="22"/>
                      <w:szCs w:val="22"/>
                      <w:lang w:eastAsia="en-GB"/>
                    </w:rPr>
                  </w:pPr>
                  <w:r w:rsidRPr="00CE67C3">
                    <w:rPr>
                      <w:rFonts w:ascii="Arial" w:eastAsia="Times New Roman" w:hAnsi="Arial" w:cs="Arial"/>
                      <w:bCs w:val="0"/>
                      <w:color w:val="000000" w:themeColor="text1"/>
                      <w:sz w:val="22"/>
                      <w:szCs w:val="22"/>
                      <w:lang w:eastAsia="en-GB"/>
                    </w:rPr>
                    <w:t>040702</w:t>
                  </w:r>
                </w:p>
              </w:tc>
            </w:tr>
          </w:tbl>
          <w:p w14:paraId="04F6952A" w14:textId="050C5F80" w:rsidR="00E641A5" w:rsidRPr="00CE67C3" w:rsidRDefault="00E641A5" w:rsidP="00C23E6D">
            <w:pPr>
              <w:spacing w:after="0" w:line="240" w:lineRule="auto"/>
              <w:rPr>
                <w:rFonts w:cstheme="minorHAnsi"/>
                <w:color w:val="0072CE"/>
                <w:sz w:val="22"/>
                <w:szCs w:val="22"/>
                <w:u w:val="single"/>
              </w:rPr>
            </w:pPr>
            <w:r w:rsidRPr="00CE67C3">
              <w:rPr>
                <w:rFonts w:ascii="Arial" w:eastAsia="Times New Roman" w:hAnsi="Arial" w:cs="Arial"/>
                <w:bCs w:val="0"/>
                <w:color w:val="000000"/>
                <w:sz w:val="22"/>
                <w:szCs w:val="22"/>
                <w:lang w:eastAsia="en-GB"/>
              </w:rPr>
              <w:br/>
            </w:r>
            <w:r w:rsidR="00103992" w:rsidRPr="00CE67C3">
              <w:rPr>
                <w:rFonts w:ascii="Arial" w:eastAsia="Times New Roman" w:hAnsi="Arial" w:cs="Arial"/>
                <w:bCs w:val="0"/>
                <w:color w:val="000000"/>
                <w:sz w:val="22"/>
                <w:szCs w:val="22"/>
                <w:lang w:eastAsia="en-GB"/>
              </w:rPr>
              <w:t xml:space="preserve">A more detailed list of the sub-sets is included in </w:t>
            </w:r>
            <w:r w:rsidR="00756780" w:rsidRPr="00CE67C3">
              <w:rPr>
                <w:rFonts w:ascii="Arial" w:eastAsia="Times New Roman" w:hAnsi="Arial" w:cs="Arial"/>
                <w:bCs w:val="0"/>
                <w:color w:val="000000"/>
                <w:sz w:val="22"/>
                <w:szCs w:val="22"/>
                <w:lang w:eastAsia="en-GB"/>
              </w:rPr>
              <w:t>Appendix 1</w:t>
            </w:r>
            <w:r w:rsidR="00103992" w:rsidRPr="00CE67C3">
              <w:rPr>
                <w:rFonts w:ascii="Arial" w:eastAsia="Times New Roman" w:hAnsi="Arial" w:cs="Arial"/>
                <w:bCs w:val="0"/>
                <w:color w:val="000000"/>
                <w:sz w:val="22"/>
                <w:szCs w:val="22"/>
                <w:lang w:eastAsia="en-GB"/>
              </w:rPr>
              <w:t>.</w:t>
            </w:r>
            <w:r w:rsidR="00103992" w:rsidRPr="00CE67C3">
              <w:rPr>
                <w:rFonts w:ascii="Arial" w:eastAsia="Times New Roman" w:hAnsi="Arial" w:cs="Arial"/>
                <w:bCs w:val="0"/>
                <w:color w:val="000000"/>
                <w:sz w:val="22"/>
                <w:szCs w:val="22"/>
                <w:lang w:eastAsia="en-GB"/>
              </w:rPr>
              <w:br/>
              <w:t>Note this list may be periodically reviewed to pick up new brands or formulations but there may be a period of time between a brand entering the market and being added to the drug grouping used in the dashboard.</w:t>
            </w:r>
            <w:r w:rsidRPr="00CE67C3">
              <w:rPr>
                <w:rFonts w:ascii="Arial" w:eastAsia="Times New Roman" w:hAnsi="Arial" w:cs="Arial"/>
                <w:bCs w:val="0"/>
                <w:color w:val="000000"/>
                <w:sz w:val="22"/>
                <w:szCs w:val="22"/>
                <w:lang w:eastAsia="en-GB"/>
              </w:rPr>
              <w:br/>
            </w:r>
          </w:p>
          <w:p w14:paraId="01BCA706" w14:textId="68867F88" w:rsidR="00C23E6D" w:rsidRPr="00CE67C3" w:rsidRDefault="00C23E6D" w:rsidP="00C23E6D">
            <w:pPr>
              <w:spacing w:after="0" w:line="240" w:lineRule="auto"/>
              <w:rPr>
                <w:rFonts w:ascii="Arial" w:eastAsia="Times New Roman" w:hAnsi="Arial" w:cs="Arial"/>
                <w:bCs w:val="0"/>
                <w:color w:val="FF0000"/>
                <w:sz w:val="22"/>
                <w:szCs w:val="22"/>
                <w:lang w:eastAsia="en-GB"/>
              </w:rPr>
            </w:pPr>
          </w:p>
        </w:tc>
      </w:tr>
      <w:tr w:rsidR="00C23E6D" w:rsidRPr="00C23E6D" w14:paraId="36BBA375" w14:textId="77777777" w:rsidTr="4257620F">
        <w:trPr>
          <w:trHeight w:val="828"/>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2FE661D6" w14:textId="77777777" w:rsidR="00C23E6D" w:rsidRPr="00CE67C3" w:rsidRDefault="00C23E6D" w:rsidP="00C23E6D">
            <w:pPr>
              <w:spacing w:after="0" w:line="240" w:lineRule="auto"/>
              <w:rPr>
                <w:rFonts w:ascii="Arial" w:eastAsia="Times New Roman" w:hAnsi="Arial" w:cs="Arial"/>
                <w:bCs w:val="0"/>
                <w:color w:val="000000"/>
                <w:sz w:val="22"/>
                <w:szCs w:val="22"/>
                <w:lang w:eastAsia="en-GB"/>
              </w:rPr>
            </w:pPr>
            <w:r w:rsidRPr="00CE67C3">
              <w:rPr>
                <w:rFonts w:ascii="Arial" w:eastAsia="Times New Roman" w:hAnsi="Arial" w:cs="Arial"/>
                <w:bCs w:val="0"/>
                <w:color w:val="000000"/>
                <w:sz w:val="22"/>
                <w:szCs w:val="22"/>
                <w:lang w:eastAsia="en-GB"/>
              </w:rPr>
              <w:t>Other inclusion or exclusion criteria:</w:t>
            </w:r>
          </w:p>
        </w:tc>
        <w:tc>
          <w:tcPr>
            <w:tcW w:w="6800" w:type="dxa"/>
            <w:tcBorders>
              <w:top w:val="single" w:sz="4" w:space="0" w:color="auto"/>
              <w:left w:val="nil"/>
              <w:bottom w:val="single" w:sz="4" w:space="0" w:color="auto"/>
              <w:right w:val="single" w:sz="4" w:space="0" w:color="auto"/>
            </w:tcBorders>
            <w:shd w:val="clear" w:color="auto" w:fill="auto"/>
            <w:hideMark/>
          </w:tcPr>
          <w:p w14:paraId="34442E94" w14:textId="774DE190" w:rsidR="00C23E6D" w:rsidRPr="00CE67C3" w:rsidRDefault="738A4AFE" w:rsidP="4257620F">
            <w:pPr>
              <w:spacing w:after="0" w:line="240" w:lineRule="auto"/>
              <w:rPr>
                <w:rFonts w:ascii="Arial" w:eastAsia="Times New Roman" w:hAnsi="Arial" w:cs="Arial"/>
                <w:color w:val="FF0000"/>
                <w:sz w:val="22"/>
                <w:szCs w:val="22"/>
                <w:lang w:eastAsia="en-GB"/>
              </w:rPr>
            </w:pPr>
            <w:r w:rsidRPr="4257620F">
              <w:rPr>
                <w:rFonts w:ascii="Arial" w:eastAsia="Times New Roman" w:hAnsi="Arial" w:cs="Arial"/>
                <w:sz w:val="22"/>
                <w:szCs w:val="22"/>
                <w:lang w:eastAsia="en-GB"/>
              </w:rPr>
              <w:t xml:space="preserve">Includes </w:t>
            </w:r>
            <w:r w:rsidR="4B1EB501" w:rsidRPr="4257620F">
              <w:rPr>
                <w:rFonts w:ascii="Arial" w:eastAsia="Times New Roman" w:hAnsi="Arial" w:cs="Arial"/>
                <w:sz w:val="22"/>
                <w:szCs w:val="22"/>
                <w:lang w:eastAsia="en-GB"/>
              </w:rPr>
              <w:t>English NHS prescriptions linked to identified patients for whom NHS BSA holds data for a registered GP practice only, aged 18 or over</w:t>
            </w:r>
          </w:p>
        </w:tc>
      </w:tr>
    </w:tbl>
    <w:p w14:paraId="7E0EA6EC" w14:textId="77777777" w:rsidR="00C23E6D" w:rsidRDefault="00C23E6D"/>
    <w:p w14:paraId="78493914" w14:textId="2B808F85" w:rsidR="009B7AA8" w:rsidRDefault="009B7AA8">
      <w:pPr>
        <w:rPr>
          <w:rFonts w:asciiTheme="majorHAnsi" w:eastAsiaTheme="majorEastAsia" w:hAnsiTheme="majorHAnsi" w:cstheme="majorBidi"/>
          <w:color w:val="005EB8" w:themeColor="text2"/>
          <w:sz w:val="24"/>
          <w:szCs w:val="26"/>
        </w:rPr>
      </w:pPr>
      <w:r>
        <w:br w:type="page"/>
      </w:r>
    </w:p>
    <w:p w14:paraId="352A0C3A" w14:textId="1A7AE8FF" w:rsidR="009B7AA8" w:rsidRPr="009B7AA8" w:rsidRDefault="009B7AA8" w:rsidP="009B7AA8">
      <w:pPr>
        <w:pStyle w:val="Heading2"/>
      </w:pPr>
      <w:bookmarkStart w:id="21" w:name="_Toc172291532"/>
      <w:r>
        <w:lastRenderedPageBreak/>
        <w:t>Metric 16.IV antibiotics to oral</w:t>
      </w:r>
      <w:bookmarkEnd w:id="21"/>
    </w:p>
    <w:tbl>
      <w:tblPr>
        <w:tblW w:w="8920" w:type="dxa"/>
        <w:tblLook w:val="04A0" w:firstRow="1" w:lastRow="0" w:firstColumn="1" w:lastColumn="0" w:noHBand="0" w:noVBand="1"/>
      </w:tblPr>
      <w:tblGrid>
        <w:gridCol w:w="2120"/>
        <w:gridCol w:w="6800"/>
      </w:tblGrid>
      <w:tr w:rsidR="0061270E" w:rsidRPr="0061270E" w14:paraId="7BEBD70F" w14:textId="77777777" w:rsidTr="4257620F">
        <w:trPr>
          <w:trHeight w:val="276"/>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6FB87AA4"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Opportunity title</w:t>
            </w:r>
          </w:p>
        </w:tc>
        <w:tc>
          <w:tcPr>
            <w:tcW w:w="6800" w:type="dxa"/>
            <w:tcBorders>
              <w:top w:val="single" w:sz="4" w:space="0" w:color="auto"/>
              <w:left w:val="nil"/>
              <w:bottom w:val="single" w:sz="4" w:space="0" w:color="auto"/>
              <w:right w:val="single" w:sz="4" w:space="0" w:color="auto"/>
            </w:tcBorders>
            <w:shd w:val="clear" w:color="auto" w:fill="auto"/>
            <w:hideMark/>
          </w:tcPr>
          <w:p w14:paraId="1345E842"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IV antibiotics to oral</w:t>
            </w:r>
          </w:p>
        </w:tc>
      </w:tr>
      <w:tr w:rsidR="0061270E" w:rsidRPr="0061270E" w14:paraId="3399E1E6"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21A6454D"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Opportunity description</w:t>
            </w:r>
          </w:p>
        </w:tc>
        <w:tc>
          <w:tcPr>
            <w:tcW w:w="6800" w:type="dxa"/>
            <w:tcBorders>
              <w:top w:val="nil"/>
              <w:left w:val="nil"/>
              <w:bottom w:val="single" w:sz="4" w:space="0" w:color="auto"/>
              <w:right w:val="single" w:sz="4" w:space="0" w:color="auto"/>
            </w:tcBorders>
            <w:shd w:val="clear" w:color="auto" w:fill="auto"/>
            <w:hideMark/>
          </w:tcPr>
          <w:p w14:paraId="25A403B8" w14:textId="77777777" w:rsidR="00A2443E" w:rsidRDefault="00A2443E" w:rsidP="00A2443E">
            <w:pPr>
              <w:rPr>
                <w:rFonts w:ascii="Arial" w:hAnsi="Arial" w:cs="Arial"/>
                <w:bCs w:val="0"/>
                <w:color w:val="000000"/>
                <w:sz w:val="22"/>
                <w:szCs w:val="22"/>
              </w:rPr>
            </w:pPr>
            <w:r>
              <w:rPr>
                <w:rFonts w:ascii="Arial" w:hAnsi="Arial" w:cs="Arial"/>
                <w:color w:val="000000"/>
                <w:sz w:val="22"/>
                <w:szCs w:val="22"/>
              </w:rPr>
              <w:t>Timely intravenous-to-oral switch (IVOS) of antimicrobials is an important antimicrobial stewardship intervention. Research evidence confirms several IVOS benefits, including shorter hospital length-of-stay, decreased risk of bloodstream infections, released nursing time to care for patients, increased patient mobility and comfort, reduced carbon footprint and reduced drug and equipment costs.</w:t>
            </w:r>
            <w:r>
              <w:rPr>
                <w:rFonts w:ascii="Arial" w:hAnsi="Arial" w:cs="Arial"/>
                <w:color w:val="000000"/>
                <w:sz w:val="22"/>
                <w:szCs w:val="22"/>
              </w:rPr>
              <w:br/>
            </w:r>
            <w:r>
              <w:rPr>
                <w:rFonts w:ascii="Arial" w:hAnsi="Arial" w:cs="Arial"/>
                <w:color w:val="000000"/>
                <w:sz w:val="22"/>
                <w:szCs w:val="22"/>
              </w:rPr>
              <w:br/>
              <w:t xml:space="preserve">The UK Health Security Agency (UKHSA) and NHSE have developed national guidelines for antimicrobial intravenous-to-oral switch (IVOS), including criteria for timely switch.  Adherence to these guidelines is the focus of a 2024/25 NHS England Commissioning for Quality and Innovation (CQUIN) indicator.  Compliance with the IVOS CQUIN is also published as an AMR local indicator on Public Health Profiles (Fingertips). </w:t>
            </w:r>
          </w:p>
          <w:p w14:paraId="02BD4F5A" w14:textId="61FD9716" w:rsidR="0061270E" w:rsidRPr="0061270E" w:rsidRDefault="0061270E" w:rsidP="0061270E">
            <w:pPr>
              <w:spacing w:after="0" w:line="240" w:lineRule="auto"/>
              <w:rPr>
                <w:rFonts w:ascii="Arial" w:eastAsia="Times New Roman" w:hAnsi="Arial" w:cs="Arial"/>
                <w:bCs w:val="0"/>
                <w:color w:val="000000"/>
                <w:sz w:val="22"/>
                <w:szCs w:val="22"/>
                <w:lang w:eastAsia="en-GB"/>
              </w:rPr>
            </w:pPr>
          </w:p>
        </w:tc>
      </w:tr>
      <w:tr w:rsidR="0061270E" w:rsidRPr="0061270E" w14:paraId="2A4E3050"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317C02DC"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Metric type</w:t>
            </w:r>
          </w:p>
        </w:tc>
        <w:tc>
          <w:tcPr>
            <w:tcW w:w="6800" w:type="dxa"/>
            <w:tcBorders>
              <w:top w:val="nil"/>
              <w:left w:val="nil"/>
              <w:bottom w:val="single" w:sz="4" w:space="0" w:color="auto"/>
              <w:right w:val="single" w:sz="4" w:space="0" w:color="auto"/>
            </w:tcBorders>
            <w:shd w:val="clear" w:color="auto" w:fill="auto"/>
            <w:hideMark/>
          </w:tcPr>
          <w:p w14:paraId="7D867547" w14:textId="2B061756" w:rsidR="0061270E" w:rsidRPr="0061270E" w:rsidRDefault="49B6D7EC" w:rsidP="4257620F">
            <w:pPr>
              <w:spacing w:after="0" w:line="240" w:lineRule="auto"/>
              <w:rPr>
                <w:rFonts w:ascii="Arial" w:eastAsia="Times New Roman" w:hAnsi="Arial" w:cs="Arial"/>
                <w:color w:val="000000"/>
                <w:sz w:val="22"/>
                <w:szCs w:val="22"/>
                <w:lang w:eastAsia="en-GB"/>
              </w:rPr>
            </w:pPr>
            <w:r w:rsidRPr="4257620F">
              <w:rPr>
                <w:rFonts w:ascii="Arial" w:eastAsia="Times New Roman" w:hAnsi="Arial" w:cs="Arial"/>
                <w:color w:val="000000" w:themeColor="text1"/>
                <w:sz w:val="22"/>
                <w:szCs w:val="22"/>
                <w:lang w:eastAsia="en-GB"/>
              </w:rPr>
              <w:t>Secondary</w:t>
            </w:r>
            <w:r w:rsidR="09270185" w:rsidRPr="4257620F">
              <w:rPr>
                <w:rFonts w:ascii="Arial" w:eastAsia="Times New Roman" w:hAnsi="Arial" w:cs="Arial"/>
                <w:color w:val="000000" w:themeColor="text1"/>
                <w:sz w:val="22"/>
                <w:szCs w:val="22"/>
                <w:lang w:eastAsia="en-GB"/>
              </w:rPr>
              <w:t xml:space="preserve"> care</w:t>
            </w:r>
          </w:p>
        </w:tc>
      </w:tr>
      <w:tr w:rsidR="0061270E" w:rsidRPr="0061270E" w14:paraId="77584EFA"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4A028EF"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Metric description</w:t>
            </w:r>
          </w:p>
        </w:tc>
        <w:tc>
          <w:tcPr>
            <w:tcW w:w="6800" w:type="dxa"/>
            <w:tcBorders>
              <w:top w:val="nil"/>
              <w:left w:val="nil"/>
              <w:bottom w:val="single" w:sz="4" w:space="0" w:color="auto"/>
              <w:right w:val="single" w:sz="4" w:space="0" w:color="auto"/>
            </w:tcBorders>
            <w:shd w:val="clear" w:color="auto" w:fill="auto"/>
            <w:hideMark/>
          </w:tcPr>
          <w:p w14:paraId="5F4F1152" w14:textId="5BEB89A2" w:rsidR="0061270E" w:rsidRPr="00A2443E" w:rsidRDefault="00A2443E" w:rsidP="00A2443E">
            <w:pPr>
              <w:rPr>
                <w:rFonts w:ascii="Arial" w:hAnsi="Arial" w:cs="Arial"/>
                <w:bCs w:val="0"/>
                <w:color w:val="000000"/>
                <w:sz w:val="22"/>
                <w:szCs w:val="22"/>
              </w:rPr>
            </w:pPr>
            <w:r>
              <w:rPr>
                <w:rFonts w:ascii="Arial" w:hAnsi="Arial" w:cs="Arial"/>
                <w:color w:val="000000"/>
                <w:sz w:val="22"/>
                <w:szCs w:val="22"/>
              </w:rPr>
              <w:t xml:space="preserve">This indicator presents the number of treatment days (expressed as WHO DDDs) of intravenous antibiotics dispensed in secondary care organisations per hospital admission. </w:t>
            </w:r>
          </w:p>
        </w:tc>
      </w:tr>
      <w:tr w:rsidR="0061270E" w:rsidRPr="0061270E" w14:paraId="6208B248"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11DAC502"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Is Higher or lower "better"?</w:t>
            </w:r>
          </w:p>
        </w:tc>
        <w:tc>
          <w:tcPr>
            <w:tcW w:w="6800" w:type="dxa"/>
            <w:tcBorders>
              <w:top w:val="nil"/>
              <w:left w:val="nil"/>
              <w:bottom w:val="single" w:sz="4" w:space="0" w:color="auto"/>
              <w:right w:val="single" w:sz="4" w:space="0" w:color="auto"/>
            </w:tcBorders>
            <w:shd w:val="clear" w:color="auto" w:fill="auto"/>
            <w:hideMark/>
          </w:tcPr>
          <w:p w14:paraId="10C49EB1"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Lower</w:t>
            </w:r>
          </w:p>
        </w:tc>
      </w:tr>
      <w:tr w:rsidR="0061270E" w:rsidRPr="0061270E" w14:paraId="30D23493"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2AC6706"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Numerator</w:t>
            </w:r>
          </w:p>
        </w:tc>
        <w:tc>
          <w:tcPr>
            <w:tcW w:w="6800" w:type="dxa"/>
            <w:tcBorders>
              <w:top w:val="nil"/>
              <w:left w:val="nil"/>
              <w:bottom w:val="single" w:sz="4" w:space="0" w:color="auto"/>
              <w:right w:val="single" w:sz="4" w:space="0" w:color="auto"/>
            </w:tcBorders>
            <w:shd w:val="clear" w:color="auto" w:fill="auto"/>
            <w:hideMark/>
          </w:tcPr>
          <w:p w14:paraId="2AF9161E" w14:textId="316D00B9" w:rsidR="0061270E" w:rsidRPr="00A2443E" w:rsidRDefault="00A2443E" w:rsidP="00A2443E">
            <w:pPr>
              <w:rPr>
                <w:rFonts w:ascii="Arial" w:hAnsi="Arial" w:cs="Arial"/>
                <w:bCs w:val="0"/>
                <w:color w:val="000000"/>
                <w:sz w:val="22"/>
                <w:szCs w:val="22"/>
              </w:rPr>
            </w:pPr>
            <w:r>
              <w:rPr>
                <w:rFonts w:ascii="Arial" w:hAnsi="Arial" w:cs="Arial"/>
                <w:color w:val="000000"/>
                <w:sz w:val="22"/>
                <w:szCs w:val="22"/>
              </w:rPr>
              <w:t>WHO Defined Daily Dose (DDD) count for dispensed intravenous antibiotic formulations</w:t>
            </w:r>
          </w:p>
        </w:tc>
      </w:tr>
      <w:tr w:rsidR="0061270E" w:rsidRPr="0061270E" w14:paraId="5655B543" w14:textId="77777777" w:rsidTr="4257620F">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0B37B450"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Numerator unit of measure</w:t>
            </w:r>
          </w:p>
        </w:tc>
        <w:tc>
          <w:tcPr>
            <w:tcW w:w="6800" w:type="dxa"/>
            <w:tcBorders>
              <w:top w:val="nil"/>
              <w:left w:val="nil"/>
              <w:bottom w:val="single" w:sz="4" w:space="0" w:color="auto"/>
              <w:right w:val="single" w:sz="4" w:space="0" w:color="auto"/>
            </w:tcBorders>
            <w:shd w:val="clear" w:color="auto" w:fill="auto"/>
            <w:hideMark/>
          </w:tcPr>
          <w:p w14:paraId="730D0A6C"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Defined Daily Doses (DDDs)</w:t>
            </w:r>
          </w:p>
        </w:tc>
      </w:tr>
      <w:tr w:rsidR="0061270E" w:rsidRPr="0061270E" w14:paraId="06FA7071" w14:textId="77777777" w:rsidTr="4257620F">
        <w:trPr>
          <w:trHeight w:val="276"/>
        </w:trPr>
        <w:tc>
          <w:tcPr>
            <w:tcW w:w="2120" w:type="dxa"/>
            <w:tcBorders>
              <w:top w:val="nil"/>
              <w:left w:val="single" w:sz="4" w:space="0" w:color="auto"/>
              <w:bottom w:val="single" w:sz="4" w:space="0" w:color="auto"/>
              <w:right w:val="single" w:sz="4" w:space="0" w:color="auto"/>
            </w:tcBorders>
            <w:shd w:val="clear" w:color="auto" w:fill="auto"/>
            <w:hideMark/>
          </w:tcPr>
          <w:p w14:paraId="3117B810"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Denominator</w:t>
            </w:r>
          </w:p>
        </w:tc>
        <w:tc>
          <w:tcPr>
            <w:tcW w:w="6800" w:type="dxa"/>
            <w:tcBorders>
              <w:top w:val="nil"/>
              <w:left w:val="nil"/>
              <w:bottom w:val="single" w:sz="4" w:space="0" w:color="auto"/>
              <w:right w:val="single" w:sz="4" w:space="0" w:color="auto"/>
            </w:tcBorders>
            <w:shd w:val="clear" w:color="auto" w:fill="auto"/>
            <w:hideMark/>
          </w:tcPr>
          <w:p w14:paraId="012BB54D" w14:textId="77777777" w:rsidR="00A2443E" w:rsidRDefault="00A2443E" w:rsidP="00A2443E">
            <w:pPr>
              <w:rPr>
                <w:rFonts w:ascii="Arial" w:hAnsi="Arial" w:cs="Arial"/>
                <w:bCs w:val="0"/>
                <w:color w:val="000000"/>
                <w:sz w:val="22"/>
                <w:szCs w:val="22"/>
              </w:rPr>
            </w:pPr>
            <w:r>
              <w:rPr>
                <w:rFonts w:ascii="Arial" w:hAnsi="Arial" w:cs="Arial"/>
                <w:color w:val="000000"/>
                <w:sz w:val="22"/>
                <w:szCs w:val="22"/>
              </w:rPr>
              <w:t>Hospital admissions for the month reported</w:t>
            </w:r>
          </w:p>
          <w:p w14:paraId="75FD06CA" w14:textId="6060AC89" w:rsidR="0061270E" w:rsidRPr="0061270E" w:rsidRDefault="0061270E" w:rsidP="0061270E">
            <w:pPr>
              <w:spacing w:after="0" w:line="240" w:lineRule="auto"/>
              <w:rPr>
                <w:rFonts w:ascii="Arial" w:eastAsia="Times New Roman" w:hAnsi="Arial" w:cs="Arial"/>
                <w:bCs w:val="0"/>
                <w:color w:val="000000"/>
                <w:sz w:val="22"/>
                <w:szCs w:val="22"/>
                <w:lang w:eastAsia="en-GB"/>
              </w:rPr>
            </w:pPr>
          </w:p>
        </w:tc>
      </w:tr>
      <w:tr w:rsidR="0061270E" w:rsidRPr="0061270E" w14:paraId="53C1EEE7" w14:textId="77777777" w:rsidTr="00A2443E">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50B858AC" w14:textId="77777777" w:rsidR="0061270E" w:rsidRPr="0061270E" w:rsidRDefault="0061270E" w:rsidP="0061270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Denominator unit of measure</w:t>
            </w:r>
          </w:p>
        </w:tc>
        <w:tc>
          <w:tcPr>
            <w:tcW w:w="6800" w:type="dxa"/>
            <w:tcBorders>
              <w:top w:val="nil"/>
              <w:left w:val="nil"/>
              <w:bottom w:val="single" w:sz="4" w:space="0" w:color="auto"/>
              <w:right w:val="single" w:sz="4" w:space="0" w:color="auto"/>
            </w:tcBorders>
            <w:shd w:val="clear" w:color="auto" w:fill="auto"/>
            <w:hideMark/>
          </w:tcPr>
          <w:p w14:paraId="4B2E8C1C" w14:textId="3FD40EC9" w:rsidR="0061270E" w:rsidRPr="00A2443E" w:rsidRDefault="00A2443E" w:rsidP="00A2443E">
            <w:pPr>
              <w:rPr>
                <w:rFonts w:ascii="Arial" w:hAnsi="Arial" w:cs="Arial"/>
                <w:bCs w:val="0"/>
                <w:color w:val="000000"/>
                <w:sz w:val="22"/>
                <w:szCs w:val="22"/>
              </w:rPr>
            </w:pPr>
            <w:r>
              <w:rPr>
                <w:rFonts w:ascii="Arial" w:hAnsi="Arial" w:cs="Arial"/>
                <w:color w:val="000000"/>
                <w:sz w:val="22"/>
                <w:szCs w:val="22"/>
              </w:rPr>
              <w:t>Inpatient hospital admissions (excluding day cases)</w:t>
            </w:r>
          </w:p>
        </w:tc>
      </w:tr>
      <w:tr w:rsidR="00A2443E" w:rsidRPr="0061270E" w14:paraId="041EEE51" w14:textId="77777777" w:rsidTr="00A2443E">
        <w:trPr>
          <w:trHeight w:val="2138"/>
        </w:trPr>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51F700DD" w14:textId="796C26CC" w:rsidR="00A2443E" w:rsidRPr="0061270E" w:rsidRDefault="00A2443E" w:rsidP="00A2443E">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Hyperlinks to supporting information</w:t>
            </w:r>
          </w:p>
        </w:tc>
        <w:tc>
          <w:tcPr>
            <w:tcW w:w="6800" w:type="dxa"/>
            <w:tcBorders>
              <w:top w:val="single" w:sz="4" w:space="0" w:color="auto"/>
              <w:left w:val="nil"/>
              <w:bottom w:val="single" w:sz="4" w:space="0" w:color="auto"/>
              <w:right w:val="single" w:sz="4" w:space="0" w:color="auto"/>
            </w:tcBorders>
            <w:shd w:val="clear" w:color="auto" w:fill="auto"/>
            <w:hideMark/>
          </w:tcPr>
          <w:p w14:paraId="1E932EB1" w14:textId="77777777" w:rsidR="00A2443E" w:rsidRPr="00A2443E" w:rsidRDefault="00430238" w:rsidP="00A2443E">
            <w:pPr>
              <w:pStyle w:val="Hyperlinkinpara"/>
            </w:pPr>
            <w:hyperlink r:id="rId46" w:anchor="page/4/gid/1/pat/159/par/K02000001/ati/15/are/E92000001/iid/93983/age/1/sex/4/cat/-1/ctp/-1/yrr/1/cid/4/tbm/1" w:tgtFrame="_parent" w:history="1">
              <w:r w:rsidR="00A2443E" w:rsidRPr="00A2443E">
                <w:rPr>
                  <w:rStyle w:val="Hyperlink"/>
                  <w:color w:val="0072CE"/>
                </w:rPr>
                <w:t>Public Health Profiles (Fingertips) - Intravenous antibiotic prescribing</w:t>
              </w:r>
            </w:hyperlink>
          </w:p>
          <w:p w14:paraId="0F72F6E6" w14:textId="77777777" w:rsidR="00A2443E" w:rsidRPr="00A2443E" w:rsidRDefault="00430238" w:rsidP="00A2443E">
            <w:pPr>
              <w:pStyle w:val="Hyperlinkinpara"/>
            </w:pPr>
            <w:hyperlink r:id="rId47" w:tgtFrame="_parent" w:history="1">
              <w:r w:rsidR="00A2443E" w:rsidRPr="00A2443E">
                <w:rPr>
                  <w:rStyle w:val="Hyperlink"/>
                  <w:color w:val="0072CE"/>
                </w:rPr>
                <w:t>Antimicrobial intravenous-to-oral switch: criteria for prompt switch - GOV.UK (www.gov.uk)</w:t>
              </w:r>
            </w:hyperlink>
          </w:p>
          <w:p w14:paraId="0BE8FC2C" w14:textId="0B2C7095" w:rsidR="00A2443E" w:rsidRPr="00C75CFE" w:rsidRDefault="00430238" w:rsidP="00A2443E">
            <w:pPr>
              <w:pStyle w:val="Hyperlinkinpara"/>
              <w:rPr>
                <w:rFonts w:ascii="Arial" w:hAnsi="Arial" w:cs="Arial"/>
                <w:color w:val="000000"/>
                <w:szCs w:val="22"/>
              </w:rPr>
            </w:pPr>
            <w:hyperlink r:id="rId48" w:anchor="page/3/gid/1938133070/pat/15/par/E92000001/ati/118/are/R1H/iid/93983/age/1/sex/4/cat/-1/ctp/-1/yrr/1/cid/4/tbm/1/page-options/car-do-0" w:tgtFrame="_parent" w:history="1">
              <w:r w:rsidR="00A2443E" w:rsidRPr="00A2443E">
                <w:rPr>
                  <w:rStyle w:val="Hyperlink"/>
                  <w:color w:val="0072CE"/>
                </w:rPr>
                <w:t>Public Health Profiles (Fingertips) - AMR local indicators</w:t>
              </w:r>
            </w:hyperlink>
          </w:p>
        </w:tc>
      </w:tr>
    </w:tbl>
    <w:p w14:paraId="43C5411F" w14:textId="77777777" w:rsidR="00A2443E" w:rsidRPr="00C23E6D" w:rsidRDefault="00A2443E" w:rsidP="00A2443E">
      <w:pPr>
        <w:spacing w:after="0" w:line="240" w:lineRule="auto"/>
        <w:rPr>
          <w:rFonts w:ascii="Arial" w:eastAsia="Times New Roman" w:hAnsi="Arial" w:cs="Arial"/>
          <w:bCs w:val="0"/>
          <w:color w:val="000000"/>
          <w:sz w:val="22"/>
          <w:szCs w:val="22"/>
          <w:lang w:eastAsia="en-GB"/>
        </w:rPr>
      </w:pPr>
      <w:r>
        <w:rPr>
          <w:rFonts w:ascii="Arial" w:eastAsia="Times New Roman" w:hAnsi="Arial" w:cs="Arial"/>
          <w:bCs w:val="0"/>
          <w:color w:val="000000"/>
          <w:sz w:val="22"/>
          <w:szCs w:val="22"/>
          <w:lang w:eastAsia="en-GB"/>
        </w:rPr>
        <w:t>Continued overleaf</w:t>
      </w:r>
    </w:p>
    <w:p w14:paraId="3482DDE2" w14:textId="77777777" w:rsidR="00A2443E" w:rsidRDefault="00A2443E">
      <w:pPr>
        <w:rPr>
          <w:rFonts w:cstheme="minorHAnsi"/>
        </w:rPr>
      </w:pPr>
    </w:p>
    <w:tbl>
      <w:tblPr>
        <w:tblW w:w="8920" w:type="dxa"/>
        <w:tblLook w:val="04A0" w:firstRow="1" w:lastRow="0" w:firstColumn="1" w:lastColumn="0" w:noHBand="0" w:noVBand="1"/>
      </w:tblPr>
      <w:tblGrid>
        <w:gridCol w:w="2120"/>
        <w:gridCol w:w="6800"/>
      </w:tblGrid>
      <w:tr w:rsidR="00A2443E" w:rsidRPr="0061270E" w14:paraId="3F3D8624" w14:textId="77777777" w:rsidTr="00F66ED2">
        <w:trPr>
          <w:cantSplit/>
          <w:trHeight w:val="7826"/>
        </w:trPr>
        <w:tc>
          <w:tcPr>
            <w:tcW w:w="2120" w:type="dxa"/>
            <w:tcBorders>
              <w:top w:val="single" w:sz="4" w:space="0" w:color="auto"/>
              <w:left w:val="single" w:sz="4" w:space="0" w:color="auto"/>
              <w:right w:val="single" w:sz="4" w:space="0" w:color="auto"/>
            </w:tcBorders>
            <w:shd w:val="clear" w:color="auto" w:fill="auto"/>
            <w:hideMark/>
          </w:tcPr>
          <w:p w14:paraId="3E1BFC8F" w14:textId="77777777" w:rsidR="00A2443E" w:rsidRPr="0061270E" w:rsidRDefault="00A2443E" w:rsidP="00F66ED2">
            <w:pPr>
              <w:spacing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lastRenderedPageBreak/>
              <w:t>Notes</w:t>
            </w:r>
          </w:p>
        </w:tc>
        <w:tc>
          <w:tcPr>
            <w:tcW w:w="6800" w:type="dxa"/>
            <w:tcBorders>
              <w:top w:val="single" w:sz="4" w:space="0" w:color="auto"/>
              <w:left w:val="nil"/>
              <w:right w:val="single" w:sz="4" w:space="0" w:color="auto"/>
            </w:tcBorders>
            <w:shd w:val="clear" w:color="auto" w:fill="auto"/>
          </w:tcPr>
          <w:p w14:paraId="52B4DC7B" w14:textId="77777777" w:rsidR="00A2443E" w:rsidRPr="00A2443E" w:rsidRDefault="00A2443E" w:rsidP="00F66ED2">
            <w:pPr>
              <w:spacing w:line="240" w:lineRule="auto"/>
              <w:rPr>
                <w:rFonts w:ascii="Arial" w:eastAsia="Times New Roman" w:hAnsi="Arial" w:cs="Arial"/>
                <w:bCs w:val="0"/>
                <w:color w:val="000000"/>
                <w:sz w:val="22"/>
                <w:szCs w:val="22"/>
                <w:lang w:eastAsia="en-GB"/>
              </w:rPr>
            </w:pPr>
            <w:r w:rsidRPr="00A2443E">
              <w:rPr>
                <w:rFonts w:ascii="Arial" w:eastAsia="Times New Roman" w:hAnsi="Arial" w:cs="Arial"/>
                <w:bCs w:val="0"/>
                <w:color w:val="000000"/>
                <w:sz w:val="22"/>
                <w:szCs w:val="22"/>
                <w:lang w:eastAsia="en-GB"/>
              </w:rPr>
              <w:t>Drugs are only included in the numerator if they have a British National Formulae (BNF) 5.1 code and Defined Daily Dose (DDD) values provided by the World Health Organization. Anti-TB, Anti-Parasitic and topical antibiotics are excluded to align with requirements for the NHS Standard Contract and previous NHS England antibiotic resistance CQUINs.</w:t>
            </w:r>
          </w:p>
          <w:p w14:paraId="7F7B2F0D" w14:textId="77777777" w:rsidR="00A2443E" w:rsidRPr="00A2443E" w:rsidRDefault="00A2443E" w:rsidP="00F66ED2">
            <w:pPr>
              <w:spacing w:line="240" w:lineRule="auto"/>
              <w:rPr>
                <w:rFonts w:ascii="Arial" w:eastAsia="Times New Roman" w:hAnsi="Arial" w:cs="Arial"/>
                <w:bCs w:val="0"/>
                <w:color w:val="000000"/>
                <w:sz w:val="22"/>
                <w:szCs w:val="22"/>
                <w:lang w:eastAsia="en-GB"/>
              </w:rPr>
            </w:pPr>
            <w:r w:rsidRPr="00A2443E">
              <w:rPr>
                <w:rFonts w:ascii="Arial" w:eastAsia="Times New Roman" w:hAnsi="Arial" w:cs="Arial"/>
                <w:bCs w:val="0"/>
                <w:color w:val="000000"/>
                <w:sz w:val="22"/>
                <w:szCs w:val="22"/>
                <w:lang w:eastAsia="en-GB"/>
              </w:rPr>
              <w:t>Admissions data retrieved from hospital episode statistics (HES) supplied by NHS digital. Provisional admissions data are used for each quarter to be more representative of Trust activity. As a result, quarterly data will be updated 4 months after the end of the quarter to account for the lag in HES admissions data quality and allow for more accurate reporting. Admissions data will be updated as finalised data becomes available.</w:t>
            </w:r>
          </w:p>
          <w:p w14:paraId="33C8F3CB" w14:textId="77777777" w:rsidR="00A2443E" w:rsidRPr="0061270E" w:rsidRDefault="00A2443E" w:rsidP="00F66ED2">
            <w:pPr>
              <w:spacing w:line="240" w:lineRule="auto"/>
              <w:rPr>
                <w:rFonts w:ascii="Arial" w:eastAsia="Times New Roman" w:hAnsi="Arial" w:cs="Arial"/>
                <w:bCs w:val="0"/>
                <w:color w:val="000000"/>
                <w:sz w:val="22"/>
                <w:szCs w:val="22"/>
                <w:lang w:eastAsia="en-GB"/>
              </w:rPr>
            </w:pPr>
            <w:r w:rsidRPr="00A2443E">
              <w:rPr>
                <w:rFonts w:ascii="Arial" w:eastAsia="Times New Roman" w:hAnsi="Arial" w:cs="Arial"/>
                <w:bCs w:val="0"/>
                <w:color w:val="000000"/>
                <w:sz w:val="22"/>
                <w:szCs w:val="22"/>
                <w:lang w:eastAsia="en-GB"/>
              </w:rPr>
              <w:t>The figures produced in this indicator are raw and unadjusted for the confounding effects of both the age and sex mix of patient populations served by hospitals, or for other factors such as deprivation and complexity of care that can drive hospital antibiotic prescribing. Therefore Trusts may appear outliers for this measure by fulfilling valid care of the specific population that they serve. Further consideration is required to adapt antibiotic prescribing metrics for use in specialist healthcare settings, including an improved understanding of case-mix. However, until data from routine electronic prescribing of antibiotics is available nationally, there is limited work that can be performed in this area. For these reasons comparison between different organisations should be treated with caution.  Nonetheless, as NHS national quality improvement schemes require each hospital to improve from its own baseline levels this is consistent with improving the quality of antibiotic prescribing in each hospital.</w:t>
            </w:r>
          </w:p>
        </w:tc>
      </w:tr>
      <w:tr w:rsidR="00A2443E" w:rsidRPr="008B2786" w14:paraId="74353917" w14:textId="77777777" w:rsidTr="00F66ED2">
        <w:trPr>
          <w:trHeight w:val="552"/>
        </w:trPr>
        <w:tc>
          <w:tcPr>
            <w:tcW w:w="2120" w:type="dxa"/>
            <w:tcBorders>
              <w:top w:val="nil"/>
              <w:left w:val="single" w:sz="4" w:space="0" w:color="auto"/>
              <w:bottom w:val="single" w:sz="4" w:space="0" w:color="auto"/>
              <w:right w:val="single" w:sz="4" w:space="0" w:color="auto"/>
            </w:tcBorders>
            <w:shd w:val="clear" w:color="auto" w:fill="auto"/>
            <w:hideMark/>
          </w:tcPr>
          <w:p w14:paraId="364FF349" w14:textId="77777777" w:rsidR="00A2443E" w:rsidRPr="0061270E" w:rsidRDefault="00A2443E" w:rsidP="00F66ED2">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Medicine Group Definitions</w:t>
            </w:r>
          </w:p>
        </w:tc>
        <w:tc>
          <w:tcPr>
            <w:tcW w:w="6800" w:type="dxa"/>
            <w:tcBorders>
              <w:top w:val="nil"/>
              <w:left w:val="nil"/>
              <w:bottom w:val="single" w:sz="4" w:space="0" w:color="auto"/>
              <w:right w:val="single" w:sz="4" w:space="0" w:color="auto"/>
            </w:tcBorders>
            <w:shd w:val="clear" w:color="auto" w:fill="auto"/>
            <w:hideMark/>
          </w:tcPr>
          <w:p w14:paraId="34351A0D" w14:textId="77777777" w:rsidR="00A2443E" w:rsidRPr="008B2786" w:rsidRDefault="00A2443E" w:rsidP="00F66ED2">
            <w:pPr>
              <w:spacing w:after="0" w:line="240" w:lineRule="auto"/>
              <w:rPr>
                <w:rFonts w:ascii="Arial" w:eastAsia="Times New Roman" w:hAnsi="Arial" w:cs="Arial"/>
                <w:bCs w:val="0"/>
                <w:color w:val="FF0000"/>
                <w:sz w:val="22"/>
                <w:szCs w:val="22"/>
                <w:lang w:eastAsia="en-GB"/>
              </w:rPr>
            </w:pPr>
            <w:r w:rsidRPr="008B2786">
              <w:rPr>
                <w:rFonts w:ascii="Arial" w:eastAsia="Times New Roman" w:hAnsi="Arial" w:cs="Arial"/>
                <w:bCs w:val="0"/>
                <w:sz w:val="22"/>
                <w:szCs w:val="22"/>
                <w:lang w:eastAsia="en-GB"/>
              </w:rPr>
              <w:t xml:space="preserve">Drugs are only included in the numerator if they have a British National Formulae (BNF) 5.1 code and Defined Daily Dose (DDD) values provided by the World Health Organization. </w:t>
            </w:r>
          </w:p>
        </w:tc>
      </w:tr>
      <w:tr w:rsidR="00A2443E" w:rsidRPr="008B2786" w14:paraId="1407F57C" w14:textId="77777777" w:rsidTr="00F66ED2">
        <w:trPr>
          <w:trHeight w:val="828"/>
        </w:trPr>
        <w:tc>
          <w:tcPr>
            <w:tcW w:w="2120" w:type="dxa"/>
            <w:tcBorders>
              <w:top w:val="nil"/>
              <w:left w:val="single" w:sz="4" w:space="0" w:color="auto"/>
              <w:bottom w:val="single" w:sz="4" w:space="0" w:color="auto"/>
              <w:right w:val="single" w:sz="4" w:space="0" w:color="auto"/>
            </w:tcBorders>
            <w:shd w:val="clear" w:color="auto" w:fill="auto"/>
            <w:hideMark/>
          </w:tcPr>
          <w:p w14:paraId="38DC156D" w14:textId="77777777" w:rsidR="00A2443E" w:rsidRPr="0061270E" w:rsidRDefault="00A2443E" w:rsidP="00F66ED2">
            <w:pPr>
              <w:spacing w:after="0" w:line="240" w:lineRule="auto"/>
              <w:rPr>
                <w:rFonts w:ascii="Arial" w:eastAsia="Times New Roman" w:hAnsi="Arial" w:cs="Arial"/>
                <w:bCs w:val="0"/>
                <w:color w:val="000000"/>
                <w:sz w:val="22"/>
                <w:szCs w:val="22"/>
                <w:lang w:eastAsia="en-GB"/>
              </w:rPr>
            </w:pPr>
            <w:r w:rsidRPr="0061270E">
              <w:rPr>
                <w:rFonts w:ascii="Arial" w:eastAsia="Times New Roman" w:hAnsi="Arial" w:cs="Arial"/>
                <w:bCs w:val="0"/>
                <w:color w:val="000000"/>
                <w:sz w:val="22"/>
                <w:szCs w:val="22"/>
                <w:lang w:eastAsia="en-GB"/>
              </w:rPr>
              <w:t>Other inclusion or exclusion criteria:</w:t>
            </w:r>
          </w:p>
        </w:tc>
        <w:tc>
          <w:tcPr>
            <w:tcW w:w="6800" w:type="dxa"/>
            <w:tcBorders>
              <w:top w:val="nil"/>
              <w:left w:val="nil"/>
              <w:bottom w:val="single" w:sz="4" w:space="0" w:color="auto"/>
              <w:right w:val="single" w:sz="4" w:space="0" w:color="auto"/>
            </w:tcBorders>
            <w:shd w:val="clear" w:color="auto" w:fill="auto"/>
          </w:tcPr>
          <w:p w14:paraId="6E2EC9FE" w14:textId="77777777" w:rsidR="00A2443E" w:rsidRPr="008B2786" w:rsidRDefault="00A2443E" w:rsidP="00F66ED2">
            <w:pPr>
              <w:spacing w:after="0" w:line="240" w:lineRule="auto"/>
              <w:rPr>
                <w:rFonts w:ascii="Arial" w:eastAsia="Times New Roman" w:hAnsi="Arial" w:cs="Arial"/>
                <w:bCs w:val="0"/>
                <w:color w:val="FF0000"/>
                <w:sz w:val="22"/>
                <w:szCs w:val="22"/>
                <w:lang w:eastAsia="en-GB"/>
              </w:rPr>
            </w:pPr>
            <w:r w:rsidRPr="008B2786">
              <w:rPr>
                <w:rFonts w:ascii="Arial" w:eastAsia="Times New Roman" w:hAnsi="Arial" w:cs="Arial"/>
                <w:bCs w:val="0"/>
                <w:sz w:val="22"/>
                <w:szCs w:val="22"/>
                <w:lang w:eastAsia="en-GB"/>
              </w:rPr>
              <w:t>Anti-TB, Anti-Parasitic and topical antibiotics are excluded to align with requirements for the NHS Standard Contract and previous NHS England antibiotic resistance CQUINs.</w:t>
            </w:r>
          </w:p>
        </w:tc>
      </w:tr>
    </w:tbl>
    <w:p w14:paraId="78E6A895" w14:textId="77777777" w:rsidR="00A2443E" w:rsidRDefault="00A2443E">
      <w:pPr>
        <w:rPr>
          <w:rFonts w:cstheme="minorHAnsi"/>
        </w:rPr>
      </w:pPr>
    </w:p>
    <w:p w14:paraId="74FF4C11" w14:textId="5E606EAD" w:rsidR="00CB31AD" w:rsidRDefault="00CB31AD">
      <w:pPr>
        <w:rPr>
          <w:rFonts w:eastAsiaTheme="majorEastAsia" w:cstheme="minorHAnsi"/>
          <w:color w:val="005EB8" w:themeColor="text2"/>
          <w:sz w:val="24"/>
          <w:szCs w:val="26"/>
        </w:rPr>
      </w:pPr>
      <w:r>
        <w:rPr>
          <w:rFonts w:cstheme="minorHAnsi"/>
        </w:rPr>
        <w:br w:type="page"/>
      </w:r>
    </w:p>
    <w:p w14:paraId="0690A024" w14:textId="6E31510D" w:rsidR="003623C3" w:rsidRDefault="003623C3" w:rsidP="00686A4F">
      <w:pPr>
        <w:pStyle w:val="Heading1"/>
        <w:numPr>
          <w:ilvl w:val="0"/>
          <w:numId w:val="0"/>
        </w:numPr>
      </w:pPr>
      <w:bookmarkStart w:id="22" w:name="_Toc172291533"/>
      <w:r w:rsidRPr="354681A9">
        <w:lastRenderedPageBreak/>
        <w:t xml:space="preserve">Appendix </w:t>
      </w:r>
      <w:r w:rsidR="00ED65D7" w:rsidRPr="354681A9">
        <w:t>1</w:t>
      </w:r>
      <w:r w:rsidRPr="354681A9">
        <w:t xml:space="preserve">: </w:t>
      </w:r>
      <w:r w:rsidR="00155D3A" w:rsidRPr="354681A9">
        <w:t>M</w:t>
      </w:r>
      <w:r w:rsidR="002F29ED" w:rsidRPr="354681A9">
        <w:t xml:space="preserve">edicine </w:t>
      </w:r>
      <w:r w:rsidR="00155D3A" w:rsidRPr="354681A9">
        <w:t>group details</w:t>
      </w:r>
      <w:bookmarkEnd w:id="22"/>
    </w:p>
    <w:p w14:paraId="377AA8B6" w14:textId="3DA9A3B3" w:rsidR="00D5547B" w:rsidRDefault="00D5547B" w:rsidP="00E16ED8">
      <w:pPr>
        <w:pStyle w:val="Heading4"/>
      </w:pPr>
      <w:r>
        <w:t>Medicine group details for Metric 11.Carbon emissions from inhalers</w:t>
      </w:r>
    </w:p>
    <w:p w14:paraId="215BBCA6" w14:textId="4DF0866D" w:rsidR="00D5547B" w:rsidRDefault="00D5547B" w:rsidP="005F31A9">
      <w:r>
        <w:t>Only products with a pharmaceutical form of:</w:t>
      </w:r>
      <w:r w:rsidRPr="00D5547B">
        <w:t xml:space="preserve"> </w:t>
      </w:r>
      <w:r>
        <w:t>inhalation powder, inhalation solution, or, pressurised inhalation are included where they are included in the following BNF Chemical Substances:</w:t>
      </w:r>
    </w:p>
    <w:tbl>
      <w:tblPr>
        <w:tblW w:w="6599" w:type="dxa"/>
        <w:tblLook w:val="04A0" w:firstRow="1" w:lastRow="0" w:firstColumn="1" w:lastColumn="0" w:noHBand="0" w:noVBand="1"/>
      </w:tblPr>
      <w:tblGrid>
        <w:gridCol w:w="3686"/>
        <w:gridCol w:w="4349"/>
      </w:tblGrid>
      <w:tr w:rsidR="00E16ED8" w:rsidRPr="00D5547B" w14:paraId="5A546BB6" w14:textId="77777777" w:rsidTr="00E16ED8">
        <w:trPr>
          <w:trHeight w:val="276"/>
        </w:trPr>
        <w:tc>
          <w:tcPr>
            <w:tcW w:w="3686" w:type="dxa"/>
            <w:tcBorders>
              <w:top w:val="nil"/>
              <w:left w:val="nil"/>
              <w:bottom w:val="nil"/>
              <w:right w:val="nil"/>
            </w:tcBorders>
            <w:shd w:val="clear" w:color="auto" w:fill="005EB8" w:themeFill="text2"/>
            <w:noWrap/>
            <w:hideMark/>
          </w:tcPr>
          <w:p w14:paraId="5760F5CF" w14:textId="77777777" w:rsidR="00D5547B" w:rsidRPr="00E16ED8" w:rsidRDefault="00D5547B" w:rsidP="00D5547B">
            <w:pPr>
              <w:spacing w:after="0" w:line="240" w:lineRule="auto"/>
              <w:rPr>
                <w:rFonts w:ascii="Arial" w:eastAsia="Times New Roman" w:hAnsi="Arial" w:cs="Arial"/>
                <w:b/>
                <w:color w:val="FFFFFF" w:themeColor="background1"/>
                <w:sz w:val="22"/>
                <w:szCs w:val="22"/>
                <w:lang w:eastAsia="en-GB"/>
              </w:rPr>
            </w:pPr>
            <w:r w:rsidRPr="00E16ED8">
              <w:rPr>
                <w:rFonts w:ascii="Arial" w:eastAsia="Times New Roman" w:hAnsi="Arial" w:cs="Arial"/>
                <w:b/>
                <w:color w:val="FFFFFF" w:themeColor="background1"/>
                <w:sz w:val="22"/>
                <w:szCs w:val="22"/>
                <w:lang w:eastAsia="en-GB"/>
              </w:rPr>
              <w:t>BNF Chemical Substance Code</w:t>
            </w:r>
          </w:p>
        </w:tc>
        <w:tc>
          <w:tcPr>
            <w:tcW w:w="2913" w:type="dxa"/>
            <w:tcBorders>
              <w:top w:val="nil"/>
              <w:left w:val="nil"/>
              <w:bottom w:val="nil"/>
              <w:right w:val="nil"/>
            </w:tcBorders>
            <w:shd w:val="clear" w:color="auto" w:fill="005EB8" w:themeFill="text2"/>
            <w:noWrap/>
            <w:hideMark/>
          </w:tcPr>
          <w:p w14:paraId="3DC2E74F" w14:textId="77777777" w:rsidR="00D5547B" w:rsidRPr="00E16ED8" w:rsidRDefault="00D5547B" w:rsidP="00D5547B">
            <w:pPr>
              <w:spacing w:after="0" w:line="240" w:lineRule="auto"/>
              <w:rPr>
                <w:rFonts w:ascii="Arial" w:eastAsia="Times New Roman" w:hAnsi="Arial" w:cs="Arial"/>
                <w:b/>
                <w:color w:val="FFFFFF" w:themeColor="background1"/>
                <w:sz w:val="22"/>
                <w:szCs w:val="22"/>
                <w:lang w:eastAsia="en-GB"/>
              </w:rPr>
            </w:pPr>
            <w:r w:rsidRPr="00E16ED8">
              <w:rPr>
                <w:rFonts w:ascii="Arial" w:eastAsia="Times New Roman" w:hAnsi="Arial" w:cs="Arial"/>
                <w:b/>
                <w:color w:val="FFFFFF" w:themeColor="background1"/>
                <w:sz w:val="22"/>
                <w:szCs w:val="22"/>
                <w:lang w:eastAsia="en-GB"/>
              </w:rPr>
              <w:t>BNF Chemical Substance</w:t>
            </w:r>
          </w:p>
        </w:tc>
      </w:tr>
      <w:tr w:rsidR="00E16ED8" w:rsidRPr="00D5547B" w14:paraId="6DC89765" w14:textId="77777777" w:rsidTr="005F31A9">
        <w:trPr>
          <w:trHeight w:val="276"/>
        </w:trPr>
        <w:tc>
          <w:tcPr>
            <w:tcW w:w="3686" w:type="dxa"/>
            <w:tcBorders>
              <w:top w:val="nil"/>
              <w:left w:val="nil"/>
              <w:bottom w:val="nil"/>
              <w:right w:val="nil"/>
            </w:tcBorders>
            <w:shd w:val="clear" w:color="auto" w:fill="auto"/>
            <w:noWrap/>
            <w:hideMark/>
          </w:tcPr>
          <w:p w14:paraId="5561F61E"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0301011AB</w:t>
            </w:r>
          </w:p>
        </w:tc>
        <w:tc>
          <w:tcPr>
            <w:tcW w:w="2913" w:type="dxa"/>
            <w:tcBorders>
              <w:top w:val="nil"/>
              <w:left w:val="nil"/>
              <w:bottom w:val="nil"/>
              <w:right w:val="nil"/>
            </w:tcBorders>
            <w:shd w:val="clear" w:color="auto" w:fill="auto"/>
            <w:noWrap/>
            <w:hideMark/>
          </w:tcPr>
          <w:p w14:paraId="2A2BCF9E"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Beclometdiprop/formoterol/glycopyrronium</w:t>
            </w:r>
          </w:p>
        </w:tc>
      </w:tr>
      <w:tr w:rsidR="00E16ED8" w:rsidRPr="00D5547B" w14:paraId="2B44B861"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4364E3F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0301011E0</w:t>
            </w:r>
          </w:p>
        </w:tc>
        <w:tc>
          <w:tcPr>
            <w:tcW w:w="2913" w:type="dxa"/>
            <w:tcBorders>
              <w:top w:val="nil"/>
              <w:left w:val="nil"/>
              <w:bottom w:val="nil"/>
              <w:right w:val="nil"/>
            </w:tcBorders>
            <w:shd w:val="clear" w:color="auto" w:fill="F2F2F2" w:themeFill="background1" w:themeFillShade="F2"/>
            <w:noWrap/>
            <w:hideMark/>
          </w:tcPr>
          <w:p w14:paraId="108A78B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Formoterol fumarate</w:t>
            </w:r>
          </w:p>
        </w:tc>
      </w:tr>
      <w:tr w:rsidR="00E16ED8" w:rsidRPr="00D5547B" w14:paraId="4F5F97C0" w14:textId="77777777" w:rsidTr="005F31A9">
        <w:trPr>
          <w:trHeight w:val="276"/>
        </w:trPr>
        <w:tc>
          <w:tcPr>
            <w:tcW w:w="3686" w:type="dxa"/>
            <w:tcBorders>
              <w:top w:val="nil"/>
              <w:left w:val="nil"/>
              <w:bottom w:val="nil"/>
              <w:right w:val="nil"/>
            </w:tcBorders>
            <w:shd w:val="clear" w:color="auto" w:fill="auto"/>
            <w:noWrap/>
            <w:hideMark/>
          </w:tcPr>
          <w:p w14:paraId="06621CCF"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0301011F0</w:t>
            </w:r>
          </w:p>
        </w:tc>
        <w:tc>
          <w:tcPr>
            <w:tcW w:w="2913" w:type="dxa"/>
            <w:tcBorders>
              <w:top w:val="nil"/>
              <w:left w:val="nil"/>
              <w:bottom w:val="nil"/>
              <w:right w:val="nil"/>
            </w:tcBorders>
            <w:shd w:val="clear" w:color="auto" w:fill="auto"/>
            <w:noWrap/>
            <w:hideMark/>
          </w:tcPr>
          <w:p w14:paraId="7CF7F42F"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Fenoterol hydrobromide</w:t>
            </w:r>
          </w:p>
        </w:tc>
      </w:tr>
      <w:tr w:rsidR="00E16ED8" w:rsidRPr="00D5547B" w14:paraId="56D55F66"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214D7126"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0301011R0</w:t>
            </w:r>
          </w:p>
        </w:tc>
        <w:tc>
          <w:tcPr>
            <w:tcW w:w="2913" w:type="dxa"/>
            <w:tcBorders>
              <w:top w:val="nil"/>
              <w:left w:val="nil"/>
              <w:bottom w:val="nil"/>
              <w:right w:val="nil"/>
            </w:tcBorders>
            <w:shd w:val="clear" w:color="auto" w:fill="F2F2F2" w:themeFill="background1" w:themeFillShade="F2"/>
            <w:noWrap/>
            <w:hideMark/>
          </w:tcPr>
          <w:p w14:paraId="32FA94D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Salbutamol</w:t>
            </w:r>
          </w:p>
        </w:tc>
      </w:tr>
      <w:tr w:rsidR="00E16ED8" w:rsidRPr="00D5547B" w14:paraId="1F6A6897" w14:textId="77777777" w:rsidTr="005F31A9">
        <w:trPr>
          <w:trHeight w:val="276"/>
        </w:trPr>
        <w:tc>
          <w:tcPr>
            <w:tcW w:w="3686" w:type="dxa"/>
            <w:tcBorders>
              <w:top w:val="nil"/>
              <w:left w:val="nil"/>
              <w:bottom w:val="nil"/>
              <w:right w:val="nil"/>
            </w:tcBorders>
            <w:shd w:val="clear" w:color="auto" w:fill="auto"/>
            <w:noWrap/>
            <w:hideMark/>
          </w:tcPr>
          <w:p w14:paraId="035C1F01"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0301011U0</w:t>
            </w:r>
          </w:p>
        </w:tc>
        <w:tc>
          <w:tcPr>
            <w:tcW w:w="2913" w:type="dxa"/>
            <w:tcBorders>
              <w:top w:val="nil"/>
              <w:left w:val="nil"/>
              <w:bottom w:val="nil"/>
              <w:right w:val="nil"/>
            </w:tcBorders>
            <w:shd w:val="clear" w:color="auto" w:fill="auto"/>
            <w:noWrap/>
            <w:hideMark/>
          </w:tcPr>
          <w:p w14:paraId="001E247C"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Salmeterol</w:t>
            </w:r>
          </w:p>
        </w:tc>
      </w:tr>
      <w:tr w:rsidR="00E16ED8" w:rsidRPr="00D5547B" w14:paraId="1727A0E9"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503B1D8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0301011V0</w:t>
            </w:r>
          </w:p>
        </w:tc>
        <w:tc>
          <w:tcPr>
            <w:tcW w:w="2913" w:type="dxa"/>
            <w:tcBorders>
              <w:top w:val="nil"/>
              <w:left w:val="nil"/>
              <w:bottom w:val="nil"/>
              <w:right w:val="nil"/>
            </w:tcBorders>
            <w:shd w:val="clear" w:color="auto" w:fill="F2F2F2" w:themeFill="background1" w:themeFillShade="F2"/>
            <w:noWrap/>
            <w:hideMark/>
          </w:tcPr>
          <w:p w14:paraId="06E8C6DF"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Terbutaline sulphate</w:t>
            </w:r>
          </w:p>
        </w:tc>
      </w:tr>
      <w:tr w:rsidR="00E16ED8" w:rsidRPr="00D5547B" w14:paraId="62AF510B" w14:textId="77777777" w:rsidTr="005F31A9">
        <w:trPr>
          <w:trHeight w:val="276"/>
        </w:trPr>
        <w:tc>
          <w:tcPr>
            <w:tcW w:w="3686" w:type="dxa"/>
            <w:tcBorders>
              <w:top w:val="nil"/>
              <w:left w:val="nil"/>
              <w:bottom w:val="nil"/>
              <w:right w:val="nil"/>
            </w:tcBorders>
            <w:shd w:val="clear" w:color="auto" w:fill="auto"/>
            <w:noWrap/>
            <w:hideMark/>
          </w:tcPr>
          <w:p w14:paraId="551A9F8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0301011X0</w:t>
            </w:r>
          </w:p>
        </w:tc>
        <w:tc>
          <w:tcPr>
            <w:tcW w:w="2913" w:type="dxa"/>
            <w:tcBorders>
              <w:top w:val="nil"/>
              <w:left w:val="nil"/>
              <w:bottom w:val="nil"/>
              <w:right w:val="nil"/>
            </w:tcBorders>
            <w:shd w:val="clear" w:color="auto" w:fill="auto"/>
            <w:noWrap/>
            <w:hideMark/>
          </w:tcPr>
          <w:p w14:paraId="79663FED"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Indacaterol maleate</w:t>
            </w:r>
          </w:p>
        </w:tc>
      </w:tr>
      <w:tr w:rsidR="00E16ED8" w:rsidRPr="00D5547B" w14:paraId="6DF4DBF7"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7AC50D3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0301011Z0</w:t>
            </w:r>
          </w:p>
        </w:tc>
        <w:tc>
          <w:tcPr>
            <w:tcW w:w="2913" w:type="dxa"/>
            <w:tcBorders>
              <w:top w:val="nil"/>
              <w:left w:val="nil"/>
              <w:bottom w:val="nil"/>
              <w:right w:val="nil"/>
            </w:tcBorders>
            <w:shd w:val="clear" w:color="auto" w:fill="F2F2F2" w:themeFill="background1" w:themeFillShade="F2"/>
            <w:noWrap/>
            <w:hideMark/>
          </w:tcPr>
          <w:p w14:paraId="7498678B"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Olodaterol</w:t>
            </w:r>
          </w:p>
        </w:tc>
      </w:tr>
      <w:tr w:rsidR="00E16ED8" w:rsidRPr="00D5547B" w14:paraId="147C5101" w14:textId="77777777" w:rsidTr="005F31A9">
        <w:trPr>
          <w:trHeight w:val="276"/>
        </w:trPr>
        <w:tc>
          <w:tcPr>
            <w:tcW w:w="3686" w:type="dxa"/>
            <w:tcBorders>
              <w:top w:val="nil"/>
              <w:left w:val="nil"/>
              <w:bottom w:val="nil"/>
              <w:right w:val="nil"/>
            </w:tcBorders>
            <w:shd w:val="clear" w:color="auto" w:fill="auto"/>
            <w:noWrap/>
            <w:hideMark/>
          </w:tcPr>
          <w:p w14:paraId="623C233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0301020I0</w:t>
            </w:r>
          </w:p>
        </w:tc>
        <w:tc>
          <w:tcPr>
            <w:tcW w:w="2913" w:type="dxa"/>
            <w:tcBorders>
              <w:top w:val="nil"/>
              <w:left w:val="nil"/>
              <w:bottom w:val="nil"/>
              <w:right w:val="nil"/>
            </w:tcBorders>
            <w:shd w:val="clear" w:color="auto" w:fill="auto"/>
            <w:noWrap/>
            <w:hideMark/>
          </w:tcPr>
          <w:p w14:paraId="381EE67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Ipratropium bromide</w:t>
            </w:r>
          </w:p>
        </w:tc>
      </w:tr>
      <w:tr w:rsidR="00E16ED8" w:rsidRPr="00D5547B" w14:paraId="38DA92B3"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003C4AD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0301020P0</w:t>
            </w:r>
          </w:p>
        </w:tc>
        <w:tc>
          <w:tcPr>
            <w:tcW w:w="2913" w:type="dxa"/>
            <w:tcBorders>
              <w:top w:val="nil"/>
              <w:left w:val="nil"/>
              <w:bottom w:val="nil"/>
              <w:right w:val="nil"/>
            </w:tcBorders>
            <w:shd w:val="clear" w:color="auto" w:fill="F2F2F2" w:themeFill="background1" w:themeFillShade="F2"/>
            <w:noWrap/>
            <w:hideMark/>
          </w:tcPr>
          <w:p w14:paraId="240ED0ED"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Oxitropium bromide</w:t>
            </w:r>
          </w:p>
        </w:tc>
      </w:tr>
      <w:tr w:rsidR="00E16ED8" w:rsidRPr="00D5547B" w14:paraId="484CB319" w14:textId="77777777" w:rsidTr="005F31A9">
        <w:trPr>
          <w:trHeight w:val="276"/>
        </w:trPr>
        <w:tc>
          <w:tcPr>
            <w:tcW w:w="3686" w:type="dxa"/>
            <w:tcBorders>
              <w:top w:val="nil"/>
              <w:left w:val="nil"/>
              <w:bottom w:val="nil"/>
              <w:right w:val="nil"/>
            </w:tcBorders>
            <w:shd w:val="clear" w:color="auto" w:fill="auto"/>
            <w:noWrap/>
            <w:hideMark/>
          </w:tcPr>
          <w:p w14:paraId="14B43EEF"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0301020Q0</w:t>
            </w:r>
          </w:p>
        </w:tc>
        <w:tc>
          <w:tcPr>
            <w:tcW w:w="2913" w:type="dxa"/>
            <w:tcBorders>
              <w:top w:val="nil"/>
              <w:left w:val="nil"/>
              <w:bottom w:val="nil"/>
              <w:right w:val="nil"/>
            </w:tcBorders>
            <w:shd w:val="clear" w:color="auto" w:fill="auto"/>
            <w:noWrap/>
            <w:hideMark/>
          </w:tcPr>
          <w:p w14:paraId="61DF22F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Tiotropium bromide</w:t>
            </w:r>
          </w:p>
        </w:tc>
      </w:tr>
      <w:tr w:rsidR="00E16ED8" w:rsidRPr="00D5547B" w14:paraId="4377A070"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417F925C"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0301020R0</w:t>
            </w:r>
          </w:p>
        </w:tc>
        <w:tc>
          <w:tcPr>
            <w:tcW w:w="2913" w:type="dxa"/>
            <w:tcBorders>
              <w:top w:val="nil"/>
              <w:left w:val="nil"/>
              <w:bottom w:val="nil"/>
              <w:right w:val="nil"/>
            </w:tcBorders>
            <w:shd w:val="clear" w:color="auto" w:fill="F2F2F2" w:themeFill="background1" w:themeFillShade="F2"/>
            <w:noWrap/>
            <w:hideMark/>
          </w:tcPr>
          <w:p w14:paraId="561EA9D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Aclidinium bromide</w:t>
            </w:r>
          </w:p>
        </w:tc>
      </w:tr>
      <w:tr w:rsidR="00E16ED8" w:rsidRPr="00D5547B" w14:paraId="2811E44C" w14:textId="77777777" w:rsidTr="005F31A9">
        <w:trPr>
          <w:trHeight w:val="276"/>
        </w:trPr>
        <w:tc>
          <w:tcPr>
            <w:tcW w:w="3686" w:type="dxa"/>
            <w:tcBorders>
              <w:top w:val="nil"/>
              <w:left w:val="nil"/>
              <w:bottom w:val="nil"/>
              <w:right w:val="nil"/>
            </w:tcBorders>
            <w:shd w:val="clear" w:color="auto" w:fill="auto"/>
            <w:noWrap/>
            <w:hideMark/>
          </w:tcPr>
          <w:p w14:paraId="5D2B0682"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0301020S0</w:t>
            </w:r>
          </w:p>
        </w:tc>
        <w:tc>
          <w:tcPr>
            <w:tcW w:w="2913" w:type="dxa"/>
            <w:tcBorders>
              <w:top w:val="nil"/>
              <w:left w:val="nil"/>
              <w:bottom w:val="nil"/>
              <w:right w:val="nil"/>
            </w:tcBorders>
            <w:shd w:val="clear" w:color="auto" w:fill="auto"/>
            <w:noWrap/>
            <w:hideMark/>
          </w:tcPr>
          <w:p w14:paraId="56A58CA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Glycopyrronium bromide</w:t>
            </w:r>
          </w:p>
        </w:tc>
      </w:tr>
      <w:tr w:rsidR="00E16ED8" w:rsidRPr="00D5547B" w14:paraId="3E48C1F4"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516FF43A"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0301020T0</w:t>
            </w:r>
          </w:p>
        </w:tc>
        <w:tc>
          <w:tcPr>
            <w:tcW w:w="2913" w:type="dxa"/>
            <w:tcBorders>
              <w:top w:val="nil"/>
              <w:left w:val="nil"/>
              <w:bottom w:val="nil"/>
              <w:right w:val="nil"/>
            </w:tcBorders>
            <w:shd w:val="clear" w:color="auto" w:fill="F2F2F2" w:themeFill="background1" w:themeFillShade="F2"/>
            <w:noWrap/>
            <w:hideMark/>
          </w:tcPr>
          <w:p w14:paraId="4EF92CE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Umeclidinium bromide</w:t>
            </w:r>
          </w:p>
        </w:tc>
      </w:tr>
      <w:tr w:rsidR="00E16ED8" w:rsidRPr="00D5547B" w14:paraId="524CA2F5" w14:textId="77777777" w:rsidTr="005F31A9">
        <w:trPr>
          <w:trHeight w:val="276"/>
        </w:trPr>
        <w:tc>
          <w:tcPr>
            <w:tcW w:w="3686" w:type="dxa"/>
            <w:tcBorders>
              <w:top w:val="nil"/>
              <w:left w:val="nil"/>
              <w:bottom w:val="nil"/>
              <w:right w:val="nil"/>
            </w:tcBorders>
            <w:shd w:val="clear" w:color="auto" w:fill="auto"/>
            <w:noWrap/>
            <w:hideMark/>
          </w:tcPr>
          <w:p w14:paraId="3A863BC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0301040AA</w:t>
            </w:r>
          </w:p>
        </w:tc>
        <w:tc>
          <w:tcPr>
            <w:tcW w:w="2913" w:type="dxa"/>
            <w:tcBorders>
              <w:top w:val="nil"/>
              <w:left w:val="nil"/>
              <w:bottom w:val="nil"/>
              <w:right w:val="nil"/>
            </w:tcBorders>
            <w:shd w:val="clear" w:color="auto" w:fill="auto"/>
            <w:noWrap/>
            <w:hideMark/>
          </w:tcPr>
          <w:p w14:paraId="4AAFB8AD"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Glycopyrronium/formoterol</w:t>
            </w:r>
          </w:p>
        </w:tc>
      </w:tr>
      <w:tr w:rsidR="00E16ED8" w:rsidRPr="00D5547B" w14:paraId="7C42B7D5"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6114703C"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0301040M0</w:t>
            </w:r>
          </w:p>
        </w:tc>
        <w:tc>
          <w:tcPr>
            <w:tcW w:w="2913" w:type="dxa"/>
            <w:tcBorders>
              <w:top w:val="nil"/>
              <w:left w:val="nil"/>
              <w:bottom w:val="nil"/>
              <w:right w:val="nil"/>
            </w:tcBorders>
            <w:shd w:val="clear" w:color="auto" w:fill="F2F2F2" w:themeFill="background1" w:themeFillShade="F2"/>
            <w:noWrap/>
            <w:hideMark/>
          </w:tcPr>
          <w:p w14:paraId="6822A8D4"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Fenoterol hydrobromide</w:t>
            </w:r>
          </w:p>
        </w:tc>
      </w:tr>
      <w:tr w:rsidR="00E16ED8" w:rsidRPr="00D5547B" w14:paraId="0F4C503E" w14:textId="77777777" w:rsidTr="005F31A9">
        <w:trPr>
          <w:trHeight w:val="276"/>
        </w:trPr>
        <w:tc>
          <w:tcPr>
            <w:tcW w:w="3686" w:type="dxa"/>
            <w:tcBorders>
              <w:top w:val="nil"/>
              <w:left w:val="nil"/>
              <w:bottom w:val="nil"/>
              <w:right w:val="nil"/>
            </w:tcBorders>
            <w:shd w:val="clear" w:color="auto" w:fill="auto"/>
            <w:noWrap/>
            <w:hideMark/>
          </w:tcPr>
          <w:p w14:paraId="4C8AA06B"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0301040R0</w:t>
            </w:r>
          </w:p>
        </w:tc>
        <w:tc>
          <w:tcPr>
            <w:tcW w:w="2913" w:type="dxa"/>
            <w:tcBorders>
              <w:top w:val="nil"/>
              <w:left w:val="nil"/>
              <w:bottom w:val="nil"/>
              <w:right w:val="nil"/>
            </w:tcBorders>
            <w:shd w:val="clear" w:color="auto" w:fill="auto"/>
            <w:noWrap/>
            <w:hideMark/>
          </w:tcPr>
          <w:p w14:paraId="7D39039B"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Salbutamol</w:t>
            </w:r>
          </w:p>
        </w:tc>
      </w:tr>
      <w:tr w:rsidR="00E16ED8" w:rsidRPr="00D5547B" w14:paraId="6628F643"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7DAF029B"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0301040V0</w:t>
            </w:r>
          </w:p>
        </w:tc>
        <w:tc>
          <w:tcPr>
            <w:tcW w:w="2913" w:type="dxa"/>
            <w:tcBorders>
              <w:top w:val="nil"/>
              <w:left w:val="nil"/>
              <w:bottom w:val="nil"/>
              <w:right w:val="nil"/>
            </w:tcBorders>
            <w:shd w:val="clear" w:color="auto" w:fill="F2F2F2" w:themeFill="background1" w:themeFillShade="F2"/>
            <w:noWrap/>
            <w:hideMark/>
          </w:tcPr>
          <w:p w14:paraId="3E03FB54"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Aclidinium bromide/formoterol</w:t>
            </w:r>
          </w:p>
        </w:tc>
      </w:tr>
      <w:tr w:rsidR="00E16ED8" w:rsidRPr="00D5547B" w14:paraId="5494D1A1" w14:textId="77777777" w:rsidTr="005F31A9">
        <w:trPr>
          <w:trHeight w:val="276"/>
        </w:trPr>
        <w:tc>
          <w:tcPr>
            <w:tcW w:w="3686" w:type="dxa"/>
            <w:tcBorders>
              <w:top w:val="nil"/>
              <w:left w:val="nil"/>
              <w:bottom w:val="nil"/>
              <w:right w:val="nil"/>
            </w:tcBorders>
            <w:shd w:val="clear" w:color="auto" w:fill="auto"/>
            <w:noWrap/>
            <w:hideMark/>
          </w:tcPr>
          <w:p w14:paraId="223EA286"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0301040W0</w:t>
            </w:r>
          </w:p>
        </w:tc>
        <w:tc>
          <w:tcPr>
            <w:tcW w:w="2913" w:type="dxa"/>
            <w:tcBorders>
              <w:top w:val="nil"/>
              <w:left w:val="nil"/>
              <w:bottom w:val="nil"/>
              <w:right w:val="nil"/>
            </w:tcBorders>
            <w:shd w:val="clear" w:color="auto" w:fill="auto"/>
            <w:noWrap/>
            <w:hideMark/>
          </w:tcPr>
          <w:p w14:paraId="57EDB064"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Umeclidinium bromide/vilanterol</w:t>
            </w:r>
          </w:p>
        </w:tc>
      </w:tr>
      <w:tr w:rsidR="00E16ED8" w:rsidRPr="00D5547B" w14:paraId="09F3A19E"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6C3AFD81"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0301040X0</w:t>
            </w:r>
          </w:p>
        </w:tc>
        <w:tc>
          <w:tcPr>
            <w:tcW w:w="2913" w:type="dxa"/>
            <w:tcBorders>
              <w:top w:val="nil"/>
              <w:left w:val="nil"/>
              <w:bottom w:val="nil"/>
              <w:right w:val="nil"/>
            </w:tcBorders>
            <w:shd w:val="clear" w:color="auto" w:fill="F2F2F2" w:themeFill="background1" w:themeFillShade="F2"/>
            <w:noWrap/>
            <w:hideMark/>
          </w:tcPr>
          <w:p w14:paraId="2E1C2CE9"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Tiotropium bromide/olodaterol</w:t>
            </w:r>
          </w:p>
        </w:tc>
      </w:tr>
      <w:tr w:rsidR="00E16ED8" w:rsidRPr="00D5547B" w14:paraId="1DB3CA7C" w14:textId="77777777" w:rsidTr="005F31A9">
        <w:trPr>
          <w:trHeight w:val="276"/>
        </w:trPr>
        <w:tc>
          <w:tcPr>
            <w:tcW w:w="3686" w:type="dxa"/>
            <w:tcBorders>
              <w:top w:val="nil"/>
              <w:left w:val="nil"/>
              <w:bottom w:val="nil"/>
              <w:right w:val="nil"/>
            </w:tcBorders>
            <w:shd w:val="clear" w:color="auto" w:fill="auto"/>
            <w:noWrap/>
            <w:hideMark/>
          </w:tcPr>
          <w:p w14:paraId="628BDC0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0301040Y0</w:t>
            </w:r>
          </w:p>
        </w:tc>
        <w:tc>
          <w:tcPr>
            <w:tcW w:w="2913" w:type="dxa"/>
            <w:tcBorders>
              <w:top w:val="nil"/>
              <w:left w:val="nil"/>
              <w:bottom w:val="nil"/>
              <w:right w:val="nil"/>
            </w:tcBorders>
            <w:shd w:val="clear" w:color="auto" w:fill="auto"/>
            <w:noWrap/>
            <w:hideMark/>
          </w:tcPr>
          <w:p w14:paraId="2A83CF4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Indacaterol/glycopyrronium</w:t>
            </w:r>
          </w:p>
        </w:tc>
      </w:tr>
      <w:tr w:rsidR="00E16ED8" w:rsidRPr="00D5547B" w14:paraId="6C0C54B7"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156BBBE9"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0302000C0</w:t>
            </w:r>
          </w:p>
        </w:tc>
        <w:tc>
          <w:tcPr>
            <w:tcW w:w="2913" w:type="dxa"/>
            <w:tcBorders>
              <w:top w:val="nil"/>
              <w:left w:val="nil"/>
              <w:bottom w:val="nil"/>
              <w:right w:val="nil"/>
            </w:tcBorders>
            <w:shd w:val="clear" w:color="auto" w:fill="F2F2F2" w:themeFill="background1" w:themeFillShade="F2"/>
            <w:noWrap/>
            <w:hideMark/>
          </w:tcPr>
          <w:p w14:paraId="61148A59"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Beclometasone dipropionate</w:t>
            </w:r>
          </w:p>
        </w:tc>
      </w:tr>
      <w:tr w:rsidR="00E16ED8" w:rsidRPr="00D5547B" w14:paraId="4D03DD5A" w14:textId="77777777" w:rsidTr="005F31A9">
        <w:trPr>
          <w:trHeight w:val="276"/>
        </w:trPr>
        <w:tc>
          <w:tcPr>
            <w:tcW w:w="3686" w:type="dxa"/>
            <w:tcBorders>
              <w:top w:val="nil"/>
              <w:left w:val="nil"/>
              <w:bottom w:val="nil"/>
              <w:right w:val="nil"/>
            </w:tcBorders>
            <w:shd w:val="clear" w:color="auto" w:fill="auto"/>
            <w:noWrap/>
            <w:hideMark/>
          </w:tcPr>
          <w:p w14:paraId="301AEF4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0302000K0</w:t>
            </w:r>
          </w:p>
        </w:tc>
        <w:tc>
          <w:tcPr>
            <w:tcW w:w="2913" w:type="dxa"/>
            <w:tcBorders>
              <w:top w:val="nil"/>
              <w:left w:val="nil"/>
              <w:bottom w:val="nil"/>
              <w:right w:val="nil"/>
            </w:tcBorders>
            <w:shd w:val="clear" w:color="auto" w:fill="auto"/>
            <w:noWrap/>
            <w:hideMark/>
          </w:tcPr>
          <w:p w14:paraId="14599DB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Budesonide</w:t>
            </w:r>
          </w:p>
        </w:tc>
      </w:tr>
      <w:tr w:rsidR="00E16ED8" w:rsidRPr="00D5547B" w14:paraId="556853CB"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284FB32B"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0302000N0</w:t>
            </w:r>
          </w:p>
        </w:tc>
        <w:tc>
          <w:tcPr>
            <w:tcW w:w="2913" w:type="dxa"/>
            <w:tcBorders>
              <w:top w:val="nil"/>
              <w:left w:val="nil"/>
              <w:bottom w:val="nil"/>
              <w:right w:val="nil"/>
            </w:tcBorders>
            <w:shd w:val="clear" w:color="auto" w:fill="F2F2F2" w:themeFill="background1" w:themeFillShade="F2"/>
            <w:noWrap/>
            <w:hideMark/>
          </w:tcPr>
          <w:p w14:paraId="14993A90"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Fluticasone propionate (Inhalation)</w:t>
            </w:r>
          </w:p>
        </w:tc>
      </w:tr>
      <w:tr w:rsidR="00E16ED8" w:rsidRPr="00D5547B" w14:paraId="7901BC52" w14:textId="77777777" w:rsidTr="005F31A9">
        <w:trPr>
          <w:trHeight w:val="276"/>
        </w:trPr>
        <w:tc>
          <w:tcPr>
            <w:tcW w:w="3686" w:type="dxa"/>
            <w:tcBorders>
              <w:top w:val="nil"/>
              <w:left w:val="nil"/>
              <w:bottom w:val="nil"/>
              <w:right w:val="nil"/>
            </w:tcBorders>
            <w:shd w:val="clear" w:color="auto" w:fill="auto"/>
            <w:noWrap/>
            <w:hideMark/>
          </w:tcPr>
          <w:p w14:paraId="1E637667"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0302000R0</w:t>
            </w:r>
          </w:p>
        </w:tc>
        <w:tc>
          <w:tcPr>
            <w:tcW w:w="2913" w:type="dxa"/>
            <w:tcBorders>
              <w:top w:val="nil"/>
              <w:left w:val="nil"/>
              <w:bottom w:val="nil"/>
              <w:right w:val="nil"/>
            </w:tcBorders>
            <w:shd w:val="clear" w:color="auto" w:fill="auto"/>
            <w:noWrap/>
            <w:hideMark/>
          </w:tcPr>
          <w:p w14:paraId="68C21738"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Mometasone furoate</w:t>
            </w:r>
          </w:p>
        </w:tc>
      </w:tr>
      <w:tr w:rsidR="00E16ED8" w:rsidRPr="00D5547B" w14:paraId="7370C07C"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52A29517"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0302000U0</w:t>
            </w:r>
          </w:p>
        </w:tc>
        <w:tc>
          <w:tcPr>
            <w:tcW w:w="2913" w:type="dxa"/>
            <w:tcBorders>
              <w:top w:val="nil"/>
              <w:left w:val="nil"/>
              <w:bottom w:val="nil"/>
              <w:right w:val="nil"/>
            </w:tcBorders>
            <w:shd w:val="clear" w:color="auto" w:fill="F2F2F2" w:themeFill="background1" w:themeFillShade="F2"/>
            <w:noWrap/>
            <w:hideMark/>
          </w:tcPr>
          <w:p w14:paraId="423E849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Ciclesonide</w:t>
            </w:r>
          </w:p>
        </w:tc>
      </w:tr>
      <w:tr w:rsidR="00E16ED8" w:rsidRPr="00D5547B" w14:paraId="5683ED84" w14:textId="77777777" w:rsidTr="005F31A9">
        <w:trPr>
          <w:trHeight w:val="276"/>
        </w:trPr>
        <w:tc>
          <w:tcPr>
            <w:tcW w:w="3686" w:type="dxa"/>
            <w:tcBorders>
              <w:top w:val="nil"/>
              <w:left w:val="nil"/>
              <w:bottom w:val="nil"/>
              <w:right w:val="nil"/>
            </w:tcBorders>
            <w:shd w:val="clear" w:color="auto" w:fill="auto"/>
            <w:noWrap/>
            <w:hideMark/>
          </w:tcPr>
          <w:p w14:paraId="4795410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0302000V0</w:t>
            </w:r>
          </w:p>
        </w:tc>
        <w:tc>
          <w:tcPr>
            <w:tcW w:w="2913" w:type="dxa"/>
            <w:tcBorders>
              <w:top w:val="nil"/>
              <w:left w:val="nil"/>
              <w:bottom w:val="nil"/>
              <w:right w:val="nil"/>
            </w:tcBorders>
            <w:shd w:val="clear" w:color="auto" w:fill="auto"/>
            <w:noWrap/>
            <w:hideMark/>
          </w:tcPr>
          <w:p w14:paraId="43EC2CEA"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Fluticasone furoate/vilanterol</w:t>
            </w:r>
          </w:p>
        </w:tc>
      </w:tr>
      <w:tr w:rsidR="00E16ED8" w:rsidRPr="00D5547B" w14:paraId="297D27E3"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1E3BB8FF"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0302000W0</w:t>
            </w:r>
          </w:p>
        </w:tc>
        <w:tc>
          <w:tcPr>
            <w:tcW w:w="2913" w:type="dxa"/>
            <w:tcBorders>
              <w:top w:val="nil"/>
              <w:left w:val="nil"/>
              <w:bottom w:val="nil"/>
              <w:right w:val="nil"/>
            </w:tcBorders>
            <w:shd w:val="clear" w:color="auto" w:fill="F2F2F2" w:themeFill="background1" w:themeFillShade="F2"/>
            <w:noWrap/>
            <w:hideMark/>
          </w:tcPr>
          <w:p w14:paraId="7434D28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Mometasone/glycopyrronium/indacaterol</w:t>
            </w:r>
          </w:p>
        </w:tc>
      </w:tr>
      <w:tr w:rsidR="00E16ED8" w:rsidRPr="00D5547B" w14:paraId="5D7F1B13" w14:textId="77777777" w:rsidTr="005F31A9">
        <w:trPr>
          <w:trHeight w:val="276"/>
        </w:trPr>
        <w:tc>
          <w:tcPr>
            <w:tcW w:w="3686" w:type="dxa"/>
            <w:tcBorders>
              <w:top w:val="nil"/>
              <w:left w:val="nil"/>
              <w:bottom w:val="nil"/>
              <w:right w:val="nil"/>
            </w:tcBorders>
            <w:shd w:val="clear" w:color="auto" w:fill="auto"/>
            <w:noWrap/>
            <w:hideMark/>
          </w:tcPr>
          <w:p w14:paraId="416FF4C6"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0302000X0</w:t>
            </w:r>
          </w:p>
        </w:tc>
        <w:tc>
          <w:tcPr>
            <w:tcW w:w="2913" w:type="dxa"/>
            <w:tcBorders>
              <w:top w:val="nil"/>
              <w:left w:val="nil"/>
              <w:bottom w:val="nil"/>
              <w:right w:val="nil"/>
            </w:tcBorders>
            <w:shd w:val="clear" w:color="auto" w:fill="auto"/>
            <w:noWrap/>
            <w:hideMark/>
          </w:tcPr>
          <w:p w14:paraId="7F0E2A71"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Indacaterol/mometasone</w:t>
            </w:r>
          </w:p>
        </w:tc>
      </w:tr>
      <w:tr w:rsidR="00E16ED8" w:rsidRPr="00D5547B" w14:paraId="4AC0A7E4"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703E82A3"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0302000Y0</w:t>
            </w:r>
          </w:p>
        </w:tc>
        <w:tc>
          <w:tcPr>
            <w:tcW w:w="2913" w:type="dxa"/>
            <w:tcBorders>
              <w:top w:val="nil"/>
              <w:left w:val="nil"/>
              <w:bottom w:val="nil"/>
              <w:right w:val="nil"/>
            </w:tcBorders>
            <w:shd w:val="clear" w:color="auto" w:fill="F2F2F2" w:themeFill="background1" w:themeFillShade="F2"/>
            <w:noWrap/>
            <w:hideMark/>
          </w:tcPr>
          <w:p w14:paraId="2926A62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Formoterol/glycopyrronium/budesonide</w:t>
            </w:r>
          </w:p>
        </w:tc>
      </w:tr>
      <w:tr w:rsidR="00E16ED8" w:rsidRPr="00D5547B" w14:paraId="07095D31" w14:textId="77777777" w:rsidTr="005F31A9">
        <w:trPr>
          <w:trHeight w:val="276"/>
        </w:trPr>
        <w:tc>
          <w:tcPr>
            <w:tcW w:w="3686" w:type="dxa"/>
            <w:tcBorders>
              <w:top w:val="nil"/>
              <w:left w:val="nil"/>
              <w:bottom w:val="nil"/>
              <w:right w:val="nil"/>
            </w:tcBorders>
            <w:shd w:val="clear" w:color="auto" w:fill="auto"/>
            <w:noWrap/>
            <w:hideMark/>
          </w:tcPr>
          <w:p w14:paraId="5BF5B67C"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0303010J0</w:t>
            </w:r>
          </w:p>
        </w:tc>
        <w:tc>
          <w:tcPr>
            <w:tcW w:w="2913" w:type="dxa"/>
            <w:tcBorders>
              <w:top w:val="nil"/>
              <w:left w:val="nil"/>
              <w:bottom w:val="nil"/>
              <w:right w:val="nil"/>
            </w:tcBorders>
            <w:shd w:val="clear" w:color="auto" w:fill="auto"/>
            <w:noWrap/>
            <w:hideMark/>
          </w:tcPr>
          <w:p w14:paraId="7C66990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Nedocromil sodium</w:t>
            </w:r>
          </w:p>
        </w:tc>
      </w:tr>
      <w:tr w:rsidR="00E16ED8" w:rsidRPr="00D5547B" w14:paraId="7A64F2CC" w14:textId="77777777" w:rsidTr="00E16ED8">
        <w:trPr>
          <w:trHeight w:val="276"/>
        </w:trPr>
        <w:tc>
          <w:tcPr>
            <w:tcW w:w="3686" w:type="dxa"/>
            <w:tcBorders>
              <w:top w:val="nil"/>
              <w:left w:val="nil"/>
              <w:bottom w:val="nil"/>
              <w:right w:val="nil"/>
            </w:tcBorders>
            <w:shd w:val="clear" w:color="auto" w:fill="F2F2F2" w:themeFill="background1" w:themeFillShade="F2"/>
            <w:noWrap/>
            <w:hideMark/>
          </w:tcPr>
          <w:p w14:paraId="0D48C465"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0303010Q0</w:t>
            </w:r>
          </w:p>
        </w:tc>
        <w:tc>
          <w:tcPr>
            <w:tcW w:w="2913" w:type="dxa"/>
            <w:tcBorders>
              <w:top w:val="nil"/>
              <w:left w:val="nil"/>
              <w:bottom w:val="nil"/>
              <w:right w:val="nil"/>
            </w:tcBorders>
            <w:shd w:val="clear" w:color="auto" w:fill="F2F2F2" w:themeFill="background1" w:themeFillShade="F2"/>
            <w:noWrap/>
            <w:hideMark/>
          </w:tcPr>
          <w:p w14:paraId="3BA314E2" w14:textId="77777777" w:rsidR="00D5547B" w:rsidRPr="00D5547B" w:rsidRDefault="00D5547B" w:rsidP="00D5547B">
            <w:pPr>
              <w:spacing w:after="0" w:line="240" w:lineRule="auto"/>
              <w:rPr>
                <w:rFonts w:ascii="Arial" w:eastAsia="Times New Roman" w:hAnsi="Arial" w:cs="Arial"/>
                <w:bCs w:val="0"/>
                <w:color w:val="000000"/>
                <w:sz w:val="22"/>
                <w:szCs w:val="22"/>
                <w:lang w:eastAsia="en-GB"/>
              </w:rPr>
            </w:pPr>
            <w:r w:rsidRPr="00D5547B">
              <w:rPr>
                <w:rFonts w:ascii="Arial" w:eastAsia="Times New Roman" w:hAnsi="Arial" w:cs="Arial"/>
                <w:bCs w:val="0"/>
                <w:color w:val="000000"/>
                <w:sz w:val="22"/>
                <w:szCs w:val="22"/>
                <w:lang w:eastAsia="en-GB"/>
              </w:rPr>
              <w:t>Sodium cromoglicate</w:t>
            </w:r>
          </w:p>
        </w:tc>
      </w:tr>
    </w:tbl>
    <w:p w14:paraId="21C2DE1A" w14:textId="1F5F2D5B" w:rsidR="00D5547B" w:rsidRDefault="00D5547B" w:rsidP="005F31A9"/>
    <w:p w14:paraId="6DF20503" w14:textId="3DADCE30" w:rsidR="006B6FAC" w:rsidRDefault="005F31A9" w:rsidP="005F31A9">
      <w:r>
        <w:t>One of the following s</w:t>
      </w:r>
      <w:r w:rsidR="006B6FAC">
        <w:t>ix methods ha</w:t>
      </w:r>
      <w:r>
        <w:t>s</w:t>
      </w:r>
      <w:r w:rsidR="006B6FAC">
        <w:t xml:space="preserve"> been used to assign emissions factors to each </w:t>
      </w:r>
      <w:r>
        <w:t xml:space="preserve">type of </w:t>
      </w:r>
      <w:r w:rsidR="006B6FAC">
        <w:t>inhaler</w:t>
      </w:r>
      <w:r>
        <w:t>:</w:t>
      </w:r>
    </w:p>
    <w:p w14:paraId="00F5DACD" w14:textId="37C4870F" w:rsidR="006B6FAC" w:rsidRDefault="006B6FAC" w:rsidP="00E16ED8">
      <w:pPr>
        <w:pStyle w:val="ListParagraph"/>
        <w:numPr>
          <w:ilvl w:val="0"/>
          <w:numId w:val="44"/>
        </w:numPr>
      </w:pPr>
      <w:r>
        <w:t>Based on NHSE Greener NHS Value (emissions factor available)</w:t>
      </w:r>
    </w:p>
    <w:p w14:paraId="5483CB0C" w14:textId="4A5B6E13" w:rsidR="00E6388E" w:rsidRDefault="00E6388E" w:rsidP="00E6388E">
      <w:pPr>
        <w:pStyle w:val="ListParagraph"/>
        <w:numPr>
          <w:ilvl w:val="0"/>
          <w:numId w:val="44"/>
        </w:numPr>
      </w:pPr>
      <w:r>
        <w:t>Value for generic prescription items is based on a single brand for which estimates are available.</w:t>
      </w:r>
    </w:p>
    <w:p w14:paraId="72D7A583" w14:textId="03C16B3B" w:rsidR="006B6FAC" w:rsidRDefault="006B6FAC" w:rsidP="00E16ED8">
      <w:pPr>
        <w:pStyle w:val="ListParagraph"/>
        <w:numPr>
          <w:ilvl w:val="0"/>
          <w:numId w:val="44"/>
        </w:numPr>
      </w:pPr>
      <w:r>
        <w:t xml:space="preserve">Based on 17,335g CO2e assumption for MDI inhalers – </w:t>
      </w:r>
      <w:r w:rsidR="00E6388E">
        <w:t xml:space="preserve">average </w:t>
      </w:r>
      <w:r>
        <w:t>for all MDI inhalers for which an Emissions Factor was available</w:t>
      </w:r>
    </w:p>
    <w:p w14:paraId="55F597E3" w14:textId="7649307C" w:rsidR="006B6FAC" w:rsidRDefault="006B6FAC" w:rsidP="00E16ED8">
      <w:pPr>
        <w:pStyle w:val="ListParagraph"/>
        <w:numPr>
          <w:ilvl w:val="0"/>
          <w:numId w:val="44"/>
        </w:numPr>
      </w:pPr>
      <w:r>
        <w:t xml:space="preserve">Based on 730g CO2e assumption for DPI inhalers </w:t>
      </w:r>
      <w:r w:rsidR="00E6388E">
        <w:t xml:space="preserve">- average for all DPI inhalers </w:t>
      </w:r>
      <w:r>
        <w:t>for which an emissions factor was available</w:t>
      </w:r>
    </w:p>
    <w:p w14:paraId="49D0CA3D" w14:textId="04519783" w:rsidR="006B6FAC" w:rsidRDefault="006B6FAC" w:rsidP="00E16ED8">
      <w:pPr>
        <w:pStyle w:val="ListParagraph"/>
        <w:numPr>
          <w:ilvl w:val="0"/>
          <w:numId w:val="44"/>
        </w:numPr>
      </w:pPr>
      <w:r>
        <w:t>Value for generic is based on midpoint for brands for which estimates are available, device type average was not within the range</w:t>
      </w:r>
      <w:r w:rsidR="00E6388E">
        <w:t xml:space="preserve"> of the available estimates</w:t>
      </w:r>
      <w:r>
        <w:t xml:space="preserve"> so </w:t>
      </w:r>
      <w:r w:rsidR="00E6388E">
        <w:t xml:space="preserve">was </w:t>
      </w:r>
      <w:r>
        <w:t>not considered plausible.</w:t>
      </w:r>
    </w:p>
    <w:p w14:paraId="29913FC3" w14:textId="5E4C31B8" w:rsidR="00D5547B" w:rsidRDefault="006B6FAC" w:rsidP="005F31A9">
      <w:pPr>
        <w:pStyle w:val="ListParagraph"/>
        <w:numPr>
          <w:ilvl w:val="0"/>
          <w:numId w:val="44"/>
        </w:numPr>
      </w:pPr>
      <w:r>
        <w:lastRenderedPageBreak/>
        <w:t>No assumption applied</w:t>
      </w:r>
      <w:r w:rsidR="00A17018">
        <w:t>;</w:t>
      </w:r>
      <w:r>
        <w:t xml:space="preserve"> zero emissions included</w:t>
      </w:r>
      <w:r>
        <w:br/>
      </w:r>
    </w:p>
    <w:p w14:paraId="421282D5" w14:textId="2FB9DBC3" w:rsidR="00E6388E" w:rsidRPr="00D5547B" w:rsidRDefault="00E6388E" w:rsidP="00E16ED8">
      <w:r>
        <w:t>The average emissions factors for each device type</w:t>
      </w:r>
      <w:r w:rsidR="005F31A9">
        <w:t xml:space="preserve"> (MDI or DPI)</w:t>
      </w:r>
      <w:r>
        <w:t xml:space="preserve"> </w:t>
      </w:r>
      <w:r w:rsidR="005F31A9">
        <w:t>are</w:t>
      </w:r>
      <w:r>
        <w:t xml:space="preserve"> based on weighted averages of the number of inhalers prescribed by English GP Practices from April 2022 to March 2023. Weighted averages include only prescription items </w:t>
      </w:r>
      <w:r w:rsidR="005F31A9">
        <w:t xml:space="preserve">for which </w:t>
      </w:r>
      <w:r>
        <w:t>NHSE Greener NHS emissions facto</w:t>
      </w:r>
      <w:r w:rsidR="005F31A9">
        <w:t>rs were available</w:t>
      </w:r>
      <w:r>
        <w:t>.</w:t>
      </w:r>
      <w:r>
        <w:br/>
      </w:r>
      <w:r>
        <w:br/>
        <w:t>The attached CSV file includes the emission factors that were ‘available’ (from NHSE Greener NHS assumptions) and those that were assumed along with an indication of which of the methods described above applies to each type of inhaler.</w:t>
      </w:r>
      <w:r>
        <w:br/>
      </w:r>
      <w:r>
        <w:br/>
      </w:r>
      <w:r w:rsidR="00430238">
        <w:object w:dxaOrig="1520" w:dyaOrig="988" w14:anchorId="0830A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75pt;height:49.5pt" o:ole="">
            <v:imagedata r:id="rId49" o:title=""/>
          </v:shape>
          <o:OLEObject Type="Embed" ProgID="Excel.SheetMacroEnabled.12" ShapeID="_x0000_i1029" DrawAspect="Icon" ObjectID="_1788353052" r:id="rId50"/>
        </w:object>
      </w:r>
    </w:p>
    <w:p w14:paraId="0A7958D7" w14:textId="04E3028B" w:rsidR="003031F9" w:rsidRDefault="003031F9" w:rsidP="003031F9">
      <w:pPr>
        <w:pStyle w:val="Heading4"/>
      </w:pPr>
      <w:r>
        <w:t>Medicine group details for Metric 15.Opioid use</w:t>
      </w:r>
    </w:p>
    <w:p w14:paraId="4F74E532" w14:textId="604553A4" w:rsidR="003031F9" w:rsidRDefault="003031F9" w:rsidP="003031F9">
      <w:r>
        <w:br/>
      </w:r>
      <w:r w:rsidR="00756780">
        <w:t>See presentations flagged as PAIN03_FLAG = ‘Y’ for those included in the oral or transdermal opioids group. Other presentations from other common opioid groupings are also included for comparison.</w:t>
      </w:r>
    </w:p>
    <w:p w14:paraId="7FA4C55F" w14:textId="2D3ECE01" w:rsidR="003031F9" w:rsidRPr="003031F9" w:rsidRDefault="00430238" w:rsidP="003031F9">
      <w:r>
        <w:object w:dxaOrig="1520" w:dyaOrig="988" w14:anchorId="5D71C20C">
          <v:shape id="_x0000_i1030" type="#_x0000_t75" style="width:75.75pt;height:49.5pt" o:ole="">
            <v:imagedata r:id="rId51" o:title=""/>
          </v:shape>
          <o:OLEObject Type="Embed" ProgID="Excel.SheetMacroEnabled.12" ShapeID="_x0000_i1030" DrawAspect="Icon" ObjectID="_1788353053" r:id="rId52"/>
        </w:object>
      </w:r>
    </w:p>
    <w:p w14:paraId="38CD6228" w14:textId="025B3895" w:rsidR="003629ED" w:rsidRPr="00431E28" w:rsidRDefault="003629ED" w:rsidP="00686A4F">
      <w:pPr>
        <w:pStyle w:val="Heading1"/>
        <w:numPr>
          <w:ilvl w:val="0"/>
          <w:numId w:val="0"/>
        </w:numPr>
      </w:pPr>
      <w:bookmarkStart w:id="23" w:name="_Toc172291534"/>
      <w:r w:rsidRPr="354681A9">
        <w:t xml:space="preserve">Appendix </w:t>
      </w:r>
      <w:r w:rsidR="00244D10" w:rsidRPr="354681A9">
        <w:t>2</w:t>
      </w:r>
      <w:r w:rsidRPr="354681A9">
        <w:t xml:space="preserve">: </w:t>
      </w:r>
      <w:r w:rsidR="1C240014" w:rsidRPr="2322F0F2">
        <w:t>Governance and</w:t>
      </w:r>
      <w:r w:rsidR="1C240014" w:rsidRPr="029E41F1">
        <w:t xml:space="preserve"> support</w:t>
      </w:r>
      <w:bookmarkEnd w:id="23"/>
    </w:p>
    <w:p w14:paraId="0E429087" w14:textId="43FF7E76" w:rsidR="00F65916" w:rsidRDefault="00DF3D9E" w:rsidP="00667B5D">
      <w:pPr>
        <w:rPr>
          <w:rFonts w:cstheme="minorHAnsi"/>
        </w:rPr>
      </w:pPr>
      <w:r>
        <w:rPr>
          <w:rFonts w:cstheme="minorHAnsi"/>
        </w:rPr>
        <w:t xml:space="preserve">This dashboard is aligned with the </w:t>
      </w:r>
      <w:r w:rsidR="0007750E">
        <w:rPr>
          <w:rFonts w:cstheme="minorHAnsi"/>
        </w:rPr>
        <w:t xml:space="preserve">following </w:t>
      </w:r>
      <w:r>
        <w:rPr>
          <w:rFonts w:cstheme="minorHAnsi"/>
        </w:rPr>
        <w:t>policy framework</w:t>
      </w:r>
      <w:r w:rsidR="0007750E">
        <w:rPr>
          <w:rFonts w:cstheme="minorHAnsi"/>
        </w:rPr>
        <w:t>:</w:t>
      </w:r>
      <w:r>
        <w:rPr>
          <w:rFonts w:cstheme="minorHAnsi"/>
        </w:rPr>
        <w:t xml:space="preserve"> </w:t>
      </w:r>
      <w:hyperlink r:id="rId53" w:history="1">
        <w:r w:rsidRPr="00DF3D9E">
          <w:rPr>
            <w:rStyle w:val="Hyperlink"/>
            <w:rFonts w:cstheme="minorHAnsi"/>
          </w:rPr>
          <w:t>NHS England » National medicines optimisation opportunities 2023/24</w:t>
        </w:r>
      </w:hyperlink>
      <w:r w:rsidR="0007750E">
        <w:rPr>
          <w:rFonts w:cstheme="minorHAnsi"/>
        </w:rPr>
        <w:t xml:space="preserve">, authored by the </w:t>
      </w:r>
      <w:r w:rsidR="00D92409" w:rsidRPr="00D92409">
        <w:rPr>
          <w:rFonts w:cstheme="minorHAnsi"/>
        </w:rPr>
        <w:t xml:space="preserve">NHS England medicines policy and </w:t>
      </w:r>
      <w:r w:rsidR="00D92409">
        <w:rPr>
          <w:rFonts w:cstheme="minorHAnsi"/>
        </w:rPr>
        <w:t xml:space="preserve">strategy </w:t>
      </w:r>
      <w:r w:rsidR="00D92409" w:rsidRPr="00D92409">
        <w:rPr>
          <w:rFonts w:cstheme="minorHAnsi"/>
        </w:rPr>
        <w:t>unit</w:t>
      </w:r>
      <w:r w:rsidR="0007750E">
        <w:rPr>
          <w:rFonts w:cstheme="minorHAnsi"/>
        </w:rPr>
        <w:t xml:space="preserve">. Questions about the opportunities or can be sent to </w:t>
      </w:r>
      <w:hyperlink r:id="rId54" w:history="1">
        <w:r w:rsidR="0007750E" w:rsidRPr="0007750E">
          <w:rPr>
            <w:rStyle w:val="Hyperlink"/>
            <w:rFonts w:cstheme="minorHAnsi"/>
          </w:rPr>
          <w:t>england.medicines@nhs.net</w:t>
        </w:r>
      </w:hyperlink>
      <w:r w:rsidR="00D92409">
        <w:rPr>
          <w:rFonts w:cstheme="minorHAnsi"/>
        </w:rPr>
        <w:t xml:space="preserve">. </w:t>
      </w:r>
    </w:p>
    <w:p w14:paraId="50D952BB" w14:textId="42F9DC65" w:rsidR="00D92409" w:rsidRPr="001F3797" w:rsidRDefault="00D92409" w:rsidP="4257620F">
      <w:r w:rsidRPr="4257620F">
        <w:t xml:space="preserve">Queries regarding any technical aspects or support can be sent to </w:t>
      </w:r>
      <w:hyperlink r:id="rId55">
        <w:r w:rsidR="00A84043" w:rsidRPr="4257620F">
          <w:rPr>
            <w:rStyle w:val="Hyperlink"/>
          </w:rPr>
          <w:t>DataServicesSupport@nhsbsa.nhs.uk</w:t>
        </w:r>
      </w:hyperlink>
      <w:r w:rsidR="00A84043" w:rsidRPr="4257620F">
        <w:t xml:space="preserve">. </w:t>
      </w:r>
    </w:p>
    <w:p w14:paraId="582EF6B5" w14:textId="70D12327" w:rsidR="4257620F" w:rsidRDefault="4257620F" w:rsidP="4257620F"/>
    <w:p w14:paraId="210E2514" w14:textId="6B6CB0F6" w:rsidR="19BD45EF" w:rsidRDefault="19BD45EF" w:rsidP="4257620F">
      <w:r w:rsidRPr="4257620F">
        <w:t xml:space="preserve">This </w:t>
      </w:r>
      <w:r w:rsidR="00894E90">
        <w:t>document</w:t>
      </w:r>
      <w:r w:rsidRPr="4257620F">
        <w:t xml:space="preserve"> was last updated 2024-0</w:t>
      </w:r>
      <w:r w:rsidR="005A0B43">
        <w:t>9</w:t>
      </w:r>
      <w:r w:rsidRPr="4257620F">
        <w:t>-0</w:t>
      </w:r>
      <w:r w:rsidR="005A0B43">
        <w:t>1</w:t>
      </w:r>
      <w:r w:rsidRPr="4257620F">
        <w:t xml:space="preserve"> and information may not </w:t>
      </w:r>
      <w:r w:rsidR="004B2F6C">
        <w:t>reflect changes after that point</w:t>
      </w:r>
      <w:r w:rsidRPr="4257620F">
        <w:t>.</w:t>
      </w:r>
      <w:r w:rsidR="004B2F6C">
        <w:br/>
        <w:t>Th</w:t>
      </w:r>
      <w:r w:rsidR="00894E90">
        <w:t>is</w:t>
      </w:r>
      <w:r w:rsidR="004B2F6C">
        <w:t xml:space="preserve"> document will be reviewed and updated periodically.</w:t>
      </w:r>
    </w:p>
    <w:sectPr w:rsidR="19BD45EF">
      <w:footerReference w:type="even" r:id="rId56"/>
      <w:footerReference w:type="default" r:id="rI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AD36F" w14:textId="77777777" w:rsidR="00D20AEB" w:rsidRDefault="00D20AEB" w:rsidP="0035674C">
      <w:r>
        <w:separator/>
      </w:r>
    </w:p>
  </w:endnote>
  <w:endnote w:type="continuationSeparator" w:id="0">
    <w:p w14:paraId="6FCA7DE3" w14:textId="77777777" w:rsidR="00D20AEB" w:rsidRDefault="00D20AEB" w:rsidP="0035674C">
      <w:r>
        <w:continuationSeparator/>
      </w:r>
    </w:p>
  </w:endnote>
  <w:endnote w:type="continuationNotice" w:id="1">
    <w:p w14:paraId="78D69BCE" w14:textId="77777777" w:rsidR="00D20AEB" w:rsidRDefault="00D20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7401367"/>
      <w:docPartObj>
        <w:docPartGallery w:val="Page Numbers (Bottom of Page)"/>
        <w:docPartUnique/>
      </w:docPartObj>
    </w:sdtPr>
    <w:sdtEndPr>
      <w:rPr>
        <w:rStyle w:val="PageNumber"/>
      </w:rPr>
    </w:sdtEndPr>
    <w:sdtContent>
      <w:p w14:paraId="48D1158A" w14:textId="2522DDF9"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BB6D0" w14:textId="77777777" w:rsidR="00B22D58" w:rsidRDefault="00B22D58" w:rsidP="00654D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2787006"/>
      <w:docPartObj>
        <w:docPartGallery w:val="Page Numbers (Bottom of Page)"/>
        <w:docPartUnique/>
      </w:docPartObj>
    </w:sdtPr>
    <w:sdtEndPr>
      <w:rPr>
        <w:rStyle w:val="PageNumber"/>
      </w:rPr>
    </w:sdtEndPr>
    <w:sdtContent>
      <w:p w14:paraId="5130E715" w14:textId="729B7CCF" w:rsidR="00B22D58" w:rsidRDefault="00B22D58" w:rsidP="007861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8750BB" w14:textId="77777777" w:rsidR="00B22D58" w:rsidRDefault="00B22D58" w:rsidP="00B22D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F9D0C" w14:textId="77777777" w:rsidR="00D20AEB" w:rsidRDefault="00D20AEB" w:rsidP="0035674C">
      <w:r>
        <w:separator/>
      </w:r>
    </w:p>
  </w:footnote>
  <w:footnote w:type="continuationSeparator" w:id="0">
    <w:p w14:paraId="5209971C" w14:textId="77777777" w:rsidR="00D20AEB" w:rsidRDefault="00D20AEB" w:rsidP="0035674C">
      <w:r>
        <w:continuationSeparator/>
      </w:r>
    </w:p>
  </w:footnote>
  <w:footnote w:type="continuationNotice" w:id="1">
    <w:p w14:paraId="1FBE479E" w14:textId="77777777" w:rsidR="00D20AEB" w:rsidRDefault="00D20A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7A06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D52E4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CC649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4524E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93C8B7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2EEFC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280C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8E8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461E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D9A7C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32A64"/>
    <w:multiLevelType w:val="multilevel"/>
    <w:tmpl w:val="A7865090"/>
    <w:lvl w:ilvl="0">
      <w:start w:val="1"/>
      <w:numFmt w:val="decimal"/>
      <w:pStyle w:val="Heading1"/>
      <w:lvlText w:val="%1."/>
      <w:lvlJc w:val="left"/>
      <w:pPr>
        <w:ind w:left="360" w:hanging="360"/>
      </w:pPr>
      <w:rPr>
        <w:rFonts w:hint="default"/>
        <w:color w:val="0070C0"/>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547860"/>
    <w:multiLevelType w:val="hybridMultilevel"/>
    <w:tmpl w:val="855C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0A07F3"/>
    <w:multiLevelType w:val="hybridMultilevel"/>
    <w:tmpl w:val="4DFE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B53D33"/>
    <w:multiLevelType w:val="hybridMultilevel"/>
    <w:tmpl w:val="1D70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65EDF"/>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1D6357"/>
    <w:multiLevelType w:val="hybridMultilevel"/>
    <w:tmpl w:val="B748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80CDD"/>
    <w:multiLevelType w:val="hybridMultilevel"/>
    <w:tmpl w:val="58B4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AE0BE6"/>
    <w:multiLevelType w:val="multilevel"/>
    <w:tmpl w:val="68D06B0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27994C91"/>
    <w:multiLevelType w:val="hybridMultilevel"/>
    <w:tmpl w:val="0CC2D5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934EF9"/>
    <w:multiLevelType w:val="multilevel"/>
    <w:tmpl w:val="F304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974245"/>
    <w:multiLevelType w:val="hybridMultilevel"/>
    <w:tmpl w:val="44F6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7568D"/>
    <w:multiLevelType w:val="hybridMultilevel"/>
    <w:tmpl w:val="67383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34C3A"/>
    <w:multiLevelType w:val="hybridMultilevel"/>
    <w:tmpl w:val="0FFE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C3D15"/>
    <w:multiLevelType w:val="hybridMultilevel"/>
    <w:tmpl w:val="0EBA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583A56"/>
    <w:multiLevelType w:val="hybridMultilevel"/>
    <w:tmpl w:val="63682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002AEB"/>
    <w:multiLevelType w:val="multilevel"/>
    <w:tmpl w:val="66BA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D45995"/>
    <w:multiLevelType w:val="multilevel"/>
    <w:tmpl w:val="E6FC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B92E98"/>
    <w:multiLevelType w:val="hybridMultilevel"/>
    <w:tmpl w:val="4FA2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4E20DA"/>
    <w:multiLevelType w:val="hybridMultilevel"/>
    <w:tmpl w:val="E830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842FA"/>
    <w:multiLevelType w:val="hybridMultilevel"/>
    <w:tmpl w:val="0CC2D5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9403C4"/>
    <w:multiLevelType w:val="hybridMultilevel"/>
    <w:tmpl w:val="2AD0B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6827C4"/>
    <w:multiLevelType w:val="hybridMultilevel"/>
    <w:tmpl w:val="1804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0F17C3"/>
    <w:multiLevelType w:val="hybridMultilevel"/>
    <w:tmpl w:val="8DB85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B12EDF0">
      <w:start w:val="6"/>
      <w:numFmt w:val="bullet"/>
      <w:lvlText w:val="-"/>
      <w:lvlJc w:val="left"/>
      <w:pPr>
        <w:ind w:left="2160" w:hanging="360"/>
      </w:pPr>
      <w:rPr>
        <w:rFonts w:ascii="Arial" w:eastAsiaTheme="minorHAnsi" w:hAnsi="Arial" w:cs="Aria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F32CC9"/>
    <w:multiLevelType w:val="hybridMultilevel"/>
    <w:tmpl w:val="A0929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CC76E9"/>
    <w:multiLevelType w:val="multilevel"/>
    <w:tmpl w:val="36A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B00F5A"/>
    <w:multiLevelType w:val="hybridMultilevel"/>
    <w:tmpl w:val="373C80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95231D"/>
    <w:multiLevelType w:val="hybridMultilevel"/>
    <w:tmpl w:val="9A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FE6905"/>
    <w:multiLevelType w:val="hybridMultilevel"/>
    <w:tmpl w:val="41FA8DD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8" w15:restartNumberingAfterBreak="0">
    <w:nsid w:val="7E6D7DBC"/>
    <w:multiLevelType w:val="hybridMultilevel"/>
    <w:tmpl w:val="9236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12056943">
    <w:abstractNumId w:val="32"/>
  </w:num>
  <w:num w:numId="2" w16cid:durableId="71897714">
    <w:abstractNumId w:val="35"/>
  </w:num>
  <w:num w:numId="3" w16cid:durableId="250629795">
    <w:abstractNumId w:val="22"/>
  </w:num>
  <w:num w:numId="4" w16cid:durableId="216016315">
    <w:abstractNumId w:val="23"/>
  </w:num>
  <w:num w:numId="5" w16cid:durableId="277488484">
    <w:abstractNumId w:val="11"/>
  </w:num>
  <w:num w:numId="6" w16cid:durableId="1708022612">
    <w:abstractNumId w:val="10"/>
  </w:num>
  <w:num w:numId="7" w16cid:durableId="542450519">
    <w:abstractNumId w:val="12"/>
  </w:num>
  <w:num w:numId="8" w16cid:durableId="1404138575">
    <w:abstractNumId w:val="34"/>
  </w:num>
  <w:num w:numId="9" w16cid:durableId="1393500224">
    <w:abstractNumId w:val="25"/>
  </w:num>
  <w:num w:numId="10" w16cid:durableId="211692836">
    <w:abstractNumId w:val="33"/>
  </w:num>
  <w:num w:numId="11" w16cid:durableId="583612774">
    <w:abstractNumId w:val="10"/>
    <w:lvlOverride w:ilvl="0">
      <w:startOverride w:val="1"/>
    </w:lvlOverride>
  </w:num>
  <w:num w:numId="12" w16cid:durableId="1659529958">
    <w:abstractNumId w:val="10"/>
    <w:lvlOverride w:ilvl="0">
      <w:startOverride w:val="5"/>
    </w:lvlOverride>
  </w:num>
  <w:num w:numId="13" w16cid:durableId="329406336">
    <w:abstractNumId w:val="38"/>
  </w:num>
  <w:num w:numId="14" w16cid:durableId="633416103">
    <w:abstractNumId w:val="9"/>
  </w:num>
  <w:num w:numId="15" w16cid:durableId="299575444">
    <w:abstractNumId w:val="7"/>
  </w:num>
  <w:num w:numId="16" w16cid:durableId="1147433053">
    <w:abstractNumId w:val="6"/>
  </w:num>
  <w:num w:numId="17" w16cid:durableId="484470632">
    <w:abstractNumId w:val="5"/>
  </w:num>
  <w:num w:numId="18" w16cid:durableId="2030254266">
    <w:abstractNumId w:val="4"/>
  </w:num>
  <w:num w:numId="19" w16cid:durableId="1392116301">
    <w:abstractNumId w:val="8"/>
  </w:num>
  <w:num w:numId="20" w16cid:durableId="196235704">
    <w:abstractNumId w:val="3"/>
  </w:num>
  <w:num w:numId="21" w16cid:durableId="1102804963">
    <w:abstractNumId w:val="2"/>
  </w:num>
  <w:num w:numId="22" w16cid:durableId="2042701921">
    <w:abstractNumId w:val="1"/>
  </w:num>
  <w:num w:numId="23" w16cid:durableId="1409843119">
    <w:abstractNumId w:val="0"/>
  </w:num>
  <w:num w:numId="24" w16cid:durableId="1117606430">
    <w:abstractNumId w:val="17"/>
  </w:num>
  <w:num w:numId="25" w16cid:durableId="89745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5506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068322">
    <w:abstractNumId w:val="29"/>
  </w:num>
  <w:num w:numId="28" w16cid:durableId="1957255390">
    <w:abstractNumId w:val="21"/>
  </w:num>
  <w:num w:numId="29" w16cid:durableId="1331719618">
    <w:abstractNumId w:val="36"/>
  </w:num>
  <w:num w:numId="30" w16cid:durableId="1773359506">
    <w:abstractNumId w:val="15"/>
  </w:num>
  <w:num w:numId="31" w16cid:durableId="1540705646">
    <w:abstractNumId w:val="14"/>
  </w:num>
  <w:num w:numId="32" w16cid:durableId="1635717672">
    <w:abstractNumId w:val="28"/>
  </w:num>
  <w:num w:numId="33" w16cid:durableId="411973304">
    <w:abstractNumId w:val="31"/>
  </w:num>
  <w:num w:numId="34" w16cid:durableId="893583362">
    <w:abstractNumId w:val="19"/>
  </w:num>
  <w:num w:numId="35" w16cid:durableId="1111507103">
    <w:abstractNumId w:val="27"/>
  </w:num>
  <w:num w:numId="36" w16cid:durableId="208301853">
    <w:abstractNumId w:val="26"/>
  </w:num>
  <w:num w:numId="37" w16cid:durableId="1639649191">
    <w:abstractNumId w:val="16"/>
  </w:num>
  <w:num w:numId="38" w16cid:durableId="2090535847">
    <w:abstractNumId w:val="20"/>
  </w:num>
  <w:num w:numId="39" w16cid:durableId="618341266">
    <w:abstractNumId w:val="10"/>
  </w:num>
  <w:num w:numId="40" w16cid:durableId="275260785">
    <w:abstractNumId w:val="18"/>
  </w:num>
  <w:num w:numId="41" w16cid:durableId="1527325713">
    <w:abstractNumId w:val="30"/>
  </w:num>
  <w:num w:numId="42" w16cid:durableId="1067459488">
    <w:abstractNumId w:val="37"/>
  </w:num>
  <w:num w:numId="43" w16cid:durableId="1438597452">
    <w:abstractNumId w:val="24"/>
  </w:num>
  <w:num w:numId="44" w16cid:durableId="1912999342">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1"/>
    <w:rsid w:val="00000ABE"/>
    <w:rsid w:val="00002875"/>
    <w:rsid w:val="00004316"/>
    <w:rsid w:val="000047C1"/>
    <w:rsid w:val="00007571"/>
    <w:rsid w:val="000079BA"/>
    <w:rsid w:val="00011A8D"/>
    <w:rsid w:val="000154F5"/>
    <w:rsid w:val="000205DE"/>
    <w:rsid w:val="0002165F"/>
    <w:rsid w:val="0002202D"/>
    <w:rsid w:val="00022781"/>
    <w:rsid w:val="000229C5"/>
    <w:rsid w:val="00022CE4"/>
    <w:rsid w:val="00026518"/>
    <w:rsid w:val="00034845"/>
    <w:rsid w:val="00034AFB"/>
    <w:rsid w:val="00034B7D"/>
    <w:rsid w:val="00042C29"/>
    <w:rsid w:val="00043826"/>
    <w:rsid w:val="00045068"/>
    <w:rsid w:val="000518F1"/>
    <w:rsid w:val="00052BAC"/>
    <w:rsid w:val="00053035"/>
    <w:rsid w:val="0005339C"/>
    <w:rsid w:val="00055A2C"/>
    <w:rsid w:val="000579B9"/>
    <w:rsid w:val="000579F6"/>
    <w:rsid w:val="00063827"/>
    <w:rsid w:val="00065B1B"/>
    <w:rsid w:val="00065D26"/>
    <w:rsid w:val="00066261"/>
    <w:rsid w:val="000666DC"/>
    <w:rsid w:val="0007055E"/>
    <w:rsid w:val="0007408A"/>
    <w:rsid w:val="000754D1"/>
    <w:rsid w:val="0007557D"/>
    <w:rsid w:val="00077243"/>
    <w:rsid w:val="0007750E"/>
    <w:rsid w:val="000810A1"/>
    <w:rsid w:val="00081CBD"/>
    <w:rsid w:val="00083BF4"/>
    <w:rsid w:val="00086C28"/>
    <w:rsid w:val="00091A36"/>
    <w:rsid w:val="00091E73"/>
    <w:rsid w:val="00092687"/>
    <w:rsid w:val="000948D1"/>
    <w:rsid w:val="000A1B12"/>
    <w:rsid w:val="000A4E03"/>
    <w:rsid w:val="000A5FE3"/>
    <w:rsid w:val="000B5B0E"/>
    <w:rsid w:val="000B7BB8"/>
    <w:rsid w:val="000C1A49"/>
    <w:rsid w:val="000C2AE2"/>
    <w:rsid w:val="000C2C31"/>
    <w:rsid w:val="000C6359"/>
    <w:rsid w:val="000D298D"/>
    <w:rsid w:val="000D4813"/>
    <w:rsid w:val="000D635D"/>
    <w:rsid w:val="000E0018"/>
    <w:rsid w:val="000E3EEE"/>
    <w:rsid w:val="000E74B8"/>
    <w:rsid w:val="000F1555"/>
    <w:rsid w:val="000F6C64"/>
    <w:rsid w:val="00103992"/>
    <w:rsid w:val="00106C98"/>
    <w:rsid w:val="00107280"/>
    <w:rsid w:val="00112081"/>
    <w:rsid w:val="0011559B"/>
    <w:rsid w:val="001158A2"/>
    <w:rsid w:val="00115C70"/>
    <w:rsid w:val="00117770"/>
    <w:rsid w:val="0012049A"/>
    <w:rsid w:val="00120ED1"/>
    <w:rsid w:val="0013021B"/>
    <w:rsid w:val="00131488"/>
    <w:rsid w:val="00135588"/>
    <w:rsid w:val="00135883"/>
    <w:rsid w:val="00136E47"/>
    <w:rsid w:val="00140E5C"/>
    <w:rsid w:val="00141A76"/>
    <w:rsid w:val="00144458"/>
    <w:rsid w:val="00146078"/>
    <w:rsid w:val="001472F4"/>
    <w:rsid w:val="00147A2D"/>
    <w:rsid w:val="001516D1"/>
    <w:rsid w:val="001520EE"/>
    <w:rsid w:val="00154D9E"/>
    <w:rsid w:val="00155D3A"/>
    <w:rsid w:val="001566AD"/>
    <w:rsid w:val="00161FC2"/>
    <w:rsid w:val="00164CE1"/>
    <w:rsid w:val="00165121"/>
    <w:rsid w:val="0016551E"/>
    <w:rsid w:val="00166E73"/>
    <w:rsid w:val="001674EC"/>
    <w:rsid w:val="00167B7C"/>
    <w:rsid w:val="00171960"/>
    <w:rsid w:val="00173A66"/>
    <w:rsid w:val="00174174"/>
    <w:rsid w:val="001741BA"/>
    <w:rsid w:val="0017467D"/>
    <w:rsid w:val="00176978"/>
    <w:rsid w:val="001820D7"/>
    <w:rsid w:val="001845DE"/>
    <w:rsid w:val="00184E5F"/>
    <w:rsid w:val="00185897"/>
    <w:rsid w:val="00186A8B"/>
    <w:rsid w:val="00191A80"/>
    <w:rsid w:val="00197015"/>
    <w:rsid w:val="001A02E8"/>
    <w:rsid w:val="001A37CD"/>
    <w:rsid w:val="001A5065"/>
    <w:rsid w:val="001A607A"/>
    <w:rsid w:val="001A701D"/>
    <w:rsid w:val="001B04DB"/>
    <w:rsid w:val="001B0A08"/>
    <w:rsid w:val="001B10D6"/>
    <w:rsid w:val="001B6BC6"/>
    <w:rsid w:val="001C0DA1"/>
    <w:rsid w:val="001C339C"/>
    <w:rsid w:val="001C6B78"/>
    <w:rsid w:val="001C7D40"/>
    <w:rsid w:val="001D0D41"/>
    <w:rsid w:val="001D3F03"/>
    <w:rsid w:val="001D629C"/>
    <w:rsid w:val="001E039F"/>
    <w:rsid w:val="001F2F1D"/>
    <w:rsid w:val="001F371E"/>
    <w:rsid w:val="001F3797"/>
    <w:rsid w:val="001F61AC"/>
    <w:rsid w:val="00205AF5"/>
    <w:rsid w:val="00207408"/>
    <w:rsid w:val="002078DB"/>
    <w:rsid w:val="00207F37"/>
    <w:rsid w:val="002102FB"/>
    <w:rsid w:val="0021056C"/>
    <w:rsid w:val="00212697"/>
    <w:rsid w:val="0021452F"/>
    <w:rsid w:val="002178C1"/>
    <w:rsid w:val="00220EDD"/>
    <w:rsid w:val="00220F49"/>
    <w:rsid w:val="002267D4"/>
    <w:rsid w:val="002272C5"/>
    <w:rsid w:val="0023017D"/>
    <w:rsid w:val="002325E6"/>
    <w:rsid w:val="00234E04"/>
    <w:rsid w:val="002370E5"/>
    <w:rsid w:val="00243079"/>
    <w:rsid w:val="00243647"/>
    <w:rsid w:val="00244D10"/>
    <w:rsid w:val="002452DF"/>
    <w:rsid w:val="00247CDD"/>
    <w:rsid w:val="00253383"/>
    <w:rsid w:val="00253FBA"/>
    <w:rsid w:val="00254930"/>
    <w:rsid w:val="00254FF2"/>
    <w:rsid w:val="0026088A"/>
    <w:rsid w:val="00261061"/>
    <w:rsid w:val="00263B25"/>
    <w:rsid w:val="002654B4"/>
    <w:rsid w:val="00274D4A"/>
    <w:rsid w:val="00274E21"/>
    <w:rsid w:val="002766DC"/>
    <w:rsid w:val="002775A2"/>
    <w:rsid w:val="00280DA9"/>
    <w:rsid w:val="0028670C"/>
    <w:rsid w:val="00290859"/>
    <w:rsid w:val="00290D05"/>
    <w:rsid w:val="00291719"/>
    <w:rsid w:val="002A75B6"/>
    <w:rsid w:val="002A75F1"/>
    <w:rsid w:val="002A7C17"/>
    <w:rsid w:val="002B27E2"/>
    <w:rsid w:val="002B4632"/>
    <w:rsid w:val="002B50CC"/>
    <w:rsid w:val="002C4C09"/>
    <w:rsid w:val="002C6B96"/>
    <w:rsid w:val="002D174A"/>
    <w:rsid w:val="002D17C9"/>
    <w:rsid w:val="002D196D"/>
    <w:rsid w:val="002D2552"/>
    <w:rsid w:val="002D494F"/>
    <w:rsid w:val="002D5A9D"/>
    <w:rsid w:val="002E37A3"/>
    <w:rsid w:val="002E3B2B"/>
    <w:rsid w:val="002E4C4A"/>
    <w:rsid w:val="002F1FFC"/>
    <w:rsid w:val="002F29ED"/>
    <w:rsid w:val="002F3AB8"/>
    <w:rsid w:val="002F3D30"/>
    <w:rsid w:val="002F61A3"/>
    <w:rsid w:val="002F7053"/>
    <w:rsid w:val="002F75C1"/>
    <w:rsid w:val="003031F9"/>
    <w:rsid w:val="00304997"/>
    <w:rsid w:val="0031065C"/>
    <w:rsid w:val="00312265"/>
    <w:rsid w:val="00313EFA"/>
    <w:rsid w:val="003141AF"/>
    <w:rsid w:val="00321787"/>
    <w:rsid w:val="00322305"/>
    <w:rsid w:val="003229F4"/>
    <w:rsid w:val="00324B55"/>
    <w:rsid w:val="0032719A"/>
    <w:rsid w:val="00331FB5"/>
    <w:rsid w:val="0033211C"/>
    <w:rsid w:val="00334A79"/>
    <w:rsid w:val="00334C17"/>
    <w:rsid w:val="003376E4"/>
    <w:rsid w:val="003406A8"/>
    <w:rsid w:val="0034639C"/>
    <w:rsid w:val="0035674C"/>
    <w:rsid w:val="003602E0"/>
    <w:rsid w:val="00362030"/>
    <w:rsid w:val="003623C3"/>
    <w:rsid w:val="003629ED"/>
    <w:rsid w:val="00365F0E"/>
    <w:rsid w:val="00370EEC"/>
    <w:rsid w:val="0037336E"/>
    <w:rsid w:val="0037338D"/>
    <w:rsid w:val="00374048"/>
    <w:rsid w:val="00377EDA"/>
    <w:rsid w:val="00380924"/>
    <w:rsid w:val="00380F53"/>
    <w:rsid w:val="00384BDF"/>
    <w:rsid w:val="003867F2"/>
    <w:rsid w:val="00386D2E"/>
    <w:rsid w:val="0039145A"/>
    <w:rsid w:val="00392ACF"/>
    <w:rsid w:val="00393D92"/>
    <w:rsid w:val="003946C3"/>
    <w:rsid w:val="00394A0E"/>
    <w:rsid w:val="003A24B1"/>
    <w:rsid w:val="003A2CF4"/>
    <w:rsid w:val="003A49B8"/>
    <w:rsid w:val="003A5857"/>
    <w:rsid w:val="003B081A"/>
    <w:rsid w:val="003B3AFA"/>
    <w:rsid w:val="003B3BF9"/>
    <w:rsid w:val="003B5C12"/>
    <w:rsid w:val="003B6371"/>
    <w:rsid w:val="003B7B62"/>
    <w:rsid w:val="003C17E5"/>
    <w:rsid w:val="003C2829"/>
    <w:rsid w:val="003C4573"/>
    <w:rsid w:val="003C74CD"/>
    <w:rsid w:val="003C7949"/>
    <w:rsid w:val="003D17E6"/>
    <w:rsid w:val="003D1BA3"/>
    <w:rsid w:val="003D5478"/>
    <w:rsid w:val="003D6C6B"/>
    <w:rsid w:val="003E0284"/>
    <w:rsid w:val="003E1038"/>
    <w:rsid w:val="003E4075"/>
    <w:rsid w:val="003E62B7"/>
    <w:rsid w:val="003F1DBC"/>
    <w:rsid w:val="003F53C7"/>
    <w:rsid w:val="003F55EB"/>
    <w:rsid w:val="004012A6"/>
    <w:rsid w:val="004050E8"/>
    <w:rsid w:val="00405862"/>
    <w:rsid w:val="004107A1"/>
    <w:rsid w:val="0041212E"/>
    <w:rsid w:val="00414101"/>
    <w:rsid w:val="004218D7"/>
    <w:rsid w:val="004255F1"/>
    <w:rsid w:val="00427231"/>
    <w:rsid w:val="00430238"/>
    <w:rsid w:val="004306DD"/>
    <w:rsid w:val="004314E1"/>
    <w:rsid w:val="00431E28"/>
    <w:rsid w:val="0044416D"/>
    <w:rsid w:val="00451A39"/>
    <w:rsid w:val="00452036"/>
    <w:rsid w:val="0045229E"/>
    <w:rsid w:val="00454D35"/>
    <w:rsid w:val="004613A9"/>
    <w:rsid w:val="00462EA8"/>
    <w:rsid w:val="004661A2"/>
    <w:rsid w:val="00474375"/>
    <w:rsid w:val="004744A7"/>
    <w:rsid w:val="0047535A"/>
    <w:rsid w:val="00476517"/>
    <w:rsid w:val="0047759C"/>
    <w:rsid w:val="00480DF5"/>
    <w:rsid w:val="00481C3F"/>
    <w:rsid w:val="00481D8D"/>
    <w:rsid w:val="0048437E"/>
    <w:rsid w:val="00491996"/>
    <w:rsid w:val="00491CF2"/>
    <w:rsid w:val="00491E24"/>
    <w:rsid w:val="00494446"/>
    <w:rsid w:val="004979E5"/>
    <w:rsid w:val="004A00B9"/>
    <w:rsid w:val="004A0831"/>
    <w:rsid w:val="004A2BA3"/>
    <w:rsid w:val="004A49D0"/>
    <w:rsid w:val="004A504D"/>
    <w:rsid w:val="004A7C9D"/>
    <w:rsid w:val="004B02F2"/>
    <w:rsid w:val="004B2BDA"/>
    <w:rsid w:val="004B2F6C"/>
    <w:rsid w:val="004C01D8"/>
    <w:rsid w:val="004C061B"/>
    <w:rsid w:val="004C1104"/>
    <w:rsid w:val="004C3EC2"/>
    <w:rsid w:val="004D2A10"/>
    <w:rsid w:val="004D3ACD"/>
    <w:rsid w:val="004D3DA5"/>
    <w:rsid w:val="004D54D3"/>
    <w:rsid w:val="004D632B"/>
    <w:rsid w:val="004E0147"/>
    <w:rsid w:val="004E19E4"/>
    <w:rsid w:val="004E2880"/>
    <w:rsid w:val="004E3C4D"/>
    <w:rsid w:val="004E49DF"/>
    <w:rsid w:val="004F1185"/>
    <w:rsid w:val="004F274C"/>
    <w:rsid w:val="004F4833"/>
    <w:rsid w:val="004F5F16"/>
    <w:rsid w:val="004F6209"/>
    <w:rsid w:val="00500E8F"/>
    <w:rsid w:val="005044D7"/>
    <w:rsid w:val="005064EC"/>
    <w:rsid w:val="00511742"/>
    <w:rsid w:val="00511B59"/>
    <w:rsid w:val="0051411E"/>
    <w:rsid w:val="0051679E"/>
    <w:rsid w:val="0051761D"/>
    <w:rsid w:val="0052208D"/>
    <w:rsid w:val="00523287"/>
    <w:rsid w:val="00524224"/>
    <w:rsid w:val="005259F1"/>
    <w:rsid w:val="00526350"/>
    <w:rsid w:val="005265D0"/>
    <w:rsid w:val="00531266"/>
    <w:rsid w:val="00533A65"/>
    <w:rsid w:val="005350C7"/>
    <w:rsid w:val="005377C6"/>
    <w:rsid w:val="00542FB7"/>
    <w:rsid w:val="00543DDC"/>
    <w:rsid w:val="0054412E"/>
    <w:rsid w:val="00544918"/>
    <w:rsid w:val="00544A81"/>
    <w:rsid w:val="00545200"/>
    <w:rsid w:val="00546503"/>
    <w:rsid w:val="00546CDC"/>
    <w:rsid w:val="0056158E"/>
    <w:rsid w:val="00562498"/>
    <w:rsid w:val="00562BD6"/>
    <w:rsid w:val="005658EA"/>
    <w:rsid w:val="00567E10"/>
    <w:rsid w:val="00571CF1"/>
    <w:rsid w:val="00571EAB"/>
    <w:rsid w:val="00574307"/>
    <w:rsid w:val="00575E4A"/>
    <w:rsid w:val="005809EB"/>
    <w:rsid w:val="00580C30"/>
    <w:rsid w:val="005844E7"/>
    <w:rsid w:val="005920B7"/>
    <w:rsid w:val="00593803"/>
    <w:rsid w:val="00594213"/>
    <w:rsid w:val="005A0B43"/>
    <w:rsid w:val="005A10FA"/>
    <w:rsid w:val="005B58B0"/>
    <w:rsid w:val="005B5DDF"/>
    <w:rsid w:val="005B5F4B"/>
    <w:rsid w:val="005C1C2E"/>
    <w:rsid w:val="005C230E"/>
    <w:rsid w:val="005C27E9"/>
    <w:rsid w:val="005C3D9B"/>
    <w:rsid w:val="005C545F"/>
    <w:rsid w:val="005C6BDD"/>
    <w:rsid w:val="005C7119"/>
    <w:rsid w:val="005D163D"/>
    <w:rsid w:val="005D42B5"/>
    <w:rsid w:val="005E0B06"/>
    <w:rsid w:val="005E179D"/>
    <w:rsid w:val="005F31A9"/>
    <w:rsid w:val="005F440C"/>
    <w:rsid w:val="005F4FAD"/>
    <w:rsid w:val="00605CAE"/>
    <w:rsid w:val="006061FD"/>
    <w:rsid w:val="006064AF"/>
    <w:rsid w:val="0061270E"/>
    <w:rsid w:val="00616BB5"/>
    <w:rsid w:val="00621D47"/>
    <w:rsid w:val="00625A73"/>
    <w:rsid w:val="00626D2A"/>
    <w:rsid w:val="00631034"/>
    <w:rsid w:val="00631D7E"/>
    <w:rsid w:val="00635EE6"/>
    <w:rsid w:val="00642755"/>
    <w:rsid w:val="00650F3B"/>
    <w:rsid w:val="00653A6F"/>
    <w:rsid w:val="006541E7"/>
    <w:rsid w:val="00654D6A"/>
    <w:rsid w:val="00656F9E"/>
    <w:rsid w:val="00657761"/>
    <w:rsid w:val="00660B40"/>
    <w:rsid w:val="00664F30"/>
    <w:rsid w:val="00665825"/>
    <w:rsid w:val="00667496"/>
    <w:rsid w:val="00667B5D"/>
    <w:rsid w:val="00672246"/>
    <w:rsid w:val="00673FEB"/>
    <w:rsid w:val="00677410"/>
    <w:rsid w:val="006833DA"/>
    <w:rsid w:val="00686A4F"/>
    <w:rsid w:val="006929AA"/>
    <w:rsid w:val="006A150C"/>
    <w:rsid w:val="006A3D06"/>
    <w:rsid w:val="006A6F56"/>
    <w:rsid w:val="006B30A6"/>
    <w:rsid w:val="006B40EC"/>
    <w:rsid w:val="006B4C27"/>
    <w:rsid w:val="006B6F6D"/>
    <w:rsid w:val="006B6FAC"/>
    <w:rsid w:val="006C2B66"/>
    <w:rsid w:val="006C4279"/>
    <w:rsid w:val="006C42A8"/>
    <w:rsid w:val="006D03C0"/>
    <w:rsid w:val="006D5DEE"/>
    <w:rsid w:val="006D616E"/>
    <w:rsid w:val="006D6DDF"/>
    <w:rsid w:val="006E053D"/>
    <w:rsid w:val="006E220B"/>
    <w:rsid w:val="006E5CDB"/>
    <w:rsid w:val="006E7C42"/>
    <w:rsid w:val="006F4FE7"/>
    <w:rsid w:val="006F6545"/>
    <w:rsid w:val="006F6D83"/>
    <w:rsid w:val="0070091D"/>
    <w:rsid w:val="007075F7"/>
    <w:rsid w:val="007123EA"/>
    <w:rsid w:val="00713F92"/>
    <w:rsid w:val="00714173"/>
    <w:rsid w:val="00721AA8"/>
    <w:rsid w:val="00724A44"/>
    <w:rsid w:val="00724D5E"/>
    <w:rsid w:val="00725EC0"/>
    <w:rsid w:val="00734829"/>
    <w:rsid w:val="007367A6"/>
    <w:rsid w:val="00742D5B"/>
    <w:rsid w:val="00742F94"/>
    <w:rsid w:val="0074337E"/>
    <w:rsid w:val="007477CF"/>
    <w:rsid w:val="00750F93"/>
    <w:rsid w:val="0075293F"/>
    <w:rsid w:val="00753D70"/>
    <w:rsid w:val="00756780"/>
    <w:rsid w:val="00767D43"/>
    <w:rsid w:val="0077102C"/>
    <w:rsid w:val="0077290A"/>
    <w:rsid w:val="007738F5"/>
    <w:rsid w:val="00776868"/>
    <w:rsid w:val="00776AB8"/>
    <w:rsid w:val="00776DD4"/>
    <w:rsid w:val="00780974"/>
    <w:rsid w:val="00782090"/>
    <w:rsid w:val="007844FF"/>
    <w:rsid w:val="00785279"/>
    <w:rsid w:val="0078626C"/>
    <w:rsid w:val="00790019"/>
    <w:rsid w:val="007957C0"/>
    <w:rsid w:val="00796334"/>
    <w:rsid w:val="007A1203"/>
    <w:rsid w:val="007A1D96"/>
    <w:rsid w:val="007A3181"/>
    <w:rsid w:val="007B1839"/>
    <w:rsid w:val="007B278D"/>
    <w:rsid w:val="007C0974"/>
    <w:rsid w:val="007C1E06"/>
    <w:rsid w:val="007C5C9A"/>
    <w:rsid w:val="007C5DE7"/>
    <w:rsid w:val="007C6873"/>
    <w:rsid w:val="007D2E7B"/>
    <w:rsid w:val="007E38CD"/>
    <w:rsid w:val="007E49B9"/>
    <w:rsid w:val="007E6B3F"/>
    <w:rsid w:val="007F139E"/>
    <w:rsid w:val="007F2DA8"/>
    <w:rsid w:val="007F389F"/>
    <w:rsid w:val="00800D0B"/>
    <w:rsid w:val="008020AD"/>
    <w:rsid w:val="0080357C"/>
    <w:rsid w:val="0080394F"/>
    <w:rsid w:val="00806328"/>
    <w:rsid w:val="008073E9"/>
    <w:rsid w:val="00807C86"/>
    <w:rsid w:val="00807C9F"/>
    <w:rsid w:val="00815C5B"/>
    <w:rsid w:val="0081729B"/>
    <w:rsid w:val="00817A09"/>
    <w:rsid w:val="00823645"/>
    <w:rsid w:val="00824249"/>
    <w:rsid w:val="008263DF"/>
    <w:rsid w:val="00826BFF"/>
    <w:rsid w:val="008310F3"/>
    <w:rsid w:val="008311AC"/>
    <w:rsid w:val="00831C0D"/>
    <w:rsid w:val="008326C8"/>
    <w:rsid w:val="0083455D"/>
    <w:rsid w:val="008361B0"/>
    <w:rsid w:val="00836C2F"/>
    <w:rsid w:val="0084286B"/>
    <w:rsid w:val="00842D85"/>
    <w:rsid w:val="00843963"/>
    <w:rsid w:val="0084541E"/>
    <w:rsid w:val="00845B0A"/>
    <w:rsid w:val="008469AB"/>
    <w:rsid w:val="00851695"/>
    <w:rsid w:val="008528D3"/>
    <w:rsid w:val="00854E32"/>
    <w:rsid w:val="008604CA"/>
    <w:rsid w:val="0086058B"/>
    <w:rsid w:val="00861120"/>
    <w:rsid w:val="00863230"/>
    <w:rsid w:val="008641CA"/>
    <w:rsid w:val="00866DFC"/>
    <w:rsid w:val="00872372"/>
    <w:rsid w:val="00875DBE"/>
    <w:rsid w:val="00877675"/>
    <w:rsid w:val="008779EE"/>
    <w:rsid w:val="00880977"/>
    <w:rsid w:val="00881157"/>
    <w:rsid w:val="0088487F"/>
    <w:rsid w:val="00885A52"/>
    <w:rsid w:val="00886DF0"/>
    <w:rsid w:val="008876E0"/>
    <w:rsid w:val="00887D5B"/>
    <w:rsid w:val="00894E90"/>
    <w:rsid w:val="0089589E"/>
    <w:rsid w:val="00895F9E"/>
    <w:rsid w:val="008A0726"/>
    <w:rsid w:val="008A4564"/>
    <w:rsid w:val="008A5CB0"/>
    <w:rsid w:val="008B1CFF"/>
    <w:rsid w:val="008B1F4A"/>
    <w:rsid w:val="008B2228"/>
    <w:rsid w:val="008B2786"/>
    <w:rsid w:val="008B2AE6"/>
    <w:rsid w:val="008B3663"/>
    <w:rsid w:val="008B3C3E"/>
    <w:rsid w:val="008B43E0"/>
    <w:rsid w:val="008C050A"/>
    <w:rsid w:val="008C22A8"/>
    <w:rsid w:val="008C65EA"/>
    <w:rsid w:val="008C6679"/>
    <w:rsid w:val="008D0B47"/>
    <w:rsid w:val="008D22A7"/>
    <w:rsid w:val="008D5598"/>
    <w:rsid w:val="008E07EB"/>
    <w:rsid w:val="008E13E6"/>
    <w:rsid w:val="008E1755"/>
    <w:rsid w:val="008E41FD"/>
    <w:rsid w:val="008E4E3B"/>
    <w:rsid w:val="008E56EA"/>
    <w:rsid w:val="008E6937"/>
    <w:rsid w:val="008E75D4"/>
    <w:rsid w:val="008F2D45"/>
    <w:rsid w:val="008F2E00"/>
    <w:rsid w:val="008F58BD"/>
    <w:rsid w:val="008F6B16"/>
    <w:rsid w:val="009017D1"/>
    <w:rsid w:val="009070E4"/>
    <w:rsid w:val="0091015A"/>
    <w:rsid w:val="009106FD"/>
    <w:rsid w:val="00913974"/>
    <w:rsid w:val="0091630E"/>
    <w:rsid w:val="00916A35"/>
    <w:rsid w:val="00921F5E"/>
    <w:rsid w:val="00926C79"/>
    <w:rsid w:val="0093040F"/>
    <w:rsid w:val="00930570"/>
    <w:rsid w:val="00930A3D"/>
    <w:rsid w:val="009318E6"/>
    <w:rsid w:val="00933F42"/>
    <w:rsid w:val="00934C0F"/>
    <w:rsid w:val="0094636B"/>
    <w:rsid w:val="0094642D"/>
    <w:rsid w:val="00947D73"/>
    <w:rsid w:val="00953C9B"/>
    <w:rsid w:val="00953F7C"/>
    <w:rsid w:val="009574F7"/>
    <w:rsid w:val="0095766A"/>
    <w:rsid w:val="00961F23"/>
    <w:rsid w:val="009631CC"/>
    <w:rsid w:val="009644FB"/>
    <w:rsid w:val="009659D5"/>
    <w:rsid w:val="00970530"/>
    <w:rsid w:val="0097081A"/>
    <w:rsid w:val="009717A3"/>
    <w:rsid w:val="00973591"/>
    <w:rsid w:val="0097494A"/>
    <w:rsid w:val="00981D62"/>
    <w:rsid w:val="00981E34"/>
    <w:rsid w:val="009831AE"/>
    <w:rsid w:val="00984189"/>
    <w:rsid w:val="00987067"/>
    <w:rsid w:val="00987A04"/>
    <w:rsid w:val="00993BBC"/>
    <w:rsid w:val="0099474C"/>
    <w:rsid w:val="009A1BD5"/>
    <w:rsid w:val="009A2129"/>
    <w:rsid w:val="009A41F2"/>
    <w:rsid w:val="009A46D7"/>
    <w:rsid w:val="009A56DB"/>
    <w:rsid w:val="009A658F"/>
    <w:rsid w:val="009B0194"/>
    <w:rsid w:val="009B0B12"/>
    <w:rsid w:val="009B17D1"/>
    <w:rsid w:val="009B36B2"/>
    <w:rsid w:val="009B3F65"/>
    <w:rsid w:val="009B5F04"/>
    <w:rsid w:val="009B648A"/>
    <w:rsid w:val="009B7AA8"/>
    <w:rsid w:val="009C51E7"/>
    <w:rsid w:val="009C5723"/>
    <w:rsid w:val="009C7B81"/>
    <w:rsid w:val="009D1583"/>
    <w:rsid w:val="009D6643"/>
    <w:rsid w:val="009E5780"/>
    <w:rsid w:val="009E747C"/>
    <w:rsid w:val="009E760A"/>
    <w:rsid w:val="009F5598"/>
    <w:rsid w:val="009F631B"/>
    <w:rsid w:val="009F6E67"/>
    <w:rsid w:val="009F7947"/>
    <w:rsid w:val="009F7DBB"/>
    <w:rsid w:val="00A00FD7"/>
    <w:rsid w:val="00A04BE2"/>
    <w:rsid w:val="00A10F74"/>
    <w:rsid w:val="00A1177B"/>
    <w:rsid w:val="00A11D77"/>
    <w:rsid w:val="00A11DEA"/>
    <w:rsid w:val="00A120A2"/>
    <w:rsid w:val="00A124D4"/>
    <w:rsid w:val="00A12517"/>
    <w:rsid w:val="00A1262E"/>
    <w:rsid w:val="00A127B4"/>
    <w:rsid w:val="00A16263"/>
    <w:rsid w:val="00A17018"/>
    <w:rsid w:val="00A21AD6"/>
    <w:rsid w:val="00A23EFA"/>
    <w:rsid w:val="00A2443E"/>
    <w:rsid w:val="00A31954"/>
    <w:rsid w:val="00A32A53"/>
    <w:rsid w:val="00A3372F"/>
    <w:rsid w:val="00A34591"/>
    <w:rsid w:val="00A4469E"/>
    <w:rsid w:val="00A44AE2"/>
    <w:rsid w:val="00A45C76"/>
    <w:rsid w:val="00A46E7C"/>
    <w:rsid w:val="00A54D51"/>
    <w:rsid w:val="00A61483"/>
    <w:rsid w:val="00A61599"/>
    <w:rsid w:val="00A70A3B"/>
    <w:rsid w:val="00A725BD"/>
    <w:rsid w:val="00A72B97"/>
    <w:rsid w:val="00A74172"/>
    <w:rsid w:val="00A75A4E"/>
    <w:rsid w:val="00A82C0D"/>
    <w:rsid w:val="00A838EE"/>
    <w:rsid w:val="00A84043"/>
    <w:rsid w:val="00A8527F"/>
    <w:rsid w:val="00A85C36"/>
    <w:rsid w:val="00A86EE8"/>
    <w:rsid w:val="00A9640C"/>
    <w:rsid w:val="00AA0333"/>
    <w:rsid w:val="00AA2402"/>
    <w:rsid w:val="00AA2ABA"/>
    <w:rsid w:val="00AA39F4"/>
    <w:rsid w:val="00AA5C29"/>
    <w:rsid w:val="00AB38BB"/>
    <w:rsid w:val="00AC16AD"/>
    <w:rsid w:val="00AC1EFA"/>
    <w:rsid w:val="00AC5939"/>
    <w:rsid w:val="00AC700C"/>
    <w:rsid w:val="00AC7261"/>
    <w:rsid w:val="00AD123F"/>
    <w:rsid w:val="00AD1F1A"/>
    <w:rsid w:val="00AD40BD"/>
    <w:rsid w:val="00AD6090"/>
    <w:rsid w:val="00AD7D64"/>
    <w:rsid w:val="00AE05FB"/>
    <w:rsid w:val="00AE09E3"/>
    <w:rsid w:val="00AE4205"/>
    <w:rsid w:val="00AE4C4D"/>
    <w:rsid w:val="00AE72DE"/>
    <w:rsid w:val="00AF351A"/>
    <w:rsid w:val="00B05B68"/>
    <w:rsid w:val="00B05CCE"/>
    <w:rsid w:val="00B07B3F"/>
    <w:rsid w:val="00B106F4"/>
    <w:rsid w:val="00B1494F"/>
    <w:rsid w:val="00B153CE"/>
    <w:rsid w:val="00B2044B"/>
    <w:rsid w:val="00B22D58"/>
    <w:rsid w:val="00B2352D"/>
    <w:rsid w:val="00B23D17"/>
    <w:rsid w:val="00B273EA"/>
    <w:rsid w:val="00B32AFA"/>
    <w:rsid w:val="00B34A71"/>
    <w:rsid w:val="00B410C6"/>
    <w:rsid w:val="00B43010"/>
    <w:rsid w:val="00B45A0E"/>
    <w:rsid w:val="00B46471"/>
    <w:rsid w:val="00B46997"/>
    <w:rsid w:val="00B52A7D"/>
    <w:rsid w:val="00B54DF4"/>
    <w:rsid w:val="00B56261"/>
    <w:rsid w:val="00B56B97"/>
    <w:rsid w:val="00B61B74"/>
    <w:rsid w:val="00B62A1C"/>
    <w:rsid w:val="00B62B74"/>
    <w:rsid w:val="00B646AF"/>
    <w:rsid w:val="00B65078"/>
    <w:rsid w:val="00B6587E"/>
    <w:rsid w:val="00B6610E"/>
    <w:rsid w:val="00B81CA3"/>
    <w:rsid w:val="00B82A2B"/>
    <w:rsid w:val="00B83824"/>
    <w:rsid w:val="00B8394E"/>
    <w:rsid w:val="00B92059"/>
    <w:rsid w:val="00B9296E"/>
    <w:rsid w:val="00B93B20"/>
    <w:rsid w:val="00BA29A0"/>
    <w:rsid w:val="00BA4224"/>
    <w:rsid w:val="00BA75C0"/>
    <w:rsid w:val="00BB0E56"/>
    <w:rsid w:val="00BB1155"/>
    <w:rsid w:val="00BB1985"/>
    <w:rsid w:val="00BC1A1A"/>
    <w:rsid w:val="00BC2AD0"/>
    <w:rsid w:val="00BC321F"/>
    <w:rsid w:val="00BC499F"/>
    <w:rsid w:val="00BC4CAC"/>
    <w:rsid w:val="00BC5FE3"/>
    <w:rsid w:val="00BD11B3"/>
    <w:rsid w:val="00BD3339"/>
    <w:rsid w:val="00BD3D3D"/>
    <w:rsid w:val="00BD5DC7"/>
    <w:rsid w:val="00BD5EAB"/>
    <w:rsid w:val="00BD73B0"/>
    <w:rsid w:val="00BE1112"/>
    <w:rsid w:val="00BE192A"/>
    <w:rsid w:val="00BE3E18"/>
    <w:rsid w:val="00BE6122"/>
    <w:rsid w:val="00BE6236"/>
    <w:rsid w:val="00BE6D48"/>
    <w:rsid w:val="00BF0FD5"/>
    <w:rsid w:val="00BF165A"/>
    <w:rsid w:val="00C05B75"/>
    <w:rsid w:val="00C12E1E"/>
    <w:rsid w:val="00C158DB"/>
    <w:rsid w:val="00C15E8F"/>
    <w:rsid w:val="00C1652D"/>
    <w:rsid w:val="00C21E36"/>
    <w:rsid w:val="00C21F0B"/>
    <w:rsid w:val="00C23150"/>
    <w:rsid w:val="00C23E6D"/>
    <w:rsid w:val="00C2577B"/>
    <w:rsid w:val="00C305C3"/>
    <w:rsid w:val="00C311CA"/>
    <w:rsid w:val="00C34C77"/>
    <w:rsid w:val="00C4368A"/>
    <w:rsid w:val="00C51854"/>
    <w:rsid w:val="00C54193"/>
    <w:rsid w:val="00C5758B"/>
    <w:rsid w:val="00C57EEE"/>
    <w:rsid w:val="00C62D80"/>
    <w:rsid w:val="00C6351B"/>
    <w:rsid w:val="00C64F20"/>
    <w:rsid w:val="00C66CB8"/>
    <w:rsid w:val="00C66FCA"/>
    <w:rsid w:val="00C67C63"/>
    <w:rsid w:val="00C7378E"/>
    <w:rsid w:val="00C7499F"/>
    <w:rsid w:val="00C75629"/>
    <w:rsid w:val="00C75CFE"/>
    <w:rsid w:val="00C8198B"/>
    <w:rsid w:val="00C83026"/>
    <w:rsid w:val="00C85DAE"/>
    <w:rsid w:val="00C877DF"/>
    <w:rsid w:val="00C878AA"/>
    <w:rsid w:val="00C91C2A"/>
    <w:rsid w:val="00C93A5C"/>
    <w:rsid w:val="00C97E55"/>
    <w:rsid w:val="00CA4A81"/>
    <w:rsid w:val="00CB0990"/>
    <w:rsid w:val="00CB31AD"/>
    <w:rsid w:val="00CB6966"/>
    <w:rsid w:val="00CC33BC"/>
    <w:rsid w:val="00CC3CDD"/>
    <w:rsid w:val="00CC57FB"/>
    <w:rsid w:val="00CD0B8B"/>
    <w:rsid w:val="00CD56C4"/>
    <w:rsid w:val="00CD5777"/>
    <w:rsid w:val="00CD5F48"/>
    <w:rsid w:val="00CD70D6"/>
    <w:rsid w:val="00CE2EC9"/>
    <w:rsid w:val="00CE38D6"/>
    <w:rsid w:val="00CE3CA0"/>
    <w:rsid w:val="00CE54A4"/>
    <w:rsid w:val="00CE67C3"/>
    <w:rsid w:val="00CF073B"/>
    <w:rsid w:val="00CF085C"/>
    <w:rsid w:val="00CF1E20"/>
    <w:rsid w:val="00CF4662"/>
    <w:rsid w:val="00CF5CC3"/>
    <w:rsid w:val="00CF6F76"/>
    <w:rsid w:val="00CF7770"/>
    <w:rsid w:val="00D00708"/>
    <w:rsid w:val="00D103AD"/>
    <w:rsid w:val="00D14D60"/>
    <w:rsid w:val="00D172EB"/>
    <w:rsid w:val="00D2031B"/>
    <w:rsid w:val="00D20AEB"/>
    <w:rsid w:val="00D238B0"/>
    <w:rsid w:val="00D25302"/>
    <w:rsid w:val="00D25839"/>
    <w:rsid w:val="00D2673B"/>
    <w:rsid w:val="00D33437"/>
    <w:rsid w:val="00D36A88"/>
    <w:rsid w:val="00D36C56"/>
    <w:rsid w:val="00D40485"/>
    <w:rsid w:val="00D41E87"/>
    <w:rsid w:val="00D42112"/>
    <w:rsid w:val="00D443ED"/>
    <w:rsid w:val="00D45286"/>
    <w:rsid w:val="00D45F76"/>
    <w:rsid w:val="00D46294"/>
    <w:rsid w:val="00D46983"/>
    <w:rsid w:val="00D4776E"/>
    <w:rsid w:val="00D54778"/>
    <w:rsid w:val="00D5547B"/>
    <w:rsid w:val="00D57B02"/>
    <w:rsid w:val="00D62F7E"/>
    <w:rsid w:val="00D63E5E"/>
    <w:rsid w:val="00D64988"/>
    <w:rsid w:val="00D6665A"/>
    <w:rsid w:val="00D71E53"/>
    <w:rsid w:val="00D72BC0"/>
    <w:rsid w:val="00D73366"/>
    <w:rsid w:val="00D7574A"/>
    <w:rsid w:val="00D76719"/>
    <w:rsid w:val="00D80028"/>
    <w:rsid w:val="00D802DD"/>
    <w:rsid w:val="00D82A8E"/>
    <w:rsid w:val="00D82BD9"/>
    <w:rsid w:val="00D83AFD"/>
    <w:rsid w:val="00D85372"/>
    <w:rsid w:val="00D87F96"/>
    <w:rsid w:val="00D901E1"/>
    <w:rsid w:val="00D90B1F"/>
    <w:rsid w:val="00D92409"/>
    <w:rsid w:val="00D930E1"/>
    <w:rsid w:val="00D94753"/>
    <w:rsid w:val="00D9642D"/>
    <w:rsid w:val="00DA31CA"/>
    <w:rsid w:val="00DB12DC"/>
    <w:rsid w:val="00DB4876"/>
    <w:rsid w:val="00DC00AA"/>
    <w:rsid w:val="00DC6747"/>
    <w:rsid w:val="00DC7C1E"/>
    <w:rsid w:val="00DD26B7"/>
    <w:rsid w:val="00DD3AEA"/>
    <w:rsid w:val="00DD3B05"/>
    <w:rsid w:val="00DD70C5"/>
    <w:rsid w:val="00DE11C5"/>
    <w:rsid w:val="00DE1542"/>
    <w:rsid w:val="00DE2A64"/>
    <w:rsid w:val="00DE30D5"/>
    <w:rsid w:val="00DE4834"/>
    <w:rsid w:val="00DE6DE0"/>
    <w:rsid w:val="00DE7DA9"/>
    <w:rsid w:val="00DF0817"/>
    <w:rsid w:val="00DF2683"/>
    <w:rsid w:val="00DF3304"/>
    <w:rsid w:val="00DF3D9E"/>
    <w:rsid w:val="00DF5DEA"/>
    <w:rsid w:val="00DF6360"/>
    <w:rsid w:val="00DF6798"/>
    <w:rsid w:val="00E01871"/>
    <w:rsid w:val="00E01F9B"/>
    <w:rsid w:val="00E10FF5"/>
    <w:rsid w:val="00E110DB"/>
    <w:rsid w:val="00E11471"/>
    <w:rsid w:val="00E127B4"/>
    <w:rsid w:val="00E13774"/>
    <w:rsid w:val="00E1430A"/>
    <w:rsid w:val="00E146E7"/>
    <w:rsid w:val="00E16BDD"/>
    <w:rsid w:val="00E16ED8"/>
    <w:rsid w:val="00E17FC0"/>
    <w:rsid w:val="00E22269"/>
    <w:rsid w:val="00E265A9"/>
    <w:rsid w:val="00E314F6"/>
    <w:rsid w:val="00E317DC"/>
    <w:rsid w:val="00E33005"/>
    <w:rsid w:val="00E33C74"/>
    <w:rsid w:val="00E3571B"/>
    <w:rsid w:val="00E360D5"/>
    <w:rsid w:val="00E36D67"/>
    <w:rsid w:val="00E37694"/>
    <w:rsid w:val="00E37FF1"/>
    <w:rsid w:val="00E506BE"/>
    <w:rsid w:val="00E51066"/>
    <w:rsid w:val="00E5156A"/>
    <w:rsid w:val="00E5325C"/>
    <w:rsid w:val="00E54E2E"/>
    <w:rsid w:val="00E55BCF"/>
    <w:rsid w:val="00E56350"/>
    <w:rsid w:val="00E60820"/>
    <w:rsid w:val="00E62A35"/>
    <w:rsid w:val="00E6388E"/>
    <w:rsid w:val="00E6395D"/>
    <w:rsid w:val="00E641A5"/>
    <w:rsid w:val="00E6433B"/>
    <w:rsid w:val="00E658A1"/>
    <w:rsid w:val="00E70D4A"/>
    <w:rsid w:val="00E76BF2"/>
    <w:rsid w:val="00E80F7E"/>
    <w:rsid w:val="00E84F14"/>
    <w:rsid w:val="00E85490"/>
    <w:rsid w:val="00E861EF"/>
    <w:rsid w:val="00E87A95"/>
    <w:rsid w:val="00E909BA"/>
    <w:rsid w:val="00E911B6"/>
    <w:rsid w:val="00E964E0"/>
    <w:rsid w:val="00E973D3"/>
    <w:rsid w:val="00EA0028"/>
    <w:rsid w:val="00EA32D8"/>
    <w:rsid w:val="00EA38C4"/>
    <w:rsid w:val="00EA3F40"/>
    <w:rsid w:val="00EA677A"/>
    <w:rsid w:val="00EA73A9"/>
    <w:rsid w:val="00EA7CF0"/>
    <w:rsid w:val="00EB18B2"/>
    <w:rsid w:val="00EB1FB6"/>
    <w:rsid w:val="00EB3692"/>
    <w:rsid w:val="00EC2B2A"/>
    <w:rsid w:val="00EC3C69"/>
    <w:rsid w:val="00EC7597"/>
    <w:rsid w:val="00ED1739"/>
    <w:rsid w:val="00ED2827"/>
    <w:rsid w:val="00ED4FBF"/>
    <w:rsid w:val="00ED65D7"/>
    <w:rsid w:val="00EE41DC"/>
    <w:rsid w:val="00EE56C9"/>
    <w:rsid w:val="00EE639C"/>
    <w:rsid w:val="00EE6AB6"/>
    <w:rsid w:val="00EF12DF"/>
    <w:rsid w:val="00EF2BD1"/>
    <w:rsid w:val="00EF4420"/>
    <w:rsid w:val="00EF7A90"/>
    <w:rsid w:val="00F003DB"/>
    <w:rsid w:val="00F0379A"/>
    <w:rsid w:val="00F05A9A"/>
    <w:rsid w:val="00F1407B"/>
    <w:rsid w:val="00F14E2A"/>
    <w:rsid w:val="00F1612B"/>
    <w:rsid w:val="00F204D0"/>
    <w:rsid w:val="00F2315D"/>
    <w:rsid w:val="00F23844"/>
    <w:rsid w:val="00F258D5"/>
    <w:rsid w:val="00F30FFD"/>
    <w:rsid w:val="00F44399"/>
    <w:rsid w:val="00F44D7C"/>
    <w:rsid w:val="00F472E5"/>
    <w:rsid w:val="00F47487"/>
    <w:rsid w:val="00F5139F"/>
    <w:rsid w:val="00F5582F"/>
    <w:rsid w:val="00F5612A"/>
    <w:rsid w:val="00F61345"/>
    <w:rsid w:val="00F61C5C"/>
    <w:rsid w:val="00F64301"/>
    <w:rsid w:val="00F64A29"/>
    <w:rsid w:val="00F65916"/>
    <w:rsid w:val="00F65AB6"/>
    <w:rsid w:val="00F66645"/>
    <w:rsid w:val="00F6707C"/>
    <w:rsid w:val="00F671BB"/>
    <w:rsid w:val="00F725D6"/>
    <w:rsid w:val="00F73557"/>
    <w:rsid w:val="00F7444F"/>
    <w:rsid w:val="00F75AC2"/>
    <w:rsid w:val="00F777B7"/>
    <w:rsid w:val="00F80497"/>
    <w:rsid w:val="00F8130D"/>
    <w:rsid w:val="00F817A1"/>
    <w:rsid w:val="00F84880"/>
    <w:rsid w:val="00F85E0C"/>
    <w:rsid w:val="00F90C7B"/>
    <w:rsid w:val="00F92681"/>
    <w:rsid w:val="00F934E0"/>
    <w:rsid w:val="00F94D3C"/>
    <w:rsid w:val="00FA003A"/>
    <w:rsid w:val="00FA2713"/>
    <w:rsid w:val="00FA4F0F"/>
    <w:rsid w:val="00FB467F"/>
    <w:rsid w:val="00FC0F6C"/>
    <w:rsid w:val="00FC168D"/>
    <w:rsid w:val="00FC2DC8"/>
    <w:rsid w:val="00FC43CE"/>
    <w:rsid w:val="00FC4C0C"/>
    <w:rsid w:val="00FC7D08"/>
    <w:rsid w:val="00FD3D1B"/>
    <w:rsid w:val="00FD4F74"/>
    <w:rsid w:val="00FD528D"/>
    <w:rsid w:val="00FD7001"/>
    <w:rsid w:val="00FE410C"/>
    <w:rsid w:val="00FE56C1"/>
    <w:rsid w:val="00FF09C7"/>
    <w:rsid w:val="00FF0C1B"/>
    <w:rsid w:val="00FF2516"/>
    <w:rsid w:val="00FF4032"/>
    <w:rsid w:val="00FF7690"/>
    <w:rsid w:val="027A3959"/>
    <w:rsid w:val="029E41F1"/>
    <w:rsid w:val="044659A6"/>
    <w:rsid w:val="09270185"/>
    <w:rsid w:val="0BA64BAA"/>
    <w:rsid w:val="0C9798BA"/>
    <w:rsid w:val="0C9C7C3C"/>
    <w:rsid w:val="0FA70FBD"/>
    <w:rsid w:val="11D117E8"/>
    <w:rsid w:val="14795151"/>
    <w:rsid w:val="14CDDC79"/>
    <w:rsid w:val="15FD28E4"/>
    <w:rsid w:val="1682DE30"/>
    <w:rsid w:val="16E8FE51"/>
    <w:rsid w:val="178C148C"/>
    <w:rsid w:val="1798F945"/>
    <w:rsid w:val="186A6C57"/>
    <w:rsid w:val="19748980"/>
    <w:rsid w:val="19BD45EF"/>
    <w:rsid w:val="1AA63ACC"/>
    <w:rsid w:val="1B1FFE69"/>
    <w:rsid w:val="1C240014"/>
    <w:rsid w:val="1DA679D9"/>
    <w:rsid w:val="1ED746B8"/>
    <w:rsid w:val="2047A914"/>
    <w:rsid w:val="20A710B6"/>
    <w:rsid w:val="223EDFBF"/>
    <w:rsid w:val="2322F0F2"/>
    <w:rsid w:val="265AA551"/>
    <w:rsid w:val="2A3EB063"/>
    <w:rsid w:val="2A9F39D3"/>
    <w:rsid w:val="2B896199"/>
    <w:rsid w:val="2FF8E2F8"/>
    <w:rsid w:val="300194EB"/>
    <w:rsid w:val="31A73541"/>
    <w:rsid w:val="33890750"/>
    <w:rsid w:val="33FEA1D7"/>
    <w:rsid w:val="354681A9"/>
    <w:rsid w:val="359A3D0A"/>
    <w:rsid w:val="3600D8CA"/>
    <w:rsid w:val="36757BA1"/>
    <w:rsid w:val="392CBE06"/>
    <w:rsid w:val="3A6AD356"/>
    <w:rsid w:val="40474BED"/>
    <w:rsid w:val="417983D8"/>
    <w:rsid w:val="4257620F"/>
    <w:rsid w:val="4392CEAF"/>
    <w:rsid w:val="46B331A4"/>
    <w:rsid w:val="46E28415"/>
    <w:rsid w:val="47E7E4B5"/>
    <w:rsid w:val="49B6D7EC"/>
    <w:rsid w:val="4B1EB501"/>
    <w:rsid w:val="4C96323E"/>
    <w:rsid w:val="51F573CB"/>
    <w:rsid w:val="52709460"/>
    <w:rsid w:val="542796A5"/>
    <w:rsid w:val="550CB0A4"/>
    <w:rsid w:val="57BFAB42"/>
    <w:rsid w:val="59F53AD4"/>
    <w:rsid w:val="5A03167D"/>
    <w:rsid w:val="5BEFD120"/>
    <w:rsid w:val="601DECA3"/>
    <w:rsid w:val="609EEA4A"/>
    <w:rsid w:val="627EE7B2"/>
    <w:rsid w:val="63283B0B"/>
    <w:rsid w:val="66EF7B58"/>
    <w:rsid w:val="67E7EDD9"/>
    <w:rsid w:val="71D2DD40"/>
    <w:rsid w:val="738A4AFE"/>
    <w:rsid w:val="74464BC5"/>
    <w:rsid w:val="798CB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67C583A"/>
  <w15:docId w15:val="{A9D392AD-6568-415D-83D3-80CC92FF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74C"/>
    <w:rPr>
      <w:bCs/>
      <w:sz w:val="20"/>
      <w:szCs w:val="20"/>
    </w:rPr>
  </w:style>
  <w:style w:type="paragraph" w:styleId="Heading1">
    <w:name w:val="heading 1"/>
    <w:basedOn w:val="Normal"/>
    <w:next w:val="Normal"/>
    <w:link w:val="Heading1Char"/>
    <w:uiPriority w:val="9"/>
    <w:qFormat/>
    <w:rsid w:val="00CB6966"/>
    <w:pPr>
      <w:keepNext/>
      <w:keepLines/>
      <w:numPr>
        <w:numId w:val="6"/>
      </w:numPr>
      <w:spacing w:before="240" w:after="0"/>
      <w:outlineLvl w:val="0"/>
    </w:pPr>
    <w:rPr>
      <w:rFonts w:ascii="Arial" w:eastAsiaTheme="majorEastAsia" w:hAnsi="Arial" w:cstheme="majorBidi"/>
      <w:color w:val="005EB8" w:themeColor="text2"/>
      <w:sz w:val="24"/>
      <w:szCs w:val="24"/>
    </w:rPr>
  </w:style>
  <w:style w:type="paragraph" w:styleId="Heading2">
    <w:name w:val="heading 2"/>
    <w:basedOn w:val="Normal"/>
    <w:next w:val="Normal"/>
    <w:link w:val="Heading2Char"/>
    <w:uiPriority w:val="9"/>
    <w:unhideWhenUsed/>
    <w:qFormat/>
    <w:rsid w:val="00CB6966"/>
    <w:pPr>
      <w:keepNext/>
      <w:keepLines/>
      <w:spacing w:before="40" w:after="0"/>
      <w:outlineLvl w:val="1"/>
    </w:pPr>
    <w:rPr>
      <w:rFonts w:asciiTheme="majorHAnsi" w:eastAsiaTheme="majorEastAsia" w:hAnsiTheme="majorHAnsi" w:cstheme="majorBidi"/>
      <w:color w:val="005EB8" w:themeColor="text2"/>
      <w:sz w:val="24"/>
      <w:szCs w:val="26"/>
    </w:rPr>
  </w:style>
  <w:style w:type="paragraph" w:styleId="Heading3">
    <w:name w:val="heading 3"/>
    <w:basedOn w:val="Normal"/>
    <w:next w:val="Normal"/>
    <w:link w:val="Heading3Char"/>
    <w:uiPriority w:val="9"/>
    <w:unhideWhenUsed/>
    <w:qFormat/>
    <w:rsid w:val="00CB6966"/>
    <w:pPr>
      <w:keepNext/>
      <w:keepLines/>
      <w:spacing w:before="40" w:after="0"/>
      <w:outlineLvl w:val="2"/>
    </w:pPr>
    <w:rPr>
      <w:rFonts w:asciiTheme="majorHAnsi" w:eastAsiaTheme="majorEastAsia" w:hAnsiTheme="majorHAnsi" w:cstheme="majorBidi"/>
      <w:color w:val="005EB8" w:themeColor="text2"/>
      <w:sz w:val="24"/>
      <w:szCs w:val="24"/>
    </w:rPr>
  </w:style>
  <w:style w:type="paragraph" w:styleId="Heading4">
    <w:name w:val="heading 4"/>
    <w:basedOn w:val="Normal"/>
    <w:next w:val="Normal"/>
    <w:link w:val="Heading4Char"/>
    <w:uiPriority w:val="9"/>
    <w:unhideWhenUsed/>
    <w:qFormat/>
    <w:rsid w:val="005B58B0"/>
    <w:pPr>
      <w:keepNext/>
      <w:keepLines/>
      <w:spacing w:before="40" w:after="0"/>
      <w:outlineLvl w:val="3"/>
    </w:pPr>
    <w:rPr>
      <w:rFonts w:asciiTheme="majorHAnsi" w:eastAsiaTheme="majorEastAsia" w:hAnsiTheme="majorHAnsi" w:cstheme="majorBidi"/>
      <w:i/>
      <w:iCs/>
      <w:color w:val="004689" w:themeColor="accent1" w:themeShade="BF"/>
    </w:rPr>
  </w:style>
  <w:style w:type="paragraph" w:styleId="Heading5">
    <w:name w:val="heading 5"/>
    <w:basedOn w:val="Normal"/>
    <w:next w:val="Normal"/>
    <w:link w:val="Heading5Char"/>
    <w:uiPriority w:val="9"/>
    <w:unhideWhenUsed/>
    <w:qFormat/>
    <w:rsid w:val="005B58B0"/>
    <w:pPr>
      <w:keepNext/>
      <w:keepLines/>
      <w:spacing w:before="40" w:after="0"/>
      <w:outlineLvl w:val="4"/>
    </w:pPr>
    <w:rPr>
      <w:rFonts w:asciiTheme="majorHAnsi" w:eastAsiaTheme="majorEastAsia" w:hAnsiTheme="majorHAnsi" w:cstheme="majorBidi"/>
      <w:color w:val="004689" w:themeColor="accent1" w:themeShade="BF"/>
    </w:rPr>
  </w:style>
  <w:style w:type="paragraph" w:styleId="Heading6">
    <w:name w:val="heading 6"/>
    <w:basedOn w:val="Normal"/>
    <w:next w:val="Normal"/>
    <w:link w:val="Heading6Char"/>
    <w:uiPriority w:val="9"/>
    <w:semiHidden/>
    <w:unhideWhenUsed/>
    <w:qFormat/>
    <w:rsid w:val="0016551E"/>
    <w:pPr>
      <w:keepNext/>
      <w:keepLines/>
      <w:spacing w:before="40" w:after="0"/>
      <w:outlineLvl w:val="5"/>
    </w:pPr>
    <w:rPr>
      <w:rFonts w:asciiTheme="majorHAnsi" w:eastAsiaTheme="majorEastAsia" w:hAnsiTheme="majorHAnsi" w:cstheme="majorBidi"/>
      <w:color w:val="002E5B" w:themeColor="accent1" w:themeShade="7F"/>
    </w:rPr>
  </w:style>
  <w:style w:type="paragraph" w:styleId="Heading7">
    <w:name w:val="heading 7"/>
    <w:basedOn w:val="Normal"/>
    <w:next w:val="Normal"/>
    <w:link w:val="Heading7Char"/>
    <w:uiPriority w:val="9"/>
    <w:semiHidden/>
    <w:unhideWhenUsed/>
    <w:qFormat/>
    <w:rsid w:val="0016551E"/>
    <w:pPr>
      <w:keepNext/>
      <w:keepLines/>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16551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551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597"/>
    <w:pPr>
      <w:ind w:left="720"/>
      <w:contextualSpacing/>
    </w:pPr>
  </w:style>
  <w:style w:type="paragraph" w:customStyle="1" w:styleId="paragraph">
    <w:name w:val="paragraph"/>
    <w:basedOn w:val="Normal"/>
    <w:rsid w:val="00885A52"/>
    <w:pPr>
      <w:spacing w:after="0" w:line="240" w:lineRule="auto"/>
    </w:pPr>
    <w:rPr>
      <w:rFonts w:ascii="Times New Roman" w:eastAsia="Times New Roman" w:hAnsi="Times New Roman" w:cs="Times New Roman"/>
      <w:sz w:val="24"/>
      <w:szCs w:val="24"/>
      <w:lang w:eastAsia="en-GB"/>
    </w:rPr>
  </w:style>
  <w:style w:type="character" w:customStyle="1" w:styleId="advancedproofingissue">
    <w:name w:val="advancedproofingissue"/>
    <w:basedOn w:val="DefaultParagraphFont"/>
    <w:rsid w:val="00885A52"/>
  </w:style>
  <w:style w:type="character" w:customStyle="1" w:styleId="normaltextrun1">
    <w:name w:val="normaltextrun1"/>
    <w:basedOn w:val="DefaultParagraphFont"/>
    <w:rsid w:val="00885A52"/>
  </w:style>
  <w:style w:type="character" w:customStyle="1" w:styleId="eop">
    <w:name w:val="eop"/>
    <w:basedOn w:val="DefaultParagraphFont"/>
    <w:rsid w:val="00885A52"/>
  </w:style>
  <w:style w:type="character" w:styleId="CommentReference">
    <w:name w:val="annotation reference"/>
    <w:basedOn w:val="DefaultParagraphFont"/>
    <w:uiPriority w:val="99"/>
    <w:semiHidden/>
    <w:unhideWhenUsed/>
    <w:rsid w:val="00E80F7E"/>
    <w:rPr>
      <w:sz w:val="16"/>
      <w:szCs w:val="16"/>
    </w:rPr>
  </w:style>
  <w:style w:type="paragraph" w:styleId="CommentText">
    <w:name w:val="annotation text"/>
    <w:basedOn w:val="Normal"/>
    <w:link w:val="CommentTextChar"/>
    <w:uiPriority w:val="99"/>
    <w:unhideWhenUsed/>
    <w:rsid w:val="00E80F7E"/>
    <w:pPr>
      <w:spacing w:line="240" w:lineRule="auto"/>
    </w:pPr>
  </w:style>
  <w:style w:type="character" w:customStyle="1" w:styleId="CommentTextChar">
    <w:name w:val="Comment Text Char"/>
    <w:basedOn w:val="DefaultParagraphFont"/>
    <w:link w:val="CommentText"/>
    <w:uiPriority w:val="99"/>
    <w:rsid w:val="00E80F7E"/>
    <w:rPr>
      <w:sz w:val="20"/>
      <w:szCs w:val="20"/>
    </w:rPr>
  </w:style>
  <w:style w:type="paragraph" w:styleId="CommentSubject">
    <w:name w:val="annotation subject"/>
    <w:basedOn w:val="CommentText"/>
    <w:next w:val="CommentText"/>
    <w:link w:val="CommentSubjectChar"/>
    <w:uiPriority w:val="99"/>
    <w:semiHidden/>
    <w:unhideWhenUsed/>
    <w:rsid w:val="00E80F7E"/>
    <w:rPr>
      <w:b/>
      <w:bCs w:val="0"/>
    </w:rPr>
  </w:style>
  <w:style w:type="character" w:customStyle="1" w:styleId="CommentSubjectChar">
    <w:name w:val="Comment Subject Char"/>
    <w:basedOn w:val="CommentTextChar"/>
    <w:link w:val="CommentSubject"/>
    <w:uiPriority w:val="99"/>
    <w:semiHidden/>
    <w:rsid w:val="00E80F7E"/>
    <w:rPr>
      <w:b/>
      <w:bCs/>
      <w:sz w:val="20"/>
      <w:szCs w:val="20"/>
    </w:rPr>
  </w:style>
  <w:style w:type="paragraph" w:styleId="BalloonText">
    <w:name w:val="Balloon Text"/>
    <w:basedOn w:val="Normal"/>
    <w:link w:val="BalloonTextChar"/>
    <w:uiPriority w:val="99"/>
    <w:semiHidden/>
    <w:unhideWhenUsed/>
    <w:rsid w:val="00E8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F7E"/>
    <w:rPr>
      <w:rFonts w:ascii="Segoe UI" w:hAnsi="Segoe UI" w:cs="Segoe UI"/>
      <w:sz w:val="18"/>
      <w:szCs w:val="18"/>
    </w:rPr>
  </w:style>
  <w:style w:type="paragraph" w:styleId="NoSpacing">
    <w:name w:val="No Spacing"/>
    <w:uiPriority w:val="1"/>
    <w:qFormat/>
    <w:rsid w:val="00BA29A0"/>
    <w:pPr>
      <w:spacing w:after="0" w:line="240" w:lineRule="auto"/>
    </w:pPr>
  </w:style>
  <w:style w:type="paragraph" w:styleId="NormalWeb">
    <w:name w:val="Normal (Web)"/>
    <w:basedOn w:val="Normal"/>
    <w:uiPriority w:val="99"/>
    <w:unhideWhenUsed/>
    <w:rsid w:val="00B81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B6966"/>
    <w:rPr>
      <w:rFonts w:asciiTheme="majorHAnsi" w:eastAsiaTheme="majorEastAsia" w:hAnsiTheme="majorHAnsi" w:cstheme="majorBidi"/>
      <w:bCs/>
      <w:color w:val="005EB8" w:themeColor="text2"/>
      <w:sz w:val="24"/>
      <w:szCs w:val="26"/>
    </w:rPr>
  </w:style>
  <w:style w:type="character" w:customStyle="1" w:styleId="Heading1Char">
    <w:name w:val="Heading 1 Char"/>
    <w:basedOn w:val="DefaultParagraphFont"/>
    <w:link w:val="Heading1"/>
    <w:uiPriority w:val="9"/>
    <w:rsid w:val="00CB6966"/>
    <w:rPr>
      <w:rFonts w:ascii="Arial" w:eastAsiaTheme="majorEastAsia" w:hAnsi="Arial" w:cstheme="majorBidi"/>
      <w:bCs/>
      <w:color w:val="005EB8" w:themeColor="text2"/>
      <w:sz w:val="24"/>
      <w:szCs w:val="24"/>
    </w:rPr>
  </w:style>
  <w:style w:type="character" w:customStyle="1" w:styleId="Heading3Char">
    <w:name w:val="Heading 3 Char"/>
    <w:basedOn w:val="DefaultParagraphFont"/>
    <w:link w:val="Heading3"/>
    <w:uiPriority w:val="9"/>
    <w:rsid w:val="00CB6966"/>
    <w:rPr>
      <w:rFonts w:asciiTheme="majorHAnsi" w:eastAsiaTheme="majorEastAsia" w:hAnsiTheme="majorHAnsi" w:cstheme="majorBidi"/>
      <w:bCs/>
      <w:color w:val="005EB8" w:themeColor="text2"/>
      <w:sz w:val="24"/>
      <w:szCs w:val="24"/>
    </w:rPr>
  </w:style>
  <w:style w:type="character" w:customStyle="1" w:styleId="Heading4Char">
    <w:name w:val="Heading 4 Char"/>
    <w:basedOn w:val="DefaultParagraphFont"/>
    <w:link w:val="Heading4"/>
    <w:uiPriority w:val="9"/>
    <w:rsid w:val="005B58B0"/>
    <w:rPr>
      <w:rFonts w:asciiTheme="majorHAnsi" w:eastAsiaTheme="majorEastAsia" w:hAnsiTheme="majorHAnsi" w:cstheme="majorBidi"/>
      <w:i/>
      <w:iCs/>
      <w:color w:val="004689" w:themeColor="accent1" w:themeShade="BF"/>
    </w:rPr>
  </w:style>
  <w:style w:type="character" w:customStyle="1" w:styleId="Heading5Char">
    <w:name w:val="Heading 5 Char"/>
    <w:basedOn w:val="DefaultParagraphFont"/>
    <w:link w:val="Heading5"/>
    <w:uiPriority w:val="9"/>
    <w:rsid w:val="005B58B0"/>
    <w:rPr>
      <w:rFonts w:asciiTheme="majorHAnsi" w:eastAsiaTheme="majorEastAsia" w:hAnsiTheme="majorHAnsi" w:cstheme="majorBidi"/>
      <w:color w:val="004689" w:themeColor="accent1" w:themeShade="BF"/>
    </w:rPr>
  </w:style>
  <w:style w:type="character" w:styleId="Hyperlink">
    <w:name w:val="Hyperlink"/>
    <w:basedOn w:val="DefaultParagraphFont"/>
    <w:uiPriority w:val="99"/>
    <w:unhideWhenUsed/>
    <w:rsid w:val="00E265A9"/>
    <w:rPr>
      <w:color w:val="0072CE" w:themeColor="hyperlink"/>
      <w:u w:val="single"/>
    </w:rPr>
  </w:style>
  <w:style w:type="character" w:styleId="UnresolvedMention">
    <w:name w:val="Unresolved Mention"/>
    <w:basedOn w:val="DefaultParagraphFont"/>
    <w:uiPriority w:val="99"/>
    <w:semiHidden/>
    <w:unhideWhenUsed/>
    <w:rsid w:val="00E265A9"/>
    <w:rPr>
      <w:color w:val="605E5C"/>
      <w:shd w:val="clear" w:color="auto" w:fill="E1DFDD"/>
    </w:rPr>
  </w:style>
  <w:style w:type="paragraph" w:styleId="EndnoteText">
    <w:name w:val="endnote text"/>
    <w:basedOn w:val="Normal"/>
    <w:link w:val="EndnoteTextChar"/>
    <w:uiPriority w:val="99"/>
    <w:unhideWhenUsed/>
    <w:rsid w:val="0041212E"/>
    <w:pPr>
      <w:spacing w:after="0" w:line="240" w:lineRule="auto"/>
    </w:pPr>
  </w:style>
  <w:style w:type="character" w:customStyle="1" w:styleId="EndnoteTextChar">
    <w:name w:val="Endnote Text Char"/>
    <w:basedOn w:val="DefaultParagraphFont"/>
    <w:link w:val="EndnoteText"/>
    <w:uiPriority w:val="99"/>
    <w:rsid w:val="0041212E"/>
    <w:rPr>
      <w:sz w:val="20"/>
      <w:szCs w:val="20"/>
    </w:rPr>
  </w:style>
  <w:style w:type="character" w:styleId="EndnoteReference">
    <w:name w:val="endnote reference"/>
    <w:basedOn w:val="DefaultParagraphFont"/>
    <w:uiPriority w:val="99"/>
    <w:semiHidden/>
    <w:unhideWhenUsed/>
    <w:rsid w:val="0041212E"/>
    <w:rPr>
      <w:vertAlign w:val="superscript"/>
    </w:rPr>
  </w:style>
  <w:style w:type="character" w:styleId="IntenseReference">
    <w:name w:val="Intense Reference"/>
    <w:basedOn w:val="DefaultParagraphFont"/>
    <w:uiPriority w:val="32"/>
    <w:qFormat/>
    <w:rsid w:val="0035674C"/>
    <w:rPr>
      <w:b/>
      <w:bCs/>
      <w:smallCaps/>
      <w:color w:val="005EB8" w:themeColor="accent1"/>
      <w:spacing w:val="5"/>
    </w:rPr>
  </w:style>
  <w:style w:type="paragraph" w:styleId="TOCHeading">
    <w:name w:val="TOC Heading"/>
    <w:basedOn w:val="Heading1"/>
    <w:next w:val="Normal"/>
    <w:uiPriority w:val="39"/>
    <w:unhideWhenUsed/>
    <w:qFormat/>
    <w:rsid w:val="003629ED"/>
    <w:pPr>
      <w:numPr>
        <w:numId w:val="0"/>
      </w:numPr>
      <w:outlineLvl w:val="9"/>
    </w:pPr>
    <w:rPr>
      <w:rFonts w:asciiTheme="majorHAnsi" w:hAnsiTheme="majorHAnsi"/>
      <w:bCs w:val="0"/>
      <w:color w:val="004689" w:themeColor="accent1" w:themeShade="BF"/>
      <w:sz w:val="32"/>
      <w:szCs w:val="32"/>
      <w:lang w:val="en-US"/>
    </w:rPr>
  </w:style>
  <w:style w:type="paragraph" w:styleId="TOC1">
    <w:name w:val="toc 1"/>
    <w:basedOn w:val="Normal"/>
    <w:next w:val="Normal"/>
    <w:autoRedefine/>
    <w:uiPriority w:val="39"/>
    <w:unhideWhenUsed/>
    <w:rsid w:val="00973591"/>
    <w:pPr>
      <w:tabs>
        <w:tab w:val="left" w:pos="660"/>
        <w:tab w:val="right" w:leader="dot" w:pos="9016"/>
      </w:tabs>
      <w:spacing w:after="100"/>
    </w:pPr>
  </w:style>
  <w:style w:type="paragraph" w:styleId="FootnoteText">
    <w:name w:val="footnote text"/>
    <w:basedOn w:val="Normal"/>
    <w:link w:val="FootnoteTextChar"/>
    <w:uiPriority w:val="99"/>
    <w:semiHidden/>
    <w:unhideWhenUsed/>
    <w:rsid w:val="004E0147"/>
    <w:pPr>
      <w:spacing w:after="0" w:line="240" w:lineRule="auto"/>
    </w:pPr>
  </w:style>
  <w:style w:type="character" w:customStyle="1" w:styleId="FootnoteTextChar">
    <w:name w:val="Footnote Text Char"/>
    <w:basedOn w:val="DefaultParagraphFont"/>
    <w:link w:val="FootnoteText"/>
    <w:uiPriority w:val="99"/>
    <w:semiHidden/>
    <w:rsid w:val="004E0147"/>
    <w:rPr>
      <w:bCs/>
      <w:sz w:val="20"/>
      <w:szCs w:val="20"/>
    </w:rPr>
  </w:style>
  <w:style w:type="character" w:styleId="FootnoteReference">
    <w:name w:val="footnote reference"/>
    <w:basedOn w:val="DefaultParagraphFont"/>
    <w:uiPriority w:val="99"/>
    <w:semiHidden/>
    <w:unhideWhenUsed/>
    <w:rsid w:val="004E0147"/>
    <w:rPr>
      <w:vertAlign w:val="superscript"/>
    </w:rPr>
  </w:style>
  <w:style w:type="paragraph" w:styleId="Header">
    <w:name w:val="header"/>
    <w:basedOn w:val="Normal"/>
    <w:link w:val="HeaderChar"/>
    <w:uiPriority w:val="99"/>
    <w:unhideWhenUsed/>
    <w:rsid w:val="00CE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CA0"/>
    <w:rPr>
      <w:bCs/>
      <w:sz w:val="20"/>
      <w:szCs w:val="20"/>
    </w:rPr>
  </w:style>
  <w:style w:type="paragraph" w:styleId="Footer">
    <w:name w:val="footer"/>
    <w:basedOn w:val="Normal"/>
    <w:link w:val="FooterChar"/>
    <w:uiPriority w:val="99"/>
    <w:unhideWhenUsed/>
    <w:rsid w:val="00CE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CA0"/>
    <w:rPr>
      <w:bCs/>
      <w:sz w:val="20"/>
      <w:szCs w:val="20"/>
    </w:rPr>
  </w:style>
  <w:style w:type="character" w:styleId="FollowedHyperlink">
    <w:name w:val="FollowedHyperlink"/>
    <w:basedOn w:val="DefaultParagraphFont"/>
    <w:uiPriority w:val="99"/>
    <w:semiHidden/>
    <w:unhideWhenUsed/>
    <w:rsid w:val="00854E32"/>
    <w:rPr>
      <w:color w:val="330072" w:themeColor="followedHyperlink"/>
      <w:u w:val="single"/>
    </w:rPr>
  </w:style>
  <w:style w:type="paragraph" w:styleId="Revision">
    <w:name w:val="Revision"/>
    <w:hidden/>
    <w:uiPriority w:val="99"/>
    <w:semiHidden/>
    <w:rsid w:val="007B278D"/>
    <w:pPr>
      <w:spacing w:after="0" w:line="240" w:lineRule="auto"/>
    </w:pPr>
    <w:rPr>
      <w:bCs/>
      <w:sz w:val="20"/>
      <w:szCs w:val="20"/>
    </w:rPr>
  </w:style>
  <w:style w:type="character" w:styleId="SubtleEmphasis">
    <w:name w:val="Subtle Emphasis"/>
    <w:basedOn w:val="DefaultParagraphFont"/>
    <w:uiPriority w:val="19"/>
    <w:qFormat/>
    <w:rsid w:val="00D63E5E"/>
    <w:rPr>
      <w:i/>
      <w:iCs/>
      <w:color w:val="808080" w:themeColor="text1" w:themeTint="7F"/>
    </w:rPr>
  </w:style>
  <w:style w:type="character" w:styleId="PageNumber">
    <w:name w:val="page number"/>
    <w:basedOn w:val="DefaultParagraphFont"/>
    <w:uiPriority w:val="99"/>
    <w:semiHidden/>
    <w:unhideWhenUsed/>
    <w:rsid w:val="00B22D58"/>
  </w:style>
  <w:style w:type="table" w:styleId="ListTable4-Accent1">
    <w:name w:val="List Table 4 Accent 1"/>
    <w:basedOn w:val="TableNormal"/>
    <w:uiPriority w:val="49"/>
    <w:rsid w:val="00DF5DEA"/>
    <w:pPr>
      <w:spacing w:after="0" w:line="240" w:lineRule="auto"/>
    </w:pPr>
    <w:tblPr>
      <w:tblStyleRowBandSize w:val="1"/>
      <w:tblStyleColBandSize w:val="1"/>
      <w:tblBorders>
        <w:top w:val="single" w:sz="4" w:space="0" w:color="3B9FFF" w:themeColor="accent1" w:themeTint="99"/>
        <w:left w:val="single" w:sz="4" w:space="0" w:color="3B9FFF" w:themeColor="accent1" w:themeTint="99"/>
        <w:bottom w:val="single" w:sz="4" w:space="0" w:color="3B9FFF" w:themeColor="accent1" w:themeTint="99"/>
        <w:right w:val="single" w:sz="4" w:space="0" w:color="3B9FFF" w:themeColor="accent1" w:themeTint="99"/>
        <w:insideH w:val="single" w:sz="4" w:space="0" w:color="3B9FFF" w:themeColor="accent1" w:themeTint="99"/>
      </w:tblBorders>
    </w:tblPr>
    <w:tblStylePr w:type="firstRow">
      <w:rPr>
        <w:b/>
        <w:bCs/>
        <w:color w:val="FFFFFF" w:themeColor="background1"/>
      </w:rPr>
      <w:tblPr/>
      <w:tcPr>
        <w:tcBorders>
          <w:top w:val="single" w:sz="4" w:space="0" w:color="005EB8" w:themeColor="accent1"/>
          <w:left w:val="single" w:sz="4" w:space="0" w:color="005EB8" w:themeColor="accent1"/>
          <w:bottom w:val="single" w:sz="4" w:space="0" w:color="005EB8" w:themeColor="accent1"/>
          <w:right w:val="single" w:sz="4" w:space="0" w:color="005EB8" w:themeColor="accent1"/>
          <w:insideH w:val="nil"/>
        </w:tcBorders>
        <w:shd w:val="clear" w:color="auto" w:fill="005EB8" w:themeFill="accent1"/>
      </w:tcPr>
    </w:tblStylePr>
    <w:tblStylePr w:type="lastRow">
      <w:rPr>
        <w:b/>
        <w:bCs/>
      </w:rPr>
      <w:tblPr/>
      <w:tcPr>
        <w:tcBorders>
          <w:top w:val="double" w:sz="4" w:space="0" w:color="3B9FFF" w:themeColor="accent1" w:themeTint="99"/>
        </w:tcBorders>
      </w:tcPr>
    </w:tblStylePr>
    <w:tblStylePr w:type="firstCol">
      <w:rPr>
        <w:b/>
        <w:bCs/>
      </w:rPr>
    </w:tblStylePr>
    <w:tblStylePr w:type="lastCol">
      <w:rPr>
        <w:b/>
        <w:bCs/>
      </w:rPr>
    </w:tblStylePr>
    <w:tblStylePr w:type="band1Vert">
      <w:tblPr/>
      <w:tcPr>
        <w:shd w:val="clear" w:color="auto" w:fill="BDDEFF" w:themeFill="accent1" w:themeFillTint="33"/>
      </w:tcPr>
    </w:tblStylePr>
    <w:tblStylePr w:type="band1Horz">
      <w:tblPr/>
      <w:tcPr>
        <w:shd w:val="clear" w:color="auto" w:fill="BDDEFF" w:themeFill="accent1" w:themeFillTint="33"/>
      </w:tcPr>
    </w:tblStylePr>
  </w:style>
  <w:style w:type="paragraph" w:styleId="TOC3">
    <w:name w:val="toc 3"/>
    <w:basedOn w:val="Normal"/>
    <w:next w:val="Normal"/>
    <w:autoRedefine/>
    <w:uiPriority w:val="39"/>
    <w:unhideWhenUsed/>
    <w:rsid w:val="001F3797"/>
    <w:pPr>
      <w:spacing w:after="100"/>
      <w:ind w:left="400"/>
    </w:pPr>
  </w:style>
  <w:style w:type="paragraph" w:styleId="TOC2">
    <w:name w:val="toc 2"/>
    <w:basedOn w:val="Normal"/>
    <w:next w:val="Normal"/>
    <w:autoRedefine/>
    <w:uiPriority w:val="39"/>
    <w:unhideWhenUsed/>
    <w:rsid w:val="001F3797"/>
    <w:pPr>
      <w:spacing w:after="100"/>
      <w:ind w:left="200"/>
    </w:pPr>
  </w:style>
  <w:style w:type="paragraph" w:styleId="Bibliography">
    <w:name w:val="Bibliography"/>
    <w:basedOn w:val="Normal"/>
    <w:next w:val="Normal"/>
    <w:uiPriority w:val="37"/>
    <w:semiHidden/>
    <w:unhideWhenUsed/>
    <w:rsid w:val="0016551E"/>
  </w:style>
  <w:style w:type="paragraph" w:styleId="BlockText">
    <w:name w:val="Block Text"/>
    <w:basedOn w:val="Normal"/>
    <w:uiPriority w:val="99"/>
    <w:semiHidden/>
    <w:unhideWhenUsed/>
    <w:rsid w:val="0016551E"/>
    <w:pPr>
      <w:pBdr>
        <w:top w:val="single" w:sz="2" w:space="10" w:color="005EB8" w:themeColor="accent1"/>
        <w:left w:val="single" w:sz="2" w:space="10" w:color="005EB8" w:themeColor="accent1"/>
        <w:bottom w:val="single" w:sz="2" w:space="10" w:color="005EB8" w:themeColor="accent1"/>
        <w:right w:val="single" w:sz="2" w:space="10" w:color="005EB8" w:themeColor="accent1"/>
      </w:pBdr>
      <w:ind w:left="1152" w:right="1152"/>
    </w:pPr>
    <w:rPr>
      <w:rFonts w:eastAsiaTheme="minorEastAsia"/>
      <w:i/>
      <w:iCs/>
      <w:color w:val="005EB8" w:themeColor="accent1"/>
    </w:rPr>
  </w:style>
  <w:style w:type="paragraph" w:styleId="BodyText">
    <w:name w:val="Body Text"/>
    <w:basedOn w:val="Normal"/>
    <w:link w:val="BodyTextChar"/>
    <w:uiPriority w:val="99"/>
    <w:semiHidden/>
    <w:unhideWhenUsed/>
    <w:rsid w:val="0016551E"/>
    <w:pPr>
      <w:spacing w:after="120"/>
    </w:pPr>
  </w:style>
  <w:style w:type="character" w:customStyle="1" w:styleId="BodyTextChar">
    <w:name w:val="Body Text Char"/>
    <w:basedOn w:val="DefaultParagraphFont"/>
    <w:link w:val="BodyText"/>
    <w:uiPriority w:val="99"/>
    <w:semiHidden/>
    <w:rsid w:val="0016551E"/>
    <w:rPr>
      <w:bCs/>
      <w:sz w:val="20"/>
      <w:szCs w:val="20"/>
    </w:rPr>
  </w:style>
  <w:style w:type="paragraph" w:styleId="BodyText2">
    <w:name w:val="Body Text 2"/>
    <w:basedOn w:val="Normal"/>
    <w:link w:val="BodyText2Char"/>
    <w:uiPriority w:val="99"/>
    <w:semiHidden/>
    <w:unhideWhenUsed/>
    <w:rsid w:val="0016551E"/>
    <w:pPr>
      <w:spacing w:after="120" w:line="480" w:lineRule="auto"/>
    </w:pPr>
  </w:style>
  <w:style w:type="character" w:customStyle="1" w:styleId="BodyText2Char">
    <w:name w:val="Body Text 2 Char"/>
    <w:basedOn w:val="DefaultParagraphFont"/>
    <w:link w:val="BodyText2"/>
    <w:uiPriority w:val="99"/>
    <w:semiHidden/>
    <w:rsid w:val="0016551E"/>
    <w:rPr>
      <w:bCs/>
      <w:sz w:val="20"/>
      <w:szCs w:val="20"/>
    </w:rPr>
  </w:style>
  <w:style w:type="paragraph" w:styleId="BodyText3">
    <w:name w:val="Body Text 3"/>
    <w:basedOn w:val="Normal"/>
    <w:link w:val="BodyText3Char"/>
    <w:uiPriority w:val="99"/>
    <w:semiHidden/>
    <w:unhideWhenUsed/>
    <w:rsid w:val="0016551E"/>
    <w:pPr>
      <w:spacing w:after="120"/>
    </w:pPr>
    <w:rPr>
      <w:sz w:val="16"/>
      <w:szCs w:val="16"/>
    </w:rPr>
  </w:style>
  <w:style w:type="character" w:customStyle="1" w:styleId="BodyText3Char">
    <w:name w:val="Body Text 3 Char"/>
    <w:basedOn w:val="DefaultParagraphFont"/>
    <w:link w:val="BodyText3"/>
    <w:uiPriority w:val="99"/>
    <w:semiHidden/>
    <w:rsid w:val="0016551E"/>
    <w:rPr>
      <w:bCs/>
      <w:sz w:val="16"/>
      <w:szCs w:val="16"/>
    </w:rPr>
  </w:style>
  <w:style w:type="paragraph" w:styleId="BodyTextFirstIndent">
    <w:name w:val="Body Text First Indent"/>
    <w:basedOn w:val="BodyText"/>
    <w:link w:val="BodyTextFirstIndentChar"/>
    <w:uiPriority w:val="99"/>
    <w:semiHidden/>
    <w:unhideWhenUsed/>
    <w:rsid w:val="0016551E"/>
    <w:pPr>
      <w:spacing w:after="160"/>
      <w:ind w:firstLine="360"/>
    </w:pPr>
  </w:style>
  <w:style w:type="character" w:customStyle="1" w:styleId="BodyTextFirstIndentChar">
    <w:name w:val="Body Text First Indent Char"/>
    <w:basedOn w:val="BodyTextChar"/>
    <w:link w:val="BodyTextFirstIndent"/>
    <w:uiPriority w:val="99"/>
    <w:semiHidden/>
    <w:rsid w:val="0016551E"/>
    <w:rPr>
      <w:bCs/>
      <w:sz w:val="20"/>
      <w:szCs w:val="20"/>
    </w:rPr>
  </w:style>
  <w:style w:type="paragraph" w:styleId="BodyTextIndent">
    <w:name w:val="Body Text Indent"/>
    <w:basedOn w:val="Normal"/>
    <w:link w:val="BodyTextIndentChar"/>
    <w:uiPriority w:val="99"/>
    <w:semiHidden/>
    <w:unhideWhenUsed/>
    <w:rsid w:val="0016551E"/>
    <w:pPr>
      <w:spacing w:after="120"/>
      <w:ind w:left="283"/>
    </w:pPr>
  </w:style>
  <w:style w:type="character" w:customStyle="1" w:styleId="BodyTextIndentChar">
    <w:name w:val="Body Text Indent Char"/>
    <w:basedOn w:val="DefaultParagraphFont"/>
    <w:link w:val="BodyTextIndent"/>
    <w:uiPriority w:val="99"/>
    <w:semiHidden/>
    <w:rsid w:val="0016551E"/>
    <w:rPr>
      <w:bCs/>
      <w:sz w:val="20"/>
      <w:szCs w:val="20"/>
    </w:rPr>
  </w:style>
  <w:style w:type="paragraph" w:styleId="BodyTextFirstIndent2">
    <w:name w:val="Body Text First Indent 2"/>
    <w:basedOn w:val="BodyTextIndent"/>
    <w:link w:val="BodyTextFirstIndent2Char"/>
    <w:uiPriority w:val="99"/>
    <w:semiHidden/>
    <w:unhideWhenUsed/>
    <w:rsid w:val="0016551E"/>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16551E"/>
    <w:rPr>
      <w:bCs/>
      <w:sz w:val="20"/>
      <w:szCs w:val="20"/>
    </w:rPr>
  </w:style>
  <w:style w:type="paragraph" w:styleId="BodyTextIndent2">
    <w:name w:val="Body Text Indent 2"/>
    <w:basedOn w:val="Normal"/>
    <w:link w:val="BodyTextIndent2Char"/>
    <w:uiPriority w:val="99"/>
    <w:semiHidden/>
    <w:unhideWhenUsed/>
    <w:rsid w:val="0016551E"/>
    <w:pPr>
      <w:spacing w:after="120" w:line="480" w:lineRule="auto"/>
      <w:ind w:left="283"/>
    </w:pPr>
  </w:style>
  <w:style w:type="character" w:customStyle="1" w:styleId="BodyTextIndent2Char">
    <w:name w:val="Body Text Indent 2 Char"/>
    <w:basedOn w:val="DefaultParagraphFont"/>
    <w:link w:val="BodyTextIndent2"/>
    <w:uiPriority w:val="99"/>
    <w:semiHidden/>
    <w:rsid w:val="0016551E"/>
    <w:rPr>
      <w:bCs/>
      <w:sz w:val="20"/>
      <w:szCs w:val="20"/>
    </w:rPr>
  </w:style>
  <w:style w:type="paragraph" w:styleId="BodyTextIndent3">
    <w:name w:val="Body Text Indent 3"/>
    <w:basedOn w:val="Normal"/>
    <w:link w:val="BodyTextIndent3Char"/>
    <w:uiPriority w:val="99"/>
    <w:semiHidden/>
    <w:unhideWhenUsed/>
    <w:rsid w:val="0016551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6551E"/>
    <w:rPr>
      <w:bCs/>
      <w:sz w:val="16"/>
      <w:szCs w:val="16"/>
    </w:rPr>
  </w:style>
  <w:style w:type="paragraph" w:styleId="Caption">
    <w:name w:val="caption"/>
    <w:basedOn w:val="Normal"/>
    <w:next w:val="Normal"/>
    <w:uiPriority w:val="35"/>
    <w:semiHidden/>
    <w:unhideWhenUsed/>
    <w:qFormat/>
    <w:rsid w:val="0016551E"/>
    <w:pPr>
      <w:spacing w:after="200" w:line="240" w:lineRule="auto"/>
    </w:pPr>
    <w:rPr>
      <w:i/>
      <w:iCs/>
      <w:color w:val="005EB8" w:themeColor="text2"/>
      <w:sz w:val="18"/>
      <w:szCs w:val="18"/>
    </w:rPr>
  </w:style>
  <w:style w:type="paragraph" w:styleId="Closing">
    <w:name w:val="Closing"/>
    <w:basedOn w:val="Normal"/>
    <w:link w:val="ClosingChar"/>
    <w:uiPriority w:val="99"/>
    <w:semiHidden/>
    <w:unhideWhenUsed/>
    <w:rsid w:val="0016551E"/>
    <w:pPr>
      <w:spacing w:after="0" w:line="240" w:lineRule="auto"/>
      <w:ind w:left="4252"/>
    </w:pPr>
  </w:style>
  <w:style w:type="character" w:customStyle="1" w:styleId="ClosingChar">
    <w:name w:val="Closing Char"/>
    <w:basedOn w:val="DefaultParagraphFont"/>
    <w:link w:val="Closing"/>
    <w:uiPriority w:val="99"/>
    <w:semiHidden/>
    <w:rsid w:val="0016551E"/>
    <w:rPr>
      <w:bCs/>
      <w:sz w:val="20"/>
      <w:szCs w:val="20"/>
    </w:rPr>
  </w:style>
  <w:style w:type="paragraph" w:styleId="Date">
    <w:name w:val="Date"/>
    <w:basedOn w:val="Normal"/>
    <w:next w:val="Normal"/>
    <w:link w:val="DateChar"/>
    <w:uiPriority w:val="99"/>
    <w:semiHidden/>
    <w:unhideWhenUsed/>
    <w:rsid w:val="0016551E"/>
  </w:style>
  <w:style w:type="character" w:customStyle="1" w:styleId="DateChar">
    <w:name w:val="Date Char"/>
    <w:basedOn w:val="DefaultParagraphFont"/>
    <w:link w:val="Date"/>
    <w:uiPriority w:val="99"/>
    <w:semiHidden/>
    <w:rsid w:val="0016551E"/>
    <w:rPr>
      <w:bCs/>
      <w:sz w:val="20"/>
      <w:szCs w:val="20"/>
    </w:rPr>
  </w:style>
  <w:style w:type="paragraph" w:styleId="DocumentMap">
    <w:name w:val="Document Map"/>
    <w:basedOn w:val="Normal"/>
    <w:link w:val="DocumentMapChar"/>
    <w:uiPriority w:val="99"/>
    <w:semiHidden/>
    <w:unhideWhenUsed/>
    <w:rsid w:val="0016551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6551E"/>
    <w:rPr>
      <w:rFonts w:ascii="Segoe UI" w:hAnsi="Segoe UI" w:cs="Segoe UI"/>
      <w:bCs/>
      <w:sz w:val="16"/>
      <w:szCs w:val="16"/>
    </w:rPr>
  </w:style>
  <w:style w:type="paragraph" w:styleId="E-mailSignature">
    <w:name w:val="E-mail Signature"/>
    <w:basedOn w:val="Normal"/>
    <w:link w:val="E-mailSignatureChar"/>
    <w:uiPriority w:val="99"/>
    <w:semiHidden/>
    <w:unhideWhenUsed/>
    <w:rsid w:val="0016551E"/>
    <w:pPr>
      <w:spacing w:after="0" w:line="240" w:lineRule="auto"/>
    </w:pPr>
  </w:style>
  <w:style w:type="character" w:customStyle="1" w:styleId="E-mailSignatureChar">
    <w:name w:val="E-mail Signature Char"/>
    <w:basedOn w:val="DefaultParagraphFont"/>
    <w:link w:val="E-mailSignature"/>
    <w:uiPriority w:val="99"/>
    <w:semiHidden/>
    <w:rsid w:val="0016551E"/>
    <w:rPr>
      <w:bCs/>
      <w:sz w:val="20"/>
      <w:szCs w:val="20"/>
    </w:rPr>
  </w:style>
  <w:style w:type="paragraph" w:styleId="EnvelopeAddress">
    <w:name w:val="envelope address"/>
    <w:basedOn w:val="Normal"/>
    <w:uiPriority w:val="99"/>
    <w:semiHidden/>
    <w:unhideWhenUsed/>
    <w:rsid w:val="0016551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6551E"/>
    <w:pPr>
      <w:spacing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6551E"/>
    <w:rPr>
      <w:rFonts w:asciiTheme="majorHAnsi" w:eastAsiaTheme="majorEastAsia" w:hAnsiTheme="majorHAnsi" w:cstheme="majorBidi"/>
      <w:bCs/>
      <w:color w:val="002E5B" w:themeColor="accent1" w:themeShade="7F"/>
      <w:sz w:val="20"/>
      <w:szCs w:val="20"/>
    </w:rPr>
  </w:style>
  <w:style w:type="character" w:customStyle="1" w:styleId="Heading7Char">
    <w:name w:val="Heading 7 Char"/>
    <w:basedOn w:val="DefaultParagraphFont"/>
    <w:link w:val="Heading7"/>
    <w:uiPriority w:val="9"/>
    <w:semiHidden/>
    <w:rsid w:val="0016551E"/>
    <w:rPr>
      <w:rFonts w:asciiTheme="majorHAnsi" w:eastAsiaTheme="majorEastAsia" w:hAnsiTheme="majorHAnsi" w:cstheme="majorBidi"/>
      <w:bCs/>
      <w:i/>
      <w:iCs/>
      <w:color w:val="002E5B" w:themeColor="accent1" w:themeShade="7F"/>
      <w:sz w:val="20"/>
      <w:szCs w:val="20"/>
    </w:rPr>
  </w:style>
  <w:style w:type="character" w:customStyle="1" w:styleId="Heading8Char">
    <w:name w:val="Heading 8 Char"/>
    <w:basedOn w:val="DefaultParagraphFont"/>
    <w:link w:val="Heading8"/>
    <w:uiPriority w:val="9"/>
    <w:semiHidden/>
    <w:rsid w:val="0016551E"/>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uiPriority w:val="9"/>
    <w:semiHidden/>
    <w:rsid w:val="0016551E"/>
    <w:rPr>
      <w:rFonts w:asciiTheme="majorHAnsi" w:eastAsiaTheme="majorEastAsia" w:hAnsiTheme="majorHAnsi" w:cstheme="majorBidi"/>
      <w:bCs/>
      <w:i/>
      <w:iCs/>
      <w:color w:val="272727" w:themeColor="text1" w:themeTint="D8"/>
      <w:sz w:val="21"/>
      <w:szCs w:val="21"/>
    </w:rPr>
  </w:style>
  <w:style w:type="paragraph" w:styleId="HTMLAddress">
    <w:name w:val="HTML Address"/>
    <w:basedOn w:val="Normal"/>
    <w:link w:val="HTMLAddressChar"/>
    <w:uiPriority w:val="99"/>
    <w:semiHidden/>
    <w:unhideWhenUsed/>
    <w:rsid w:val="0016551E"/>
    <w:pPr>
      <w:spacing w:after="0" w:line="240" w:lineRule="auto"/>
    </w:pPr>
    <w:rPr>
      <w:i/>
      <w:iCs/>
    </w:rPr>
  </w:style>
  <w:style w:type="character" w:customStyle="1" w:styleId="HTMLAddressChar">
    <w:name w:val="HTML Address Char"/>
    <w:basedOn w:val="DefaultParagraphFont"/>
    <w:link w:val="HTMLAddress"/>
    <w:uiPriority w:val="99"/>
    <w:semiHidden/>
    <w:rsid w:val="0016551E"/>
    <w:rPr>
      <w:bCs/>
      <w:i/>
      <w:iCs/>
      <w:sz w:val="20"/>
      <w:szCs w:val="20"/>
    </w:rPr>
  </w:style>
  <w:style w:type="paragraph" w:styleId="HTMLPreformatted">
    <w:name w:val="HTML Preformatted"/>
    <w:basedOn w:val="Normal"/>
    <w:link w:val="HTMLPreformattedChar"/>
    <w:uiPriority w:val="99"/>
    <w:semiHidden/>
    <w:unhideWhenUsed/>
    <w:rsid w:val="0016551E"/>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6551E"/>
    <w:rPr>
      <w:rFonts w:ascii="Consolas" w:hAnsi="Consolas"/>
      <w:bCs/>
      <w:sz w:val="20"/>
      <w:szCs w:val="20"/>
    </w:rPr>
  </w:style>
  <w:style w:type="paragraph" w:styleId="Index1">
    <w:name w:val="index 1"/>
    <w:basedOn w:val="Normal"/>
    <w:next w:val="Normal"/>
    <w:autoRedefine/>
    <w:uiPriority w:val="99"/>
    <w:semiHidden/>
    <w:unhideWhenUsed/>
    <w:rsid w:val="0016551E"/>
    <w:pPr>
      <w:spacing w:after="0" w:line="240" w:lineRule="auto"/>
      <w:ind w:left="200" w:hanging="200"/>
    </w:pPr>
  </w:style>
  <w:style w:type="paragraph" w:styleId="Index2">
    <w:name w:val="index 2"/>
    <w:basedOn w:val="Normal"/>
    <w:next w:val="Normal"/>
    <w:autoRedefine/>
    <w:uiPriority w:val="99"/>
    <w:semiHidden/>
    <w:unhideWhenUsed/>
    <w:rsid w:val="0016551E"/>
    <w:pPr>
      <w:spacing w:after="0" w:line="240" w:lineRule="auto"/>
      <w:ind w:left="400" w:hanging="200"/>
    </w:pPr>
  </w:style>
  <w:style w:type="paragraph" w:styleId="Index3">
    <w:name w:val="index 3"/>
    <w:basedOn w:val="Normal"/>
    <w:next w:val="Normal"/>
    <w:autoRedefine/>
    <w:uiPriority w:val="99"/>
    <w:semiHidden/>
    <w:unhideWhenUsed/>
    <w:rsid w:val="0016551E"/>
    <w:pPr>
      <w:spacing w:after="0" w:line="240" w:lineRule="auto"/>
      <w:ind w:left="600" w:hanging="200"/>
    </w:pPr>
  </w:style>
  <w:style w:type="paragraph" w:styleId="Index4">
    <w:name w:val="index 4"/>
    <w:basedOn w:val="Normal"/>
    <w:next w:val="Normal"/>
    <w:autoRedefine/>
    <w:uiPriority w:val="99"/>
    <w:semiHidden/>
    <w:unhideWhenUsed/>
    <w:rsid w:val="0016551E"/>
    <w:pPr>
      <w:spacing w:after="0" w:line="240" w:lineRule="auto"/>
      <w:ind w:left="800" w:hanging="200"/>
    </w:pPr>
  </w:style>
  <w:style w:type="paragraph" w:styleId="Index5">
    <w:name w:val="index 5"/>
    <w:basedOn w:val="Normal"/>
    <w:next w:val="Normal"/>
    <w:autoRedefine/>
    <w:uiPriority w:val="99"/>
    <w:semiHidden/>
    <w:unhideWhenUsed/>
    <w:rsid w:val="0016551E"/>
    <w:pPr>
      <w:spacing w:after="0" w:line="240" w:lineRule="auto"/>
      <w:ind w:left="1000" w:hanging="200"/>
    </w:pPr>
  </w:style>
  <w:style w:type="paragraph" w:styleId="Index6">
    <w:name w:val="index 6"/>
    <w:basedOn w:val="Normal"/>
    <w:next w:val="Normal"/>
    <w:autoRedefine/>
    <w:uiPriority w:val="99"/>
    <w:semiHidden/>
    <w:unhideWhenUsed/>
    <w:rsid w:val="0016551E"/>
    <w:pPr>
      <w:spacing w:after="0" w:line="240" w:lineRule="auto"/>
      <w:ind w:left="1200" w:hanging="200"/>
    </w:pPr>
  </w:style>
  <w:style w:type="paragraph" w:styleId="Index7">
    <w:name w:val="index 7"/>
    <w:basedOn w:val="Normal"/>
    <w:next w:val="Normal"/>
    <w:autoRedefine/>
    <w:uiPriority w:val="99"/>
    <w:semiHidden/>
    <w:unhideWhenUsed/>
    <w:rsid w:val="0016551E"/>
    <w:pPr>
      <w:spacing w:after="0" w:line="240" w:lineRule="auto"/>
      <w:ind w:left="1400" w:hanging="200"/>
    </w:pPr>
  </w:style>
  <w:style w:type="paragraph" w:styleId="Index8">
    <w:name w:val="index 8"/>
    <w:basedOn w:val="Normal"/>
    <w:next w:val="Normal"/>
    <w:autoRedefine/>
    <w:uiPriority w:val="99"/>
    <w:semiHidden/>
    <w:unhideWhenUsed/>
    <w:rsid w:val="0016551E"/>
    <w:pPr>
      <w:spacing w:after="0" w:line="240" w:lineRule="auto"/>
      <w:ind w:left="1600" w:hanging="200"/>
    </w:pPr>
  </w:style>
  <w:style w:type="paragraph" w:styleId="Index9">
    <w:name w:val="index 9"/>
    <w:basedOn w:val="Normal"/>
    <w:next w:val="Normal"/>
    <w:autoRedefine/>
    <w:uiPriority w:val="99"/>
    <w:semiHidden/>
    <w:unhideWhenUsed/>
    <w:rsid w:val="0016551E"/>
    <w:pPr>
      <w:spacing w:after="0" w:line="240" w:lineRule="auto"/>
      <w:ind w:left="1800" w:hanging="200"/>
    </w:pPr>
  </w:style>
  <w:style w:type="paragraph" w:styleId="IndexHeading">
    <w:name w:val="index heading"/>
    <w:basedOn w:val="Normal"/>
    <w:next w:val="Index1"/>
    <w:uiPriority w:val="99"/>
    <w:semiHidden/>
    <w:unhideWhenUsed/>
    <w:rsid w:val="0016551E"/>
    <w:rPr>
      <w:rFonts w:asciiTheme="majorHAnsi" w:eastAsiaTheme="majorEastAsia" w:hAnsiTheme="majorHAnsi" w:cstheme="majorBidi"/>
      <w:b/>
    </w:rPr>
  </w:style>
  <w:style w:type="paragraph" w:styleId="IntenseQuote">
    <w:name w:val="Intense Quote"/>
    <w:basedOn w:val="Normal"/>
    <w:next w:val="Normal"/>
    <w:link w:val="IntenseQuoteChar"/>
    <w:uiPriority w:val="30"/>
    <w:qFormat/>
    <w:rsid w:val="0016551E"/>
    <w:pPr>
      <w:pBdr>
        <w:top w:val="single" w:sz="4" w:space="10" w:color="005EB8" w:themeColor="accent1"/>
        <w:bottom w:val="single" w:sz="4" w:space="10" w:color="005EB8" w:themeColor="accent1"/>
      </w:pBdr>
      <w:spacing w:before="360" w:after="360"/>
      <w:ind w:left="864" w:right="864"/>
      <w:jc w:val="center"/>
    </w:pPr>
    <w:rPr>
      <w:i/>
      <w:iCs/>
      <w:color w:val="005EB8" w:themeColor="accent1"/>
    </w:rPr>
  </w:style>
  <w:style w:type="character" w:customStyle="1" w:styleId="IntenseQuoteChar">
    <w:name w:val="Intense Quote Char"/>
    <w:basedOn w:val="DefaultParagraphFont"/>
    <w:link w:val="IntenseQuote"/>
    <w:uiPriority w:val="30"/>
    <w:rsid w:val="0016551E"/>
    <w:rPr>
      <w:bCs/>
      <w:i/>
      <w:iCs/>
      <w:color w:val="005EB8" w:themeColor="accent1"/>
      <w:sz w:val="20"/>
      <w:szCs w:val="20"/>
    </w:rPr>
  </w:style>
  <w:style w:type="paragraph" w:styleId="List">
    <w:name w:val="List"/>
    <w:basedOn w:val="Normal"/>
    <w:uiPriority w:val="99"/>
    <w:semiHidden/>
    <w:unhideWhenUsed/>
    <w:rsid w:val="0016551E"/>
    <w:pPr>
      <w:ind w:left="283" w:hanging="283"/>
      <w:contextualSpacing/>
    </w:pPr>
  </w:style>
  <w:style w:type="paragraph" w:styleId="List2">
    <w:name w:val="List 2"/>
    <w:basedOn w:val="Normal"/>
    <w:uiPriority w:val="99"/>
    <w:semiHidden/>
    <w:unhideWhenUsed/>
    <w:rsid w:val="0016551E"/>
    <w:pPr>
      <w:ind w:left="566" w:hanging="283"/>
      <w:contextualSpacing/>
    </w:pPr>
  </w:style>
  <w:style w:type="paragraph" w:styleId="List3">
    <w:name w:val="List 3"/>
    <w:basedOn w:val="Normal"/>
    <w:uiPriority w:val="99"/>
    <w:semiHidden/>
    <w:unhideWhenUsed/>
    <w:rsid w:val="0016551E"/>
    <w:pPr>
      <w:ind w:left="849" w:hanging="283"/>
      <w:contextualSpacing/>
    </w:pPr>
  </w:style>
  <w:style w:type="paragraph" w:styleId="List4">
    <w:name w:val="List 4"/>
    <w:basedOn w:val="Normal"/>
    <w:uiPriority w:val="99"/>
    <w:semiHidden/>
    <w:unhideWhenUsed/>
    <w:rsid w:val="0016551E"/>
    <w:pPr>
      <w:ind w:left="1132" w:hanging="283"/>
      <w:contextualSpacing/>
    </w:pPr>
  </w:style>
  <w:style w:type="paragraph" w:styleId="List5">
    <w:name w:val="List 5"/>
    <w:basedOn w:val="Normal"/>
    <w:uiPriority w:val="99"/>
    <w:semiHidden/>
    <w:unhideWhenUsed/>
    <w:rsid w:val="0016551E"/>
    <w:pPr>
      <w:ind w:left="1415" w:hanging="283"/>
      <w:contextualSpacing/>
    </w:pPr>
  </w:style>
  <w:style w:type="paragraph" w:styleId="ListBullet">
    <w:name w:val="List Bullet"/>
    <w:basedOn w:val="Normal"/>
    <w:uiPriority w:val="99"/>
    <w:semiHidden/>
    <w:unhideWhenUsed/>
    <w:rsid w:val="0016551E"/>
    <w:pPr>
      <w:numPr>
        <w:numId w:val="14"/>
      </w:numPr>
      <w:contextualSpacing/>
    </w:pPr>
  </w:style>
  <w:style w:type="paragraph" w:styleId="ListBullet2">
    <w:name w:val="List Bullet 2"/>
    <w:basedOn w:val="Normal"/>
    <w:uiPriority w:val="99"/>
    <w:semiHidden/>
    <w:unhideWhenUsed/>
    <w:rsid w:val="0016551E"/>
    <w:pPr>
      <w:numPr>
        <w:numId w:val="15"/>
      </w:numPr>
      <w:contextualSpacing/>
    </w:pPr>
  </w:style>
  <w:style w:type="paragraph" w:styleId="ListBullet3">
    <w:name w:val="List Bullet 3"/>
    <w:basedOn w:val="Normal"/>
    <w:uiPriority w:val="99"/>
    <w:semiHidden/>
    <w:unhideWhenUsed/>
    <w:rsid w:val="0016551E"/>
    <w:pPr>
      <w:numPr>
        <w:numId w:val="16"/>
      </w:numPr>
      <w:contextualSpacing/>
    </w:pPr>
  </w:style>
  <w:style w:type="paragraph" w:styleId="ListBullet4">
    <w:name w:val="List Bullet 4"/>
    <w:basedOn w:val="Normal"/>
    <w:uiPriority w:val="99"/>
    <w:semiHidden/>
    <w:unhideWhenUsed/>
    <w:rsid w:val="0016551E"/>
    <w:pPr>
      <w:numPr>
        <w:numId w:val="17"/>
      </w:numPr>
      <w:contextualSpacing/>
    </w:pPr>
  </w:style>
  <w:style w:type="paragraph" w:styleId="ListBullet5">
    <w:name w:val="List Bullet 5"/>
    <w:basedOn w:val="Normal"/>
    <w:uiPriority w:val="99"/>
    <w:semiHidden/>
    <w:unhideWhenUsed/>
    <w:rsid w:val="0016551E"/>
    <w:pPr>
      <w:numPr>
        <w:numId w:val="18"/>
      </w:numPr>
      <w:contextualSpacing/>
    </w:pPr>
  </w:style>
  <w:style w:type="paragraph" w:styleId="ListContinue">
    <w:name w:val="List Continue"/>
    <w:basedOn w:val="Normal"/>
    <w:uiPriority w:val="99"/>
    <w:semiHidden/>
    <w:unhideWhenUsed/>
    <w:rsid w:val="0016551E"/>
    <w:pPr>
      <w:spacing w:after="120"/>
      <w:ind w:left="283"/>
      <w:contextualSpacing/>
    </w:pPr>
  </w:style>
  <w:style w:type="paragraph" w:styleId="ListContinue2">
    <w:name w:val="List Continue 2"/>
    <w:basedOn w:val="Normal"/>
    <w:uiPriority w:val="99"/>
    <w:semiHidden/>
    <w:unhideWhenUsed/>
    <w:rsid w:val="0016551E"/>
    <w:pPr>
      <w:spacing w:after="120"/>
      <w:ind w:left="566"/>
      <w:contextualSpacing/>
    </w:pPr>
  </w:style>
  <w:style w:type="paragraph" w:styleId="ListContinue3">
    <w:name w:val="List Continue 3"/>
    <w:basedOn w:val="Normal"/>
    <w:uiPriority w:val="99"/>
    <w:semiHidden/>
    <w:unhideWhenUsed/>
    <w:rsid w:val="0016551E"/>
    <w:pPr>
      <w:spacing w:after="120"/>
      <w:ind w:left="849"/>
      <w:contextualSpacing/>
    </w:pPr>
  </w:style>
  <w:style w:type="paragraph" w:styleId="ListContinue4">
    <w:name w:val="List Continue 4"/>
    <w:basedOn w:val="Normal"/>
    <w:uiPriority w:val="99"/>
    <w:semiHidden/>
    <w:unhideWhenUsed/>
    <w:rsid w:val="0016551E"/>
    <w:pPr>
      <w:spacing w:after="120"/>
      <w:ind w:left="1132"/>
      <w:contextualSpacing/>
    </w:pPr>
  </w:style>
  <w:style w:type="paragraph" w:styleId="ListContinue5">
    <w:name w:val="List Continue 5"/>
    <w:basedOn w:val="Normal"/>
    <w:uiPriority w:val="99"/>
    <w:semiHidden/>
    <w:unhideWhenUsed/>
    <w:rsid w:val="0016551E"/>
    <w:pPr>
      <w:spacing w:after="120"/>
      <w:ind w:left="1415"/>
      <w:contextualSpacing/>
    </w:pPr>
  </w:style>
  <w:style w:type="paragraph" w:styleId="ListNumber">
    <w:name w:val="List Number"/>
    <w:basedOn w:val="Normal"/>
    <w:uiPriority w:val="99"/>
    <w:semiHidden/>
    <w:unhideWhenUsed/>
    <w:rsid w:val="0016551E"/>
    <w:pPr>
      <w:numPr>
        <w:numId w:val="19"/>
      </w:numPr>
      <w:contextualSpacing/>
    </w:pPr>
  </w:style>
  <w:style w:type="paragraph" w:styleId="ListNumber2">
    <w:name w:val="List Number 2"/>
    <w:basedOn w:val="Normal"/>
    <w:uiPriority w:val="99"/>
    <w:semiHidden/>
    <w:unhideWhenUsed/>
    <w:rsid w:val="0016551E"/>
    <w:pPr>
      <w:numPr>
        <w:numId w:val="20"/>
      </w:numPr>
      <w:contextualSpacing/>
    </w:pPr>
  </w:style>
  <w:style w:type="paragraph" w:styleId="ListNumber3">
    <w:name w:val="List Number 3"/>
    <w:basedOn w:val="Normal"/>
    <w:uiPriority w:val="99"/>
    <w:semiHidden/>
    <w:unhideWhenUsed/>
    <w:rsid w:val="0016551E"/>
    <w:pPr>
      <w:numPr>
        <w:numId w:val="21"/>
      </w:numPr>
      <w:contextualSpacing/>
    </w:pPr>
  </w:style>
  <w:style w:type="paragraph" w:styleId="ListNumber4">
    <w:name w:val="List Number 4"/>
    <w:basedOn w:val="Normal"/>
    <w:uiPriority w:val="99"/>
    <w:semiHidden/>
    <w:unhideWhenUsed/>
    <w:rsid w:val="0016551E"/>
    <w:pPr>
      <w:numPr>
        <w:numId w:val="22"/>
      </w:numPr>
      <w:contextualSpacing/>
    </w:pPr>
  </w:style>
  <w:style w:type="paragraph" w:styleId="ListNumber5">
    <w:name w:val="List Number 5"/>
    <w:basedOn w:val="Normal"/>
    <w:uiPriority w:val="99"/>
    <w:semiHidden/>
    <w:unhideWhenUsed/>
    <w:rsid w:val="0016551E"/>
    <w:pPr>
      <w:numPr>
        <w:numId w:val="23"/>
      </w:numPr>
      <w:contextualSpacing/>
    </w:pPr>
  </w:style>
  <w:style w:type="paragraph" w:styleId="MacroText">
    <w:name w:val="macro"/>
    <w:link w:val="MacroTextChar"/>
    <w:uiPriority w:val="99"/>
    <w:semiHidden/>
    <w:unhideWhenUsed/>
    <w:rsid w:val="0016551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bCs/>
      <w:sz w:val="20"/>
      <w:szCs w:val="20"/>
    </w:rPr>
  </w:style>
  <w:style w:type="character" w:customStyle="1" w:styleId="MacroTextChar">
    <w:name w:val="Macro Text Char"/>
    <w:basedOn w:val="DefaultParagraphFont"/>
    <w:link w:val="MacroText"/>
    <w:uiPriority w:val="99"/>
    <w:semiHidden/>
    <w:rsid w:val="0016551E"/>
    <w:rPr>
      <w:rFonts w:ascii="Consolas" w:hAnsi="Consolas"/>
      <w:bCs/>
      <w:sz w:val="20"/>
      <w:szCs w:val="20"/>
    </w:rPr>
  </w:style>
  <w:style w:type="paragraph" w:styleId="MessageHeader">
    <w:name w:val="Message Header"/>
    <w:basedOn w:val="Normal"/>
    <w:link w:val="MessageHeaderChar"/>
    <w:uiPriority w:val="99"/>
    <w:semiHidden/>
    <w:unhideWhenUsed/>
    <w:rsid w:val="001655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6551E"/>
    <w:rPr>
      <w:rFonts w:asciiTheme="majorHAnsi" w:eastAsiaTheme="majorEastAsia" w:hAnsiTheme="majorHAnsi" w:cstheme="majorBidi"/>
      <w:bCs/>
      <w:sz w:val="24"/>
      <w:szCs w:val="24"/>
      <w:shd w:val="pct20" w:color="auto" w:fill="auto"/>
    </w:rPr>
  </w:style>
  <w:style w:type="paragraph" w:styleId="NormalIndent">
    <w:name w:val="Normal Indent"/>
    <w:basedOn w:val="Normal"/>
    <w:uiPriority w:val="99"/>
    <w:semiHidden/>
    <w:unhideWhenUsed/>
    <w:rsid w:val="0016551E"/>
    <w:pPr>
      <w:ind w:left="720"/>
    </w:pPr>
  </w:style>
  <w:style w:type="paragraph" w:styleId="NoteHeading">
    <w:name w:val="Note Heading"/>
    <w:basedOn w:val="Normal"/>
    <w:next w:val="Normal"/>
    <w:link w:val="NoteHeadingChar"/>
    <w:uiPriority w:val="99"/>
    <w:semiHidden/>
    <w:unhideWhenUsed/>
    <w:rsid w:val="0016551E"/>
    <w:pPr>
      <w:spacing w:after="0" w:line="240" w:lineRule="auto"/>
    </w:pPr>
  </w:style>
  <w:style w:type="character" w:customStyle="1" w:styleId="NoteHeadingChar">
    <w:name w:val="Note Heading Char"/>
    <w:basedOn w:val="DefaultParagraphFont"/>
    <w:link w:val="NoteHeading"/>
    <w:uiPriority w:val="99"/>
    <w:semiHidden/>
    <w:rsid w:val="0016551E"/>
    <w:rPr>
      <w:bCs/>
      <w:sz w:val="20"/>
      <w:szCs w:val="20"/>
    </w:rPr>
  </w:style>
  <w:style w:type="paragraph" w:styleId="PlainText">
    <w:name w:val="Plain Text"/>
    <w:basedOn w:val="Normal"/>
    <w:link w:val="PlainTextChar"/>
    <w:uiPriority w:val="99"/>
    <w:semiHidden/>
    <w:unhideWhenUsed/>
    <w:rsid w:val="001655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6551E"/>
    <w:rPr>
      <w:rFonts w:ascii="Consolas" w:hAnsi="Consolas"/>
      <w:bCs/>
      <w:sz w:val="21"/>
      <w:szCs w:val="21"/>
    </w:rPr>
  </w:style>
  <w:style w:type="paragraph" w:styleId="Quote">
    <w:name w:val="Quote"/>
    <w:basedOn w:val="Normal"/>
    <w:next w:val="Normal"/>
    <w:link w:val="QuoteChar"/>
    <w:uiPriority w:val="29"/>
    <w:qFormat/>
    <w:rsid w:val="001655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6551E"/>
    <w:rPr>
      <w:bCs/>
      <w:i/>
      <w:iCs/>
      <w:color w:val="404040" w:themeColor="text1" w:themeTint="BF"/>
      <w:sz w:val="20"/>
      <w:szCs w:val="20"/>
    </w:rPr>
  </w:style>
  <w:style w:type="paragraph" w:styleId="Salutation">
    <w:name w:val="Salutation"/>
    <w:basedOn w:val="Normal"/>
    <w:next w:val="Normal"/>
    <w:link w:val="SalutationChar"/>
    <w:uiPriority w:val="99"/>
    <w:semiHidden/>
    <w:unhideWhenUsed/>
    <w:rsid w:val="0016551E"/>
  </w:style>
  <w:style w:type="character" w:customStyle="1" w:styleId="SalutationChar">
    <w:name w:val="Salutation Char"/>
    <w:basedOn w:val="DefaultParagraphFont"/>
    <w:link w:val="Salutation"/>
    <w:uiPriority w:val="99"/>
    <w:semiHidden/>
    <w:rsid w:val="0016551E"/>
    <w:rPr>
      <w:bCs/>
      <w:sz w:val="20"/>
      <w:szCs w:val="20"/>
    </w:rPr>
  </w:style>
  <w:style w:type="paragraph" w:styleId="Signature">
    <w:name w:val="Signature"/>
    <w:basedOn w:val="Normal"/>
    <w:link w:val="SignatureChar"/>
    <w:uiPriority w:val="99"/>
    <w:semiHidden/>
    <w:unhideWhenUsed/>
    <w:rsid w:val="0016551E"/>
    <w:pPr>
      <w:spacing w:after="0" w:line="240" w:lineRule="auto"/>
      <w:ind w:left="4252"/>
    </w:pPr>
  </w:style>
  <w:style w:type="character" w:customStyle="1" w:styleId="SignatureChar">
    <w:name w:val="Signature Char"/>
    <w:basedOn w:val="DefaultParagraphFont"/>
    <w:link w:val="Signature"/>
    <w:uiPriority w:val="99"/>
    <w:semiHidden/>
    <w:rsid w:val="0016551E"/>
    <w:rPr>
      <w:bCs/>
      <w:sz w:val="20"/>
      <w:szCs w:val="20"/>
    </w:rPr>
  </w:style>
  <w:style w:type="paragraph" w:styleId="Subtitle">
    <w:name w:val="Subtitle"/>
    <w:basedOn w:val="Normal"/>
    <w:next w:val="Normal"/>
    <w:link w:val="SubtitleChar"/>
    <w:uiPriority w:val="11"/>
    <w:qFormat/>
    <w:rsid w:val="0016551E"/>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16551E"/>
    <w:rPr>
      <w:rFonts w:eastAsiaTheme="minorEastAsia"/>
      <w:bCs/>
      <w:color w:val="5A5A5A" w:themeColor="text1" w:themeTint="A5"/>
      <w:spacing w:val="15"/>
    </w:rPr>
  </w:style>
  <w:style w:type="paragraph" w:styleId="TableofAuthorities">
    <w:name w:val="table of authorities"/>
    <w:basedOn w:val="Normal"/>
    <w:next w:val="Normal"/>
    <w:uiPriority w:val="99"/>
    <w:semiHidden/>
    <w:unhideWhenUsed/>
    <w:rsid w:val="0016551E"/>
    <w:pPr>
      <w:spacing w:after="0"/>
      <w:ind w:left="200" w:hanging="200"/>
    </w:pPr>
  </w:style>
  <w:style w:type="paragraph" w:styleId="TableofFigures">
    <w:name w:val="table of figures"/>
    <w:basedOn w:val="Normal"/>
    <w:next w:val="Normal"/>
    <w:uiPriority w:val="99"/>
    <w:semiHidden/>
    <w:unhideWhenUsed/>
    <w:rsid w:val="0016551E"/>
    <w:pPr>
      <w:spacing w:after="0"/>
    </w:pPr>
  </w:style>
  <w:style w:type="paragraph" w:styleId="Title">
    <w:name w:val="Title"/>
    <w:basedOn w:val="Normal"/>
    <w:next w:val="Normal"/>
    <w:link w:val="TitleChar"/>
    <w:uiPriority w:val="10"/>
    <w:qFormat/>
    <w:rsid w:val="001655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51E"/>
    <w:rPr>
      <w:rFonts w:asciiTheme="majorHAnsi" w:eastAsiaTheme="majorEastAsia" w:hAnsiTheme="majorHAnsi" w:cstheme="majorBidi"/>
      <w:bCs/>
      <w:spacing w:val="-10"/>
      <w:kern w:val="28"/>
      <w:sz w:val="56"/>
      <w:szCs w:val="56"/>
    </w:rPr>
  </w:style>
  <w:style w:type="paragraph" w:styleId="TOAHeading">
    <w:name w:val="toa heading"/>
    <w:basedOn w:val="Normal"/>
    <w:next w:val="Normal"/>
    <w:uiPriority w:val="99"/>
    <w:semiHidden/>
    <w:unhideWhenUsed/>
    <w:rsid w:val="0016551E"/>
    <w:pPr>
      <w:spacing w:before="120"/>
    </w:pPr>
    <w:rPr>
      <w:rFonts w:asciiTheme="majorHAnsi" w:eastAsiaTheme="majorEastAsia" w:hAnsiTheme="majorHAnsi" w:cstheme="majorBidi"/>
      <w:b/>
      <w:sz w:val="24"/>
      <w:szCs w:val="24"/>
    </w:rPr>
  </w:style>
  <w:style w:type="paragraph" w:styleId="TOC4">
    <w:name w:val="toc 4"/>
    <w:basedOn w:val="Normal"/>
    <w:next w:val="Normal"/>
    <w:autoRedefine/>
    <w:uiPriority w:val="39"/>
    <w:semiHidden/>
    <w:unhideWhenUsed/>
    <w:rsid w:val="0016551E"/>
    <w:pPr>
      <w:spacing w:after="100"/>
      <w:ind w:left="600"/>
    </w:pPr>
  </w:style>
  <w:style w:type="paragraph" w:styleId="TOC5">
    <w:name w:val="toc 5"/>
    <w:basedOn w:val="Normal"/>
    <w:next w:val="Normal"/>
    <w:autoRedefine/>
    <w:uiPriority w:val="39"/>
    <w:semiHidden/>
    <w:unhideWhenUsed/>
    <w:rsid w:val="0016551E"/>
    <w:pPr>
      <w:spacing w:after="100"/>
      <w:ind w:left="800"/>
    </w:pPr>
  </w:style>
  <w:style w:type="paragraph" w:styleId="TOC6">
    <w:name w:val="toc 6"/>
    <w:basedOn w:val="Normal"/>
    <w:next w:val="Normal"/>
    <w:autoRedefine/>
    <w:uiPriority w:val="39"/>
    <w:semiHidden/>
    <w:unhideWhenUsed/>
    <w:rsid w:val="0016551E"/>
    <w:pPr>
      <w:spacing w:after="100"/>
      <w:ind w:left="1000"/>
    </w:pPr>
  </w:style>
  <w:style w:type="paragraph" w:styleId="TOC7">
    <w:name w:val="toc 7"/>
    <w:basedOn w:val="Normal"/>
    <w:next w:val="Normal"/>
    <w:autoRedefine/>
    <w:uiPriority w:val="39"/>
    <w:semiHidden/>
    <w:unhideWhenUsed/>
    <w:rsid w:val="0016551E"/>
    <w:pPr>
      <w:spacing w:after="100"/>
      <w:ind w:left="1200"/>
    </w:pPr>
  </w:style>
  <w:style w:type="paragraph" w:styleId="TOC8">
    <w:name w:val="toc 8"/>
    <w:basedOn w:val="Normal"/>
    <w:next w:val="Normal"/>
    <w:autoRedefine/>
    <w:uiPriority w:val="39"/>
    <w:semiHidden/>
    <w:unhideWhenUsed/>
    <w:rsid w:val="0016551E"/>
    <w:pPr>
      <w:spacing w:after="100"/>
      <w:ind w:left="1400"/>
    </w:pPr>
  </w:style>
  <w:style w:type="paragraph" w:styleId="TOC9">
    <w:name w:val="toc 9"/>
    <w:basedOn w:val="Normal"/>
    <w:next w:val="Normal"/>
    <w:autoRedefine/>
    <w:uiPriority w:val="39"/>
    <w:semiHidden/>
    <w:unhideWhenUsed/>
    <w:rsid w:val="0016551E"/>
    <w:pPr>
      <w:spacing w:after="100"/>
      <w:ind w:left="1600"/>
    </w:pPr>
  </w:style>
  <w:style w:type="character" w:styleId="PlaceholderText">
    <w:name w:val="Placeholder Text"/>
    <w:basedOn w:val="DefaultParagraphFont"/>
    <w:uiPriority w:val="99"/>
    <w:semiHidden/>
    <w:rsid w:val="002775A2"/>
    <w:rPr>
      <w:color w:val="808080"/>
    </w:rPr>
  </w:style>
  <w:style w:type="character" w:styleId="Strong">
    <w:name w:val="Strong"/>
    <w:basedOn w:val="DefaultParagraphFont"/>
    <w:uiPriority w:val="22"/>
    <w:qFormat/>
    <w:rsid w:val="00CB6966"/>
    <w:rPr>
      <w:b w:val="0"/>
      <w:bCs/>
      <w:color w:val="005EB8" w:themeColor="text2"/>
    </w:rPr>
  </w:style>
  <w:style w:type="paragraph" w:customStyle="1" w:styleId="Hyperlinkinpara">
    <w:name w:val="Hyperlink_in_para"/>
    <w:basedOn w:val="Normal"/>
    <w:link w:val="HyperlinkinparaChar"/>
    <w:autoRedefine/>
    <w:qFormat/>
    <w:rsid w:val="009C5723"/>
    <w:rPr>
      <w:rFonts w:eastAsia="Times New Roman" w:cstheme="minorHAnsi"/>
      <w:bCs w:val="0"/>
      <w:color w:val="0072CE"/>
      <w:sz w:val="22"/>
      <w:u w:val="single"/>
      <w:lang w:eastAsia="en-GB"/>
    </w:rPr>
  </w:style>
  <w:style w:type="character" w:customStyle="1" w:styleId="HyperlinkinparaChar">
    <w:name w:val="Hyperlink_in_para Char"/>
    <w:basedOn w:val="DefaultParagraphFont"/>
    <w:link w:val="Hyperlinkinpara"/>
    <w:rsid w:val="009C5723"/>
    <w:rPr>
      <w:rFonts w:eastAsia="Times New Roman" w:cstheme="minorHAnsi"/>
      <w:color w:val="0072CE"/>
      <w:szCs w:val="2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4741">
      <w:bodyDiv w:val="1"/>
      <w:marLeft w:val="0"/>
      <w:marRight w:val="0"/>
      <w:marTop w:val="0"/>
      <w:marBottom w:val="0"/>
      <w:divBdr>
        <w:top w:val="none" w:sz="0" w:space="0" w:color="auto"/>
        <w:left w:val="none" w:sz="0" w:space="0" w:color="auto"/>
        <w:bottom w:val="none" w:sz="0" w:space="0" w:color="auto"/>
        <w:right w:val="none" w:sz="0" w:space="0" w:color="auto"/>
      </w:divBdr>
    </w:div>
    <w:div w:id="70736006">
      <w:bodyDiv w:val="1"/>
      <w:marLeft w:val="0"/>
      <w:marRight w:val="0"/>
      <w:marTop w:val="0"/>
      <w:marBottom w:val="0"/>
      <w:divBdr>
        <w:top w:val="none" w:sz="0" w:space="0" w:color="auto"/>
        <w:left w:val="none" w:sz="0" w:space="0" w:color="auto"/>
        <w:bottom w:val="none" w:sz="0" w:space="0" w:color="auto"/>
        <w:right w:val="none" w:sz="0" w:space="0" w:color="auto"/>
      </w:divBdr>
    </w:div>
    <w:div w:id="91442132">
      <w:bodyDiv w:val="1"/>
      <w:marLeft w:val="0"/>
      <w:marRight w:val="0"/>
      <w:marTop w:val="0"/>
      <w:marBottom w:val="0"/>
      <w:divBdr>
        <w:top w:val="none" w:sz="0" w:space="0" w:color="auto"/>
        <w:left w:val="none" w:sz="0" w:space="0" w:color="auto"/>
        <w:bottom w:val="none" w:sz="0" w:space="0" w:color="auto"/>
        <w:right w:val="none" w:sz="0" w:space="0" w:color="auto"/>
      </w:divBdr>
    </w:div>
    <w:div w:id="95365734">
      <w:bodyDiv w:val="1"/>
      <w:marLeft w:val="0"/>
      <w:marRight w:val="0"/>
      <w:marTop w:val="0"/>
      <w:marBottom w:val="0"/>
      <w:divBdr>
        <w:top w:val="none" w:sz="0" w:space="0" w:color="auto"/>
        <w:left w:val="none" w:sz="0" w:space="0" w:color="auto"/>
        <w:bottom w:val="none" w:sz="0" w:space="0" w:color="auto"/>
        <w:right w:val="none" w:sz="0" w:space="0" w:color="auto"/>
      </w:divBdr>
    </w:div>
    <w:div w:id="106386817">
      <w:bodyDiv w:val="1"/>
      <w:marLeft w:val="0"/>
      <w:marRight w:val="0"/>
      <w:marTop w:val="0"/>
      <w:marBottom w:val="0"/>
      <w:divBdr>
        <w:top w:val="none" w:sz="0" w:space="0" w:color="auto"/>
        <w:left w:val="none" w:sz="0" w:space="0" w:color="auto"/>
        <w:bottom w:val="none" w:sz="0" w:space="0" w:color="auto"/>
        <w:right w:val="none" w:sz="0" w:space="0" w:color="auto"/>
      </w:divBdr>
    </w:div>
    <w:div w:id="109520788">
      <w:bodyDiv w:val="1"/>
      <w:marLeft w:val="0"/>
      <w:marRight w:val="0"/>
      <w:marTop w:val="0"/>
      <w:marBottom w:val="0"/>
      <w:divBdr>
        <w:top w:val="none" w:sz="0" w:space="0" w:color="auto"/>
        <w:left w:val="none" w:sz="0" w:space="0" w:color="auto"/>
        <w:bottom w:val="none" w:sz="0" w:space="0" w:color="auto"/>
        <w:right w:val="none" w:sz="0" w:space="0" w:color="auto"/>
      </w:divBdr>
    </w:div>
    <w:div w:id="120078753">
      <w:bodyDiv w:val="1"/>
      <w:marLeft w:val="0"/>
      <w:marRight w:val="0"/>
      <w:marTop w:val="0"/>
      <w:marBottom w:val="0"/>
      <w:divBdr>
        <w:top w:val="none" w:sz="0" w:space="0" w:color="auto"/>
        <w:left w:val="none" w:sz="0" w:space="0" w:color="auto"/>
        <w:bottom w:val="none" w:sz="0" w:space="0" w:color="auto"/>
        <w:right w:val="none" w:sz="0" w:space="0" w:color="auto"/>
      </w:divBdr>
    </w:div>
    <w:div w:id="160316959">
      <w:bodyDiv w:val="1"/>
      <w:marLeft w:val="0"/>
      <w:marRight w:val="0"/>
      <w:marTop w:val="0"/>
      <w:marBottom w:val="0"/>
      <w:divBdr>
        <w:top w:val="none" w:sz="0" w:space="0" w:color="auto"/>
        <w:left w:val="none" w:sz="0" w:space="0" w:color="auto"/>
        <w:bottom w:val="none" w:sz="0" w:space="0" w:color="auto"/>
        <w:right w:val="none" w:sz="0" w:space="0" w:color="auto"/>
      </w:divBdr>
    </w:div>
    <w:div w:id="168057591">
      <w:bodyDiv w:val="1"/>
      <w:marLeft w:val="0"/>
      <w:marRight w:val="0"/>
      <w:marTop w:val="0"/>
      <w:marBottom w:val="0"/>
      <w:divBdr>
        <w:top w:val="none" w:sz="0" w:space="0" w:color="auto"/>
        <w:left w:val="none" w:sz="0" w:space="0" w:color="auto"/>
        <w:bottom w:val="none" w:sz="0" w:space="0" w:color="auto"/>
        <w:right w:val="none" w:sz="0" w:space="0" w:color="auto"/>
      </w:divBdr>
    </w:div>
    <w:div w:id="197401233">
      <w:bodyDiv w:val="1"/>
      <w:marLeft w:val="0"/>
      <w:marRight w:val="0"/>
      <w:marTop w:val="0"/>
      <w:marBottom w:val="0"/>
      <w:divBdr>
        <w:top w:val="none" w:sz="0" w:space="0" w:color="auto"/>
        <w:left w:val="none" w:sz="0" w:space="0" w:color="auto"/>
        <w:bottom w:val="none" w:sz="0" w:space="0" w:color="auto"/>
        <w:right w:val="none" w:sz="0" w:space="0" w:color="auto"/>
      </w:divBdr>
    </w:div>
    <w:div w:id="222836172">
      <w:bodyDiv w:val="1"/>
      <w:marLeft w:val="0"/>
      <w:marRight w:val="0"/>
      <w:marTop w:val="0"/>
      <w:marBottom w:val="0"/>
      <w:divBdr>
        <w:top w:val="none" w:sz="0" w:space="0" w:color="auto"/>
        <w:left w:val="none" w:sz="0" w:space="0" w:color="auto"/>
        <w:bottom w:val="none" w:sz="0" w:space="0" w:color="auto"/>
        <w:right w:val="none" w:sz="0" w:space="0" w:color="auto"/>
      </w:divBdr>
    </w:div>
    <w:div w:id="311759950">
      <w:bodyDiv w:val="1"/>
      <w:marLeft w:val="0"/>
      <w:marRight w:val="0"/>
      <w:marTop w:val="0"/>
      <w:marBottom w:val="0"/>
      <w:divBdr>
        <w:top w:val="none" w:sz="0" w:space="0" w:color="auto"/>
        <w:left w:val="none" w:sz="0" w:space="0" w:color="auto"/>
        <w:bottom w:val="none" w:sz="0" w:space="0" w:color="auto"/>
        <w:right w:val="none" w:sz="0" w:space="0" w:color="auto"/>
      </w:divBdr>
    </w:div>
    <w:div w:id="317659247">
      <w:bodyDiv w:val="1"/>
      <w:marLeft w:val="0"/>
      <w:marRight w:val="0"/>
      <w:marTop w:val="0"/>
      <w:marBottom w:val="0"/>
      <w:divBdr>
        <w:top w:val="none" w:sz="0" w:space="0" w:color="auto"/>
        <w:left w:val="none" w:sz="0" w:space="0" w:color="auto"/>
        <w:bottom w:val="none" w:sz="0" w:space="0" w:color="auto"/>
        <w:right w:val="none" w:sz="0" w:space="0" w:color="auto"/>
      </w:divBdr>
    </w:div>
    <w:div w:id="323556401">
      <w:bodyDiv w:val="1"/>
      <w:marLeft w:val="0"/>
      <w:marRight w:val="0"/>
      <w:marTop w:val="0"/>
      <w:marBottom w:val="0"/>
      <w:divBdr>
        <w:top w:val="none" w:sz="0" w:space="0" w:color="auto"/>
        <w:left w:val="none" w:sz="0" w:space="0" w:color="auto"/>
        <w:bottom w:val="none" w:sz="0" w:space="0" w:color="auto"/>
        <w:right w:val="none" w:sz="0" w:space="0" w:color="auto"/>
      </w:divBdr>
    </w:div>
    <w:div w:id="340552247">
      <w:bodyDiv w:val="1"/>
      <w:marLeft w:val="0"/>
      <w:marRight w:val="0"/>
      <w:marTop w:val="0"/>
      <w:marBottom w:val="0"/>
      <w:divBdr>
        <w:top w:val="none" w:sz="0" w:space="0" w:color="auto"/>
        <w:left w:val="none" w:sz="0" w:space="0" w:color="auto"/>
        <w:bottom w:val="none" w:sz="0" w:space="0" w:color="auto"/>
        <w:right w:val="none" w:sz="0" w:space="0" w:color="auto"/>
      </w:divBdr>
    </w:div>
    <w:div w:id="350500136">
      <w:bodyDiv w:val="1"/>
      <w:marLeft w:val="0"/>
      <w:marRight w:val="0"/>
      <w:marTop w:val="0"/>
      <w:marBottom w:val="0"/>
      <w:divBdr>
        <w:top w:val="none" w:sz="0" w:space="0" w:color="auto"/>
        <w:left w:val="none" w:sz="0" w:space="0" w:color="auto"/>
        <w:bottom w:val="none" w:sz="0" w:space="0" w:color="auto"/>
        <w:right w:val="none" w:sz="0" w:space="0" w:color="auto"/>
      </w:divBdr>
    </w:div>
    <w:div w:id="392892054">
      <w:bodyDiv w:val="1"/>
      <w:marLeft w:val="0"/>
      <w:marRight w:val="0"/>
      <w:marTop w:val="0"/>
      <w:marBottom w:val="0"/>
      <w:divBdr>
        <w:top w:val="none" w:sz="0" w:space="0" w:color="auto"/>
        <w:left w:val="none" w:sz="0" w:space="0" w:color="auto"/>
        <w:bottom w:val="none" w:sz="0" w:space="0" w:color="auto"/>
        <w:right w:val="none" w:sz="0" w:space="0" w:color="auto"/>
      </w:divBdr>
    </w:div>
    <w:div w:id="406342664">
      <w:bodyDiv w:val="1"/>
      <w:marLeft w:val="0"/>
      <w:marRight w:val="0"/>
      <w:marTop w:val="0"/>
      <w:marBottom w:val="0"/>
      <w:divBdr>
        <w:top w:val="none" w:sz="0" w:space="0" w:color="auto"/>
        <w:left w:val="none" w:sz="0" w:space="0" w:color="auto"/>
        <w:bottom w:val="none" w:sz="0" w:space="0" w:color="auto"/>
        <w:right w:val="none" w:sz="0" w:space="0" w:color="auto"/>
      </w:divBdr>
    </w:div>
    <w:div w:id="459374530">
      <w:bodyDiv w:val="1"/>
      <w:marLeft w:val="0"/>
      <w:marRight w:val="0"/>
      <w:marTop w:val="0"/>
      <w:marBottom w:val="0"/>
      <w:divBdr>
        <w:top w:val="none" w:sz="0" w:space="0" w:color="auto"/>
        <w:left w:val="none" w:sz="0" w:space="0" w:color="auto"/>
        <w:bottom w:val="none" w:sz="0" w:space="0" w:color="auto"/>
        <w:right w:val="none" w:sz="0" w:space="0" w:color="auto"/>
      </w:divBdr>
    </w:div>
    <w:div w:id="461847139">
      <w:bodyDiv w:val="1"/>
      <w:marLeft w:val="0"/>
      <w:marRight w:val="0"/>
      <w:marTop w:val="0"/>
      <w:marBottom w:val="0"/>
      <w:divBdr>
        <w:top w:val="none" w:sz="0" w:space="0" w:color="auto"/>
        <w:left w:val="none" w:sz="0" w:space="0" w:color="auto"/>
        <w:bottom w:val="none" w:sz="0" w:space="0" w:color="auto"/>
        <w:right w:val="none" w:sz="0" w:space="0" w:color="auto"/>
      </w:divBdr>
    </w:div>
    <w:div w:id="473256649">
      <w:bodyDiv w:val="1"/>
      <w:marLeft w:val="0"/>
      <w:marRight w:val="0"/>
      <w:marTop w:val="0"/>
      <w:marBottom w:val="0"/>
      <w:divBdr>
        <w:top w:val="none" w:sz="0" w:space="0" w:color="auto"/>
        <w:left w:val="none" w:sz="0" w:space="0" w:color="auto"/>
        <w:bottom w:val="none" w:sz="0" w:space="0" w:color="auto"/>
        <w:right w:val="none" w:sz="0" w:space="0" w:color="auto"/>
      </w:divBdr>
    </w:div>
    <w:div w:id="487021870">
      <w:bodyDiv w:val="1"/>
      <w:marLeft w:val="0"/>
      <w:marRight w:val="0"/>
      <w:marTop w:val="0"/>
      <w:marBottom w:val="0"/>
      <w:divBdr>
        <w:top w:val="none" w:sz="0" w:space="0" w:color="auto"/>
        <w:left w:val="none" w:sz="0" w:space="0" w:color="auto"/>
        <w:bottom w:val="none" w:sz="0" w:space="0" w:color="auto"/>
        <w:right w:val="none" w:sz="0" w:space="0" w:color="auto"/>
      </w:divBdr>
    </w:div>
    <w:div w:id="507596517">
      <w:bodyDiv w:val="1"/>
      <w:marLeft w:val="0"/>
      <w:marRight w:val="0"/>
      <w:marTop w:val="0"/>
      <w:marBottom w:val="0"/>
      <w:divBdr>
        <w:top w:val="none" w:sz="0" w:space="0" w:color="auto"/>
        <w:left w:val="none" w:sz="0" w:space="0" w:color="auto"/>
        <w:bottom w:val="none" w:sz="0" w:space="0" w:color="auto"/>
        <w:right w:val="none" w:sz="0" w:space="0" w:color="auto"/>
      </w:divBdr>
    </w:div>
    <w:div w:id="516429552">
      <w:bodyDiv w:val="1"/>
      <w:marLeft w:val="0"/>
      <w:marRight w:val="0"/>
      <w:marTop w:val="0"/>
      <w:marBottom w:val="0"/>
      <w:divBdr>
        <w:top w:val="none" w:sz="0" w:space="0" w:color="auto"/>
        <w:left w:val="none" w:sz="0" w:space="0" w:color="auto"/>
        <w:bottom w:val="none" w:sz="0" w:space="0" w:color="auto"/>
        <w:right w:val="none" w:sz="0" w:space="0" w:color="auto"/>
      </w:divBdr>
    </w:div>
    <w:div w:id="534345641">
      <w:bodyDiv w:val="1"/>
      <w:marLeft w:val="0"/>
      <w:marRight w:val="0"/>
      <w:marTop w:val="0"/>
      <w:marBottom w:val="0"/>
      <w:divBdr>
        <w:top w:val="none" w:sz="0" w:space="0" w:color="auto"/>
        <w:left w:val="none" w:sz="0" w:space="0" w:color="auto"/>
        <w:bottom w:val="none" w:sz="0" w:space="0" w:color="auto"/>
        <w:right w:val="none" w:sz="0" w:space="0" w:color="auto"/>
      </w:divBdr>
    </w:div>
    <w:div w:id="540897203">
      <w:bodyDiv w:val="1"/>
      <w:marLeft w:val="0"/>
      <w:marRight w:val="0"/>
      <w:marTop w:val="0"/>
      <w:marBottom w:val="0"/>
      <w:divBdr>
        <w:top w:val="none" w:sz="0" w:space="0" w:color="auto"/>
        <w:left w:val="none" w:sz="0" w:space="0" w:color="auto"/>
        <w:bottom w:val="none" w:sz="0" w:space="0" w:color="auto"/>
        <w:right w:val="none" w:sz="0" w:space="0" w:color="auto"/>
      </w:divBdr>
    </w:div>
    <w:div w:id="543559232">
      <w:bodyDiv w:val="1"/>
      <w:marLeft w:val="0"/>
      <w:marRight w:val="0"/>
      <w:marTop w:val="0"/>
      <w:marBottom w:val="0"/>
      <w:divBdr>
        <w:top w:val="none" w:sz="0" w:space="0" w:color="auto"/>
        <w:left w:val="none" w:sz="0" w:space="0" w:color="auto"/>
        <w:bottom w:val="none" w:sz="0" w:space="0" w:color="auto"/>
        <w:right w:val="none" w:sz="0" w:space="0" w:color="auto"/>
      </w:divBdr>
    </w:div>
    <w:div w:id="544490047">
      <w:bodyDiv w:val="1"/>
      <w:marLeft w:val="0"/>
      <w:marRight w:val="0"/>
      <w:marTop w:val="0"/>
      <w:marBottom w:val="0"/>
      <w:divBdr>
        <w:top w:val="none" w:sz="0" w:space="0" w:color="auto"/>
        <w:left w:val="none" w:sz="0" w:space="0" w:color="auto"/>
        <w:bottom w:val="none" w:sz="0" w:space="0" w:color="auto"/>
        <w:right w:val="none" w:sz="0" w:space="0" w:color="auto"/>
      </w:divBdr>
    </w:div>
    <w:div w:id="548495874">
      <w:bodyDiv w:val="1"/>
      <w:marLeft w:val="0"/>
      <w:marRight w:val="0"/>
      <w:marTop w:val="0"/>
      <w:marBottom w:val="0"/>
      <w:divBdr>
        <w:top w:val="none" w:sz="0" w:space="0" w:color="auto"/>
        <w:left w:val="none" w:sz="0" w:space="0" w:color="auto"/>
        <w:bottom w:val="none" w:sz="0" w:space="0" w:color="auto"/>
        <w:right w:val="none" w:sz="0" w:space="0" w:color="auto"/>
      </w:divBdr>
    </w:div>
    <w:div w:id="581061480">
      <w:bodyDiv w:val="1"/>
      <w:marLeft w:val="0"/>
      <w:marRight w:val="0"/>
      <w:marTop w:val="0"/>
      <w:marBottom w:val="0"/>
      <w:divBdr>
        <w:top w:val="none" w:sz="0" w:space="0" w:color="auto"/>
        <w:left w:val="none" w:sz="0" w:space="0" w:color="auto"/>
        <w:bottom w:val="none" w:sz="0" w:space="0" w:color="auto"/>
        <w:right w:val="none" w:sz="0" w:space="0" w:color="auto"/>
      </w:divBdr>
    </w:div>
    <w:div w:id="617300604">
      <w:bodyDiv w:val="1"/>
      <w:marLeft w:val="0"/>
      <w:marRight w:val="0"/>
      <w:marTop w:val="0"/>
      <w:marBottom w:val="0"/>
      <w:divBdr>
        <w:top w:val="none" w:sz="0" w:space="0" w:color="auto"/>
        <w:left w:val="none" w:sz="0" w:space="0" w:color="auto"/>
        <w:bottom w:val="none" w:sz="0" w:space="0" w:color="auto"/>
        <w:right w:val="none" w:sz="0" w:space="0" w:color="auto"/>
      </w:divBdr>
    </w:div>
    <w:div w:id="643630142">
      <w:bodyDiv w:val="1"/>
      <w:marLeft w:val="0"/>
      <w:marRight w:val="0"/>
      <w:marTop w:val="0"/>
      <w:marBottom w:val="0"/>
      <w:divBdr>
        <w:top w:val="none" w:sz="0" w:space="0" w:color="auto"/>
        <w:left w:val="none" w:sz="0" w:space="0" w:color="auto"/>
        <w:bottom w:val="none" w:sz="0" w:space="0" w:color="auto"/>
        <w:right w:val="none" w:sz="0" w:space="0" w:color="auto"/>
      </w:divBdr>
    </w:div>
    <w:div w:id="650140053">
      <w:bodyDiv w:val="1"/>
      <w:marLeft w:val="0"/>
      <w:marRight w:val="0"/>
      <w:marTop w:val="0"/>
      <w:marBottom w:val="0"/>
      <w:divBdr>
        <w:top w:val="none" w:sz="0" w:space="0" w:color="auto"/>
        <w:left w:val="none" w:sz="0" w:space="0" w:color="auto"/>
        <w:bottom w:val="none" w:sz="0" w:space="0" w:color="auto"/>
        <w:right w:val="none" w:sz="0" w:space="0" w:color="auto"/>
      </w:divBdr>
    </w:div>
    <w:div w:id="652756932">
      <w:bodyDiv w:val="1"/>
      <w:marLeft w:val="0"/>
      <w:marRight w:val="0"/>
      <w:marTop w:val="0"/>
      <w:marBottom w:val="0"/>
      <w:divBdr>
        <w:top w:val="none" w:sz="0" w:space="0" w:color="auto"/>
        <w:left w:val="none" w:sz="0" w:space="0" w:color="auto"/>
        <w:bottom w:val="none" w:sz="0" w:space="0" w:color="auto"/>
        <w:right w:val="none" w:sz="0" w:space="0" w:color="auto"/>
      </w:divBdr>
    </w:div>
    <w:div w:id="653148216">
      <w:bodyDiv w:val="1"/>
      <w:marLeft w:val="0"/>
      <w:marRight w:val="0"/>
      <w:marTop w:val="0"/>
      <w:marBottom w:val="0"/>
      <w:divBdr>
        <w:top w:val="none" w:sz="0" w:space="0" w:color="auto"/>
        <w:left w:val="none" w:sz="0" w:space="0" w:color="auto"/>
        <w:bottom w:val="none" w:sz="0" w:space="0" w:color="auto"/>
        <w:right w:val="none" w:sz="0" w:space="0" w:color="auto"/>
      </w:divBdr>
    </w:div>
    <w:div w:id="678846747">
      <w:bodyDiv w:val="1"/>
      <w:marLeft w:val="0"/>
      <w:marRight w:val="0"/>
      <w:marTop w:val="0"/>
      <w:marBottom w:val="0"/>
      <w:divBdr>
        <w:top w:val="none" w:sz="0" w:space="0" w:color="auto"/>
        <w:left w:val="none" w:sz="0" w:space="0" w:color="auto"/>
        <w:bottom w:val="none" w:sz="0" w:space="0" w:color="auto"/>
        <w:right w:val="none" w:sz="0" w:space="0" w:color="auto"/>
      </w:divBdr>
    </w:div>
    <w:div w:id="696469695">
      <w:bodyDiv w:val="1"/>
      <w:marLeft w:val="0"/>
      <w:marRight w:val="0"/>
      <w:marTop w:val="0"/>
      <w:marBottom w:val="0"/>
      <w:divBdr>
        <w:top w:val="none" w:sz="0" w:space="0" w:color="auto"/>
        <w:left w:val="none" w:sz="0" w:space="0" w:color="auto"/>
        <w:bottom w:val="none" w:sz="0" w:space="0" w:color="auto"/>
        <w:right w:val="none" w:sz="0" w:space="0" w:color="auto"/>
      </w:divBdr>
    </w:div>
    <w:div w:id="757481866">
      <w:bodyDiv w:val="1"/>
      <w:marLeft w:val="0"/>
      <w:marRight w:val="0"/>
      <w:marTop w:val="0"/>
      <w:marBottom w:val="0"/>
      <w:divBdr>
        <w:top w:val="none" w:sz="0" w:space="0" w:color="auto"/>
        <w:left w:val="none" w:sz="0" w:space="0" w:color="auto"/>
        <w:bottom w:val="none" w:sz="0" w:space="0" w:color="auto"/>
        <w:right w:val="none" w:sz="0" w:space="0" w:color="auto"/>
      </w:divBdr>
    </w:div>
    <w:div w:id="768424590">
      <w:bodyDiv w:val="1"/>
      <w:marLeft w:val="0"/>
      <w:marRight w:val="0"/>
      <w:marTop w:val="0"/>
      <w:marBottom w:val="0"/>
      <w:divBdr>
        <w:top w:val="none" w:sz="0" w:space="0" w:color="auto"/>
        <w:left w:val="none" w:sz="0" w:space="0" w:color="auto"/>
        <w:bottom w:val="none" w:sz="0" w:space="0" w:color="auto"/>
        <w:right w:val="none" w:sz="0" w:space="0" w:color="auto"/>
      </w:divBdr>
    </w:div>
    <w:div w:id="836925830">
      <w:bodyDiv w:val="1"/>
      <w:marLeft w:val="0"/>
      <w:marRight w:val="0"/>
      <w:marTop w:val="0"/>
      <w:marBottom w:val="0"/>
      <w:divBdr>
        <w:top w:val="none" w:sz="0" w:space="0" w:color="auto"/>
        <w:left w:val="none" w:sz="0" w:space="0" w:color="auto"/>
        <w:bottom w:val="none" w:sz="0" w:space="0" w:color="auto"/>
        <w:right w:val="none" w:sz="0" w:space="0" w:color="auto"/>
      </w:divBdr>
    </w:div>
    <w:div w:id="857158410">
      <w:bodyDiv w:val="1"/>
      <w:marLeft w:val="0"/>
      <w:marRight w:val="0"/>
      <w:marTop w:val="0"/>
      <w:marBottom w:val="0"/>
      <w:divBdr>
        <w:top w:val="none" w:sz="0" w:space="0" w:color="auto"/>
        <w:left w:val="none" w:sz="0" w:space="0" w:color="auto"/>
        <w:bottom w:val="none" w:sz="0" w:space="0" w:color="auto"/>
        <w:right w:val="none" w:sz="0" w:space="0" w:color="auto"/>
      </w:divBdr>
    </w:div>
    <w:div w:id="896280337">
      <w:bodyDiv w:val="1"/>
      <w:marLeft w:val="0"/>
      <w:marRight w:val="0"/>
      <w:marTop w:val="0"/>
      <w:marBottom w:val="0"/>
      <w:divBdr>
        <w:top w:val="none" w:sz="0" w:space="0" w:color="auto"/>
        <w:left w:val="none" w:sz="0" w:space="0" w:color="auto"/>
        <w:bottom w:val="none" w:sz="0" w:space="0" w:color="auto"/>
        <w:right w:val="none" w:sz="0" w:space="0" w:color="auto"/>
      </w:divBdr>
    </w:div>
    <w:div w:id="898396988">
      <w:bodyDiv w:val="1"/>
      <w:marLeft w:val="0"/>
      <w:marRight w:val="0"/>
      <w:marTop w:val="0"/>
      <w:marBottom w:val="0"/>
      <w:divBdr>
        <w:top w:val="none" w:sz="0" w:space="0" w:color="auto"/>
        <w:left w:val="none" w:sz="0" w:space="0" w:color="auto"/>
        <w:bottom w:val="none" w:sz="0" w:space="0" w:color="auto"/>
        <w:right w:val="none" w:sz="0" w:space="0" w:color="auto"/>
      </w:divBdr>
    </w:div>
    <w:div w:id="899100800">
      <w:bodyDiv w:val="1"/>
      <w:marLeft w:val="0"/>
      <w:marRight w:val="0"/>
      <w:marTop w:val="0"/>
      <w:marBottom w:val="0"/>
      <w:divBdr>
        <w:top w:val="none" w:sz="0" w:space="0" w:color="auto"/>
        <w:left w:val="none" w:sz="0" w:space="0" w:color="auto"/>
        <w:bottom w:val="none" w:sz="0" w:space="0" w:color="auto"/>
        <w:right w:val="none" w:sz="0" w:space="0" w:color="auto"/>
      </w:divBdr>
    </w:div>
    <w:div w:id="910307740">
      <w:bodyDiv w:val="1"/>
      <w:marLeft w:val="0"/>
      <w:marRight w:val="0"/>
      <w:marTop w:val="0"/>
      <w:marBottom w:val="0"/>
      <w:divBdr>
        <w:top w:val="none" w:sz="0" w:space="0" w:color="auto"/>
        <w:left w:val="none" w:sz="0" w:space="0" w:color="auto"/>
        <w:bottom w:val="none" w:sz="0" w:space="0" w:color="auto"/>
        <w:right w:val="none" w:sz="0" w:space="0" w:color="auto"/>
      </w:divBdr>
    </w:div>
    <w:div w:id="929047876">
      <w:bodyDiv w:val="1"/>
      <w:marLeft w:val="0"/>
      <w:marRight w:val="0"/>
      <w:marTop w:val="0"/>
      <w:marBottom w:val="0"/>
      <w:divBdr>
        <w:top w:val="none" w:sz="0" w:space="0" w:color="auto"/>
        <w:left w:val="none" w:sz="0" w:space="0" w:color="auto"/>
        <w:bottom w:val="none" w:sz="0" w:space="0" w:color="auto"/>
        <w:right w:val="none" w:sz="0" w:space="0" w:color="auto"/>
      </w:divBdr>
    </w:div>
    <w:div w:id="930044884">
      <w:bodyDiv w:val="1"/>
      <w:marLeft w:val="0"/>
      <w:marRight w:val="0"/>
      <w:marTop w:val="0"/>
      <w:marBottom w:val="0"/>
      <w:divBdr>
        <w:top w:val="none" w:sz="0" w:space="0" w:color="auto"/>
        <w:left w:val="none" w:sz="0" w:space="0" w:color="auto"/>
        <w:bottom w:val="none" w:sz="0" w:space="0" w:color="auto"/>
        <w:right w:val="none" w:sz="0" w:space="0" w:color="auto"/>
      </w:divBdr>
    </w:div>
    <w:div w:id="966660695">
      <w:bodyDiv w:val="1"/>
      <w:marLeft w:val="0"/>
      <w:marRight w:val="0"/>
      <w:marTop w:val="0"/>
      <w:marBottom w:val="0"/>
      <w:divBdr>
        <w:top w:val="none" w:sz="0" w:space="0" w:color="auto"/>
        <w:left w:val="none" w:sz="0" w:space="0" w:color="auto"/>
        <w:bottom w:val="none" w:sz="0" w:space="0" w:color="auto"/>
        <w:right w:val="none" w:sz="0" w:space="0" w:color="auto"/>
      </w:divBdr>
    </w:div>
    <w:div w:id="979114955">
      <w:bodyDiv w:val="1"/>
      <w:marLeft w:val="0"/>
      <w:marRight w:val="0"/>
      <w:marTop w:val="0"/>
      <w:marBottom w:val="0"/>
      <w:divBdr>
        <w:top w:val="none" w:sz="0" w:space="0" w:color="auto"/>
        <w:left w:val="none" w:sz="0" w:space="0" w:color="auto"/>
        <w:bottom w:val="none" w:sz="0" w:space="0" w:color="auto"/>
        <w:right w:val="none" w:sz="0" w:space="0" w:color="auto"/>
      </w:divBdr>
    </w:div>
    <w:div w:id="985548420">
      <w:bodyDiv w:val="1"/>
      <w:marLeft w:val="0"/>
      <w:marRight w:val="0"/>
      <w:marTop w:val="0"/>
      <w:marBottom w:val="0"/>
      <w:divBdr>
        <w:top w:val="none" w:sz="0" w:space="0" w:color="auto"/>
        <w:left w:val="none" w:sz="0" w:space="0" w:color="auto"/>
        <w:bottom w:val="none" w:sz="0" w:space="0" w:color="auto"/>
        <w:right w:val="none" w:sz="0" w:space="0" w:color="auto"/>
      </w:divBdr>
    </w:div>
    <w:div w:id="994993874">
      <w:bodyDiv w:val="1"/>
      <w:marLeft w:val="0"/>
      <w:marRight w:val="0"/>
      <w:marTop w:val="0"/>
      <w:marBottom w:val="0"/>
      <w:divBdr>
        <w:top w:val="none" w:sz="0" w:space="0" w:color="auto"/>
        <w:left w:val="none" w:sz="0" w:space="0" w:color="auto"/>
        <w:bottom w:val="none" w:sz="0" w:space="0" w:color="auto"/>
        <w:right w:val="none" w:sz="0" w:space="0" w:color="auto"/>
      </w:divBdr>
    </w:div>
    <w:div w:id="997345578">
      <w:bodyDiv w:val="1"/>
      <w:marLeft w:val="0"/>
      <w:marRight w:val="0"/>
      <w:marTop w:val="0"/>
      <w:marBottom w:val="0"/>
      <w:divBdr>
        <w:top w:val="none" w:sz="0" w:space="0" w:color="auto"/>
        <w:left w:val="none" w:sz="0" w:space="0" w:color="auto"/>
        <w:bottom w:val="none" w:sz="0" w:space="0" w:color="auto"/>
        <w:right w:val="none" w:sz="0" w:space="0" w:color="auto"/>
      </w:divBdr>
    </w:div>
    <w:div w:id="1011028301">
      <w:bodyDiv w:val="1"/>
      <w:marLeft w:val="0"/>
      <w:marRight w:val="0"/>
      <w:marTop w:val="0"/>
      <w:marBottom w:val="0"/>
      <w:divBdr>
        <w:top w:val="none" w:sz="0" w:space="0" w:color="auto"/>
        <w:left w:val="none" w:sz="0" w:space="0" w:color="auto"/>
        <w:bottom w:val="none" w:sz="0" w:space="0" w:color="auto"/>
        <w:right w:val="none" w:sz="0" w:space="0" w:color="auto"/>
      </w:divBdr>
    </w:div>
    <w:div w:id="1020861700">
      <w:bodyDiv w:val="1"/>
      <w:marLeft w:val="0"/>
      <w:marRight w:val="0"/>
      <w:marTop w:val="0"/>
      <w:marBottom w:val="0"/>
      <w:divBdr>
        <w:top w:val="none" w:sz="0" w:space="0" w:color="auto"/>
        <w:left w:val="none" w:sz="0" w:space="0" w:color="auto"/>
        <w:bottom w:val="none" w:sz="0" w:space="0" w:color="auto"/>
        <w:right w:val="none" w:sz="0" w:space="0" w:color="auto"/>
      </w:divBdr>
    </w:div>
    <w:div w:id="1031877458">
      <w:bodyDiv w:val="1"/>
      <w:marLeft w:val="0"/>
      <w:marRight w:val="0"/>
      <w:marTop w:val="0"/>
      <w:marBottom w:val="0"/>
      <w:divBdr>
        <w:top w:val="none" w:sz="0" w:space="0" w:color="auto"/>
        <w:left w:val="none" w:sz="0" w:space="0" w:color="auto"/>
        <w:bottom w:val="none" w:sz="0" w:space="0" w:color="auto"/>
        <w:right w:val="none" w:sz="0" w:space="0" w:color="auto"/>
      </w:divBdr>
    </w:div>
    <w:div w:id="1053846278">
      <w:bodyDiv w:val="1"/>
      <w:marLeft w:val="0"/>
      <w:marRight w:val="0"/>
      <w:marTop w:val="0"/>
      <w:marBottom w:val="0"/>
      <w:divBdr>
        <w:top w:val="none" w:sz="0" w:space="0" w:color="auto"/>
        <w:left w:val="none" w:sz="0" w:space="0" w:color="auto"/>
        <w:bottom w:val="none" w:sz="0" w:space="0" w:color="auto"/>
        <w:right w:val="none" w:sz="0" w:space="0" w:color="auto"/>
      </w:divBdr>
    </w:div>
    <w:div w:id="1091318355">
      <w:bodyDiv w:val="1"/>
      <w:marLeft w:val="0"/>
      <w:marRight w:val="0"/>
      <w:marTop w:val="0"/>
      <w:marBottom w:val="0"/>
      <w:divBdr>
        <w:top w:val="none" w:sz="0" w:space="0" w:color="auto"/>
        <w:left w:val="none" w:sz="0" w:space="0" w:color="auto"/>
        <w:bottom w:val="none" w:sz="0" w:space="0" w:color="auto"/>
        <w:right w:val="none" w:sz="0" w:space="0" w:color="auto"/>
      </w:divBdr>
    </w:div>
    <w:div w:id="1094865630">
      <w:bodyDiv w:val="1"/>
      <w:marLeft w:val="0"/>
      <w:marRight w:val="0"/>
      <w:marTop w:val="0"/>
      <w:marBottom w:val="0"/>
      <w:divBdr>
        <w:top w:val="none" w:sz="0" w:space="0" w:color="auto"/>
        <w:left w:val="none" w:sz="0" w:space="0" w:color="auto"/>
        <w:bottom w:val="none" w:sz="0" w:space="0" w:color="auto"/>
        <w:right w:val="none" w:sz="0" w:space="0" w:color="auto"/>
      </w:divBdr>
    </w:div>
    <w:div w:id="1125611823">
      <w:bodyDiv w:val="1"/>
      <w:marLeft w:val="0"/>
      <w:marRight w:val="0"/>
      <w:marTop w:val="0"/>
      <w:marBottom w:val="0"/>
      <w:divBdr>
        <w:top w:val="none" w:sz="0" w:space="0" w:color="auto"/>
        <w:left w:val="none" w:sz="0" w:space="0" w:color="auto"/>
        <w:bottom w:val="none" w:sz="0" w:space="0" w:color="auto"/>
        <w:right w:val="none" w:sz="0" w:space="0" w:color="auto"/>
      </w:divBdr>
    </w:div>
    <w:div w:id="1130244317">
      <w:bodyDiv w:val="1"/>
      <w:marLeft w:val="0"/>
      <w:marRight w:val="0"/>
      <w:marTop w:val="0"/>
      <w:marBottom w:val="0"/>
      <w:divBdr>
        <w:top w:val="none" w:sz="0" w:space="0" w:color="auto"/>
        <w:left w:val="none" w:sz="0" w:space="0" w:color="auto"/>
        <w:bottom w:val="none" w:sz="0" w:space="0" w:color="auto"/>
        <w:right w:val="none" w:sz="0" w:space="0" w:color="auto"/>
      </w:divBdr>
    </w:div>
    <w:div w:id="1158107775">
      <w:bodyDiv w:val="1"/>
      <w:marLeft w:val="0"/>
      <w:marRight w:val="0"/>
      <w:marTop w:val="0"/>
      <w:marBottom w:val="0"/>
      <w:divBdr>
        <w:top w:val="none" w:sz="0" w:space="0" w:color="auto"/>
        <w:left w:val="none" w:sz="0" w:space="0" w:color="auto"/>
        <w:bottom w:val="none" w:sz="0" w:space="0" w:color="auto"/>
        <w:right w:val="none" w:sz="0" w:space="0" w:color="auto"/>
      </w:divBdr>
    </w:div>
    <w:div w:id="1167407148">
      <w:bodyDiv w:val="1"/>
      <w:marLeft w:val="0"/>
      <w:marRight w:val="0"/>
      <w:marTop w:val="0"/>
      <w:marBottom w:val="0"/>
      <w:divBdr>
        <w:top w:val="none" w:sz="0" w:space="0" w:color="auto"/>
        <w:left w:val="none" w:sz="0" w:space="0" w:color="auto"/>
        <w:bottom w:val="none" w:sz="0" w:space="0" w:color="auto"/>
        <w:right w:val="none" w:sz="0" w:space="0" w:color="auto"/>
      </w:divBdr>
    </w:div>
    <w:div w:id="1233740549">
      <w:bodyDiv w:val="1"/>
      <w:marLeft w:val="0"/>
      <w:marRight w:val="0"/>
      <w:marTop w:val="0"/>
      <w:marBottom w:val="0"/>
      <w:divBdr>
        <w:top w:val="none" w:sz="0" w:space="0" w:color="auto"/>
        <w:left w:val="none" w:sz="0" w:space="0" w:color="auto"/>
        <w:bottom w:val="none" w:sz="0" w:space="0" w:color="auto"/>
        <w:right w:val="none" w:sz="0" w:space="0" w:color="auto"/>
      </w:divBdr>
    </w:div>
    <w:div w:id="1239435791">
      <w:bodyDiv w:val="1"/>
      <w:marLeft w:val="0"/>
      <w:marRight w:val="0"/>
      <w:marTop w:val="0"/>
      <w:marBottom w:val="0"/>
      <w:divBdr>
        <w:top w:val="none" w:sz="0" w:space="0" w:color="auto"/>
        <w:left w:val="none" w:sz="0" w:space="0" w:color="auto"/>
        <w:bottom w:val="none" w:sz="0" w:space="0" w:color="auto"/>
        <w:right w:val="none" w:sz="0" w:space="0" w:color="auto"/>
      </w:divBdr>
    </w:div>
    <w:div w:id="1245914340">
      <w:bodyDiv w:val="1"/>
      <w:marLeft w:val="0"/>
      <w:marRight w:val="0"/>
      <w:marTop w:val="0"/>
      <w:marBottom w:val="0"/>
      <w:divBdr>
        <w:top w:val="none" w:sz="0" w:space="0" w:color="auto"/>
        <w:left w:val="none" w:sz="0" w:space="0" w:color="auto"/>
        <w:bottom w:val="none" w:sz="0" w:space="0" w:color="auto"/>
        <w:right w:val="none" w:sz="0" w:space="0" w:color="auto"/>
      </w:divBdr>
    </w:div>
    <w:div w:id="1279949201">
      <w:bodyDiv w:val="1"/>
      <w:marLeft w:val="0"/>
      <w:marRight w:val="0"/>
      <w:marTop w:val="0"/>
      <w:marBottom w:val="0"/>
      <w:divBdr>
        <w:top w:val="none" w:sz="0" w:space="0" w:color="auto"/>
        <w:left w:val="none" w:sz="0" w:space="0" w:color="auto"/>
        <w:bottom w:val="none" w:sz="0" w:space="0" w:color="auto"/>
        <w:right w:val="none" w:sz="0" w:space="0" w:color="auto"/>
      </w:divBdr>
    </w:div>
    <w:div w:id="1307779312">
      <w:bodyDiv w:val="1"/>
      <w:marLeft w:val="0"/>
      <w:marRight w:val="0"/>
      <w:marTop w:val="0"/>
      <w:marBottom w:val="0"/>
      <w:divBdr>
        <w:top w:val="none" w:sz="0" w:space="0" w:color="auto"/>
        <w:left w:val="none" w:sz="0" w:space="0" w:color="auto"/>
        <w:bottom w:val="none" w:sz="0" w:space="0" w:color="auto"/>
        <w:right w:val="none" w:sz="0" w:space="0" w:color="auto"/>
      </w:divBdr>
    </w:div>
    <w:div w:id="1317605504">
      <w:bodyDiv w:val="1"/>
      <w:marLeft w:val="0"/>
      <w:marRight w:val="0"/>
      <w:marTop w:val="0"/>
      <w:marBottom w:val="0"/>
      <w:divBdr>
        <w:top w:val="none" w:sz="0" w:space="0" w:color="auto"/>
        <w:left w:val="none" w:sz="0" w:space="0" w:color="auto"/>
        <w:bottom w:val="none" w:sz="0" w:space="0" w:color="auto"/>
        <w:right w:val="none" w:sz="0" w:space="0" w:color="auto"/>
      </w:divBdr>
    </w:div>
    <w:div w:id="1328633763">
      <w:bodyDiv w:val="1"/>
      <w:marLeft w:val="0"/>
      <w:marRight w:val="0"/>
      <w:marTop w:val="0"/>
      <w:marBottom w:val="0"/>
      <w:divBdr>
        <w:top w:val="none" w:sz="0" w:space="0" w:color="auto"/>
        <w:left w:val="none" w:sz="0" w:space="0" w:color="auto"/>
        <w:bottom w:val="none" w:sz="0" w:space="0" w:color="auto"/>
        <w:right w:val="none" w:sz="0" w:space="0" w:color="auto"/>
      </w:divBdr>
    </w:div>
    <w:div w:id="1345011090">
      <w:bodyDiv w:val="1"/>
      <w:marLeft w:val="0"/>
      <w:marRight w:val="0"/>
      <w:marTop w:val="0"/>
      <w:marBottom w:val="0"/>
      <w:divBdr>
        <w:top w:val="none" w:sz="0" w:space="0" w:color="auto"/>
        <w:left w:val="none" w:sz="0" w:space="0" w:color="auto"/>
        <w:bottom w:val="none" w:sz="0" w:space="0" w:color="auto"/>
        <w:right w:val="none" w:sz="0" w:space="0" w:color="auto"/>
      </w:divBdr>
    </w:div>
    <w:div w:id="1384981969">
      <w:bodyDiv w:val="1"/>
      <w:marLeft w:val="0"/>
      <w:marRight w:val="0"/>
      <w:marTop w:val="0"/>
      <w:marBottom w:val="0"/>
      <w:divBdr>
        <w:top w:val="none" w:sz="0" w:space="0" w:color="auto"/>
        <w:left w:val="none" w:sz="0" w:space="0" w:color="auto"/>
        <w:bottom w:val="none" w:sz="0" w:space="0" w:color="auto"/>
        <w:right w:val="none" w:sz="0" w:space="0" w:color="auto"/>
      </w:divBdr>
      <w:divsChild>
        <w:div w:id="1237326598">
          <w:marLeft w:val="0"/>
          <w:marRight w:val="0"/>
          <w:marTop w:val="0"/>
          <w:marBottom w:val="0"/>
          <w:divBdr>
            <w:top w:val="none" w:sz="0" w:space="0" w:color="auto"/>
            <w:left w:val="none" w:sz="0" w:space="0" w:color="auto"/>
            <w:bottom w:val="none" w:sz="0" w:space="0" w:color="auto"/>
            <w:right w:val="none" w:sz="0" w:space="0" w:color="auto"/>
          </w:divBdr>
          <w:divsChild>
            <w:div w:id="754060701">
              <w:marLeft w:val="0"/>
              <w:marRight w:val="0"/>
              <w:marTop w:val="0"/>
              <w:marBottom w:val="0"/>
              <w:divBdr>
                <w:top w:val="none" w:sz="0" w:space="0" w:color="auto"/>
                <w:left w:val="none" w:sz="0" w:space="0" w:color="auto"/>
                <w:bottom w:val="none" w:sz="0" w:space="0" w:color="auto"/>
                <w:right w:val="none" w:sz="0" w:space="0" w:color="auto"/>
              </w:divBdr>
              <w:divsChild>
                <w:div w:id="1105492718">
                  <w:marLeft w:val="0"/>
                  <w:marRight w:val="0"/>
                  <w:marTop w:val="0"/>
                  <w:marBottom w:val="0"/>
                  <w:divBdr>
                    <w:top w:val="none" w:sz="0" w:space="0" w:color="auto"/>
                    <w:left w:val="none" w:sz="0" w:space="0" w:color="auto"/>
                    <w:bottom w:val="none" w:sz="0" w:space="0" w:color="auto"/>
                    <w:right w:val="none" w:sz="0" w:space="0" w:color="auto"/>
                  </w:divBdr>
                  <w:divsChild>
                    <w:div w:id="626860803">
                      <w:marLeft w:val="0"/>
                      <w:marRight w:val="0"/>
                      <w:marTop w:val="0"/>
                      <w:marBottom w:val="0"/>
                      <w:divBdr>
                        <w:top w:val="none" w:sz="0" w:space="0" w:color="auto"/>
                        <w:left w:val="none" w:sz="0" w:space="0" w:color="auto"/>
                        <w:bottom w:val="none" w:sz="0" w:space="0" w:color="auto"/>
                        <w:right w:val="none" w:sz="0" w:space="0" w:color="auto"/>
                      </w:divBdr>
                      <w:divsChild>
                        <w:div w:id="1442535084">
                          <w:marLeft w:val="0"/>
                          <w:marRight w:val="0"/>
                          <w:marTop w:val="0"/>
                          <w:marBottom w:val="0"/>
                          <w:divBdr>
                            <w:top w:val="none" w:sz="0" w:space="0" w:color="auto"/>
                            <w:left w:val="none" w:sz="0" w:space="0" w:color="auto"/>
                            <w:bottom w:val="none" w:sz="0" w:space="0" w:color="auto"/>
                            <w:right w:val="none" w:sz="0" w:space="0" w:color="auto"/>
                          </w:divBdr>
                          <w:divsChild>
                            <w:div w:id="1218589859">
                              <w:marLeft w:val="0"/>
                              <w:marRight w:val="0"/>
                              <w:marTop w:val="0"/>
                              <w:marBottom w:val="0"/>
                              <w:divBdr>
                                <w:top w:val="none" w:sz="0" w:space="0" w:color="auto"/>
                                <w:left w:val="none" w:sz="0" w:space="0" w:color="auto"/>
                                <w:bottom w:val="none" w:sz="0" w:space="0" w:color="auto"/>
                                <w:right w:val="none" w:sz="0" w:space="0" w:color="auto"/>
                              </w:divBdr>
                              <w:divsChild>
                                <w:div w:id="1072890819">
                                  <w:marLeft w:val="0"/>
                                  <w:marRight w:val="0"/>
                                  <w:marTop w:val="0"/>
                                  <w:marBottom w:val="0"/>
                                  <w:divBdr>
                                    <w:top w:val="none" w:sz="0" w:space="0" w:color="auto"/>
                                    <w:left w:val="none" w:sz="0" w:space="0" w:color="auto"/>
                                    <w:bottom w:val="none" w:sz="0" w:space="0" w:color="auto"/>
                                    <w:right w:val="none" w:sz="0" w:space="0" w:color="auto"/>
                                  </w:divBdr>
                                  <w:divsChild>
                                    <w:div w:id="1315380668">
                                      <w:marLeft w:val="0"/>
                                      <w:marRight w:val="0"/>
                                      <w:marTop w:val="0"/>
                                      <w:marBottom w:val="0"/>
                                      <w:divBdr>
                                        <w:top w:val="none" w:sz="0" w:space="0" w:color="auto"/>
                                        <w:left w:val="none" w:sz="0" w:space="0" w:color="auto"/>
                                        <w:bottom w:val="none" w:sz="0" w:space="0" w:color="auto"/>
                                        <w:right w:val="none" w:sz="0" w:space="0" w:color="auto"/>
                                      </w:divBdr>
                                      <w:divsChild>
                                        <w:div w:id="1439175847">
                                          <w:marLeft w:val="0"/>
                                          <w:marRight w:val="0"/>
                                          <w:marTop w:val="0"/>
                                          <w:marBottom w:val="0"/>
                                          <w:divBdr>
                                            <w:top w:val="none" w:sz="0" w:space="0" w:color="auto"/>
                                            <w:left w:val="none" w:sz="0" w:space="0" w:color="auto"/>
                                            <w:bottom w:val="none" w:sz="0" w:space="0" w:color="auto"/>
                                            <w:right w:val="none" w:sz="0" w:space="0" w:color="auto"/>
                                          </w:divBdr>
                                          <w:divsChild>
                                            <w:div w:id="139007774">
                                              <w:marLeft w:val="0"/>
                                              <w:marRight w:val="0"/>
                                              <w:marTop w:val="0"/>
                                              <w:marBottom w:val="0"/>
                                              <w:divBdr>
                                                <w:top w:val="none" w:sz="0" w:space="0" w:color="auto"/>
                                                <w:left w:val="none" w:sz="0" w:space="0" w:color="auto"/>
                                                <w:bottom w:val="none" w:sz="0" w:space="0" w:color="auto"/>
                                                <w:right w:val="none" w:sz="0" w:space="0" w:color="auto"/>
                                              </w:divBdr>
                                              <w:divsChild>
                                                <w:div w:id="1069034229">
                                                  <w:marLeft w:val="0"/>
                                                  <w:marRight w:val="0"/>
                                                  <w:marTop w:val="0"/>
                                                  <w:marBottom w:val="0"/>
                                                  <w:divBdr>
                                                    <w:top w:val="none" w:sz="0" w:space="0" w:color="auto"/>
                                                    <w:left w:val="none" w:sz="0" w:space="0" w:color="auto"/>
                                                    <w:bottom w:val="none" w:sz="0" w:space="0" w:color="auto"/>
                                                    <w:right w:val="none" w:sz="0" w:space="0" w:color="auto"/>
                                                  </w:divBdr>
                                                  <w:divsChild>
                                                    <w:div w:id="1766608369">
                                                      <w:marLeft w:val="0"/>
                                                      <w:marRight w:val="0"/>
                                                      <w:marTop w:val="0"/>
                                                      <w:marBottom w:val="0"/>
                                                      <w:divBdr>
                                                        <w:top w:val="single" w:sz="12" w:space="0" w:color="auto"/>
                                                        <w:left w:val="none" w:sz="0" w:space="0" w:color="auto"/>
                                                        <w:bottom w:val="none" w:sz="0" w:space="0" w:color="auto"/>
                                                        <w:right w:val="none" w:sz="0" w:space="0" w:color="auto"/>
                                                      </w:divBdr>
                                                      <w:divsChild>
                                                        <w:div w:id="719062139">
                                                          <w:marLeft w:val="0"/>
                                                          <w:marRight w:val="0"/>
                                                          <w:marTop w:val="0"/>
                                                          <w:marBottom w:val="0"/>
                                                          <w:divBdr>
                                                            <w:top w:val="none" w:sz="0" w:space="0" w:color="auto"/>
                                                            <w:left w:val="none" w:sz="0" w:space="0" w:color="auto"/>
                                                            <w:bottom w:val="none" w:sz="0" w:space="0" w:color="auto"/>
                                                            <w:right w:val="none" w:sz="0" w:space="0" w:color="auto"/>
                                                          </w:divBdr>
                                                          <w:divsChild>
                                                            <w:div w:id="2062358360">
                                                              <w:marLeft w:val="0"/>
                                                              <w:marRight w:val="0"/>
                                                              <w:marTop w:val="0"/>
                                                              <w:marBottom w:val="0"/>
                                                              <w:divBdr>
                                                                <w:top w:val="none" w:sz="0" w:space="0" w:color="auto"/>
                                                                <w:left w:val="none" w:sz="0" w:space="0" w:color="auto"/>
                                                                <w:bottom w:val="none" w:sz="0" w:space="0" w:color="auto"/>
                                                                <w:right w:val="none" w:sz="0" w:space="0" w:color="auto"/>
                                                              </w:divBdr>
                                                              <w:divsChild>
                                                                <w:div w:id="2079278124">
                                                                  <w:marLeft w:val="0"/>
                                                                  <w:marRight w:val="0"/>
                                                                  <w:marTop w:val="0"/>
                                                                  <w:marBottom w:val="0"/>
                                                                  <w:divBdr>
                                                                    <w:top w:val="none" w:sz="0" w:space="0" w:color="auto"/>
                                                                    <w:left w:val="none" w:sz="0" w:space="0" w:color="auto"/>
                                                                    <w:bottom w:val="none" w:sz="0" w:space="0" w:color="auto"/>
                                                                    <w:right w:val="none" w:sz="0" w:space="0" w:color="auto"/>
                                                                  </w:divBdr>
                                                                  <w:divsChild>
                                                                    <w:div w:id="755901849">
                                                                      <w:marLeft w:val="0"/>
                                                                      <w:marRight w:val="0"/>
                                                                      <w:marTop w:val="0"/>
                                                                      <w:marBottom w:val="0"/>
                                                                      <w:divBdr>
                                                                        <w:top w:val="none" w:sz="0" w:space="0" w:color="auto"/>
                                                                        <w:left w:val="none" w:sz="0" w:space="0" w:color="auto"/>
                                                                        <w:bottom w:val="none" w:sz="0" w:space="0" w:color="auto"/>
                                                                        <w:right w:val="none" w:sz="0" w:space="0" w:color="auto"/>
                                                                      </w:divBdr>
                                                                      <w:divsChild>
                                                                        <w:div w:id="1217552342">
                                                                          <w:marLeft w:val="0"/>
                                                                          <w:marRight w:val="0"/>
                                                                          <w:marTop w:val="0"/>
                                                                          <w:marBottom w:val="0"/>
                                                                          <w:divBdr>
                                                                            <w:top w:val="none" w:sz="0" w:space="0" w:color="auto"/>
                                                                            <w:left w:val="none" w:sz="0" w:space="0" w:color="auto"/>
                                                                            <w:bottom w:val="none" w:sz="0" w:space="0" w:color="auto"/>
                                                                            <w:right w:val="none" w:sz="0" w:space="0" w:color="auto"/>
                                                                          </w:divBdr>
                                                                          <w:divsChild>
                                                                            <w:div w:id="283579432">
                                                                              <w:marLeft w:val="0"/>
                                                                              <w:marRight w:val="0"/>
                                                                              <w:marTop w:val="0"/>
                                                                              <w:marBottom w:val="0"/>
                                                                              <w:divBdr>
                                                                                <w:top w:val="none" w:sz="0" w:space="0" w:color="auto"/>
                                                                                <w:left w:val="none" w:sz="0" w:space="0" w:color="auto"/>
                                                                                <w:bottom w:val="none" w:sz="0" w:space="0" w:color="auto"/>
                                                                                <w:right w:val="none" w:sz="0" w:space="0" w:color="auto"/>
                                                                              </w:divBdr>
                                                                              <w:divsChild>
                                                                                <w:div w:id="1710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0887">
      <w:bodyDiv w:val="1"/>
      <w:marLeft w:val="0"/>
      <w:marRight w:val="0"/>
      <w:marTop w:val="0"/>
      <w:marBottom w:val="0"/>
      <w:divBdr>
        <w:top w:val="none" w:sz="0" w:space="0" w:color="auto"/>
        <w:left w:val="none" w:sz="0" w:space="0" w:color="auto"/>
        <w:bottom w:val="none" w:sz="0" w:space="0" w:color="auto"/>
        <w:right w:val="none" w:sz="0" w:space="0" w:color="auto"/>
      </w:divBdr>
    </w:div>
    <w:div w:id="1415475053">
      <w:bodyDiv w:val="1"/>
      <w:marLeft w:val="0"/>
      <w:marRight w:val="0"/>
      <w:marTop w:val="0"/>
      <w:marBottom w:val="0"/>
      <w:divBdr>
        <w:top w:val="none" w:sz="0" w:space="0" w:color="auto"/>
        <w:left w:val="none" w:sz="0" w:space="0" w:color="auto"/>
        <w:bottom w:val="none" w:sz="0" w:space="0" w:color="auto"/>
        <w:right w:val="none" w:sz="0" w:space="0" w:color="auto"/>
      </w:divBdr>
    </w:div>
    <w:div w:id="1416708044">
      <w:bodyDiv w:val="1"/>
      <w:marLeft w:val="0"/>
      <w:marRight w:val="0"/>
      <w:marTop w:val="0"/>
      <w:marBottom w:val="0"/>
      <w:divBdr>
        <w:top w:val="none" w:sz="0" w:space="0" w:color="auto"/>
        <w:left w:val="none" w:sz="0" w:space="0" w:color="auto"/>
        <w:bottom w:val="none" w:sz="0" w:space="0" w:color="auto"/>
        <w:right w:val="none" w:sz="0" w:space="0" w:color="auto"/>
      </w:divBdr>
    </w:div>
    <w:div w:id="1439563868">
      <w:bodyDiv w:val="1"/>
      <w:marLeft w:val="0"/>
      <w:marRight w:val="0"/>
      <w:marTop w:val="0"/>
      <w:marBottom w:val="0"/>
      <w:divBdr>
        <w:top w:val="none" w:sz="0" w:space="0" w:color="auto"/>
        <w:left w:val="none" w:sz="0" w:space="0" w:color="auto"/>
        <w:bottom w:val="none" w:sz="0" w:space="0" w:color="auto"/>
        <w:right w:val="none" w:sz="0" w:space="0" w:color="auto"/>
      </w:divBdr>
    </w:div>
    <w:div w:id="1452168549">
      <w:bodyDiv w:val="1"/>
      <w:marLeft w:val="0"/>
      <w:marRight w:val="0"/>
      <w:marTop w:val="0"/>
      <w:marBottom w:val="0"/>
      <w:divBdr>
        <w:top w:val="none" w:sz="0" w:space="0" w:color="auto"/>
        <w:left w:val="none" w:sz="0" w:space="0" w:color="auto"/>
        <w:bottom w:val="none" w:sz="0" w:space="0" w:color="auto"/>
        <w:right w:val="none" w:sz="0" w:space="0" w:color="auto"/>
      </w:divBdr>
    </w:div>
    <w:div w:id="1473012956">
      <w:bodyDiv w:val="1"/>
      <w:marLeft w:val="0"/>
      <w:marRight w:val="0"/>
      <w:marTop w:val="0"/>
      <w:marBottom w:val="0"/>
      <w:divBdr>
        <w:top w:val="none" w:sz="0" w:space="0" w:color="auto"/>
        <w:left w:val="none" w:sz="0" w:space="0" w:color="auto"/>
        <w:bottom w:val="none" w:sz="0" w:space="0" w:color="auto"/>
        <w:right w:val="none" w:sz="0" w:space="0" w:color="auto"/>
      </w:divBdr>
    </w:div>
    <w:div w:id="1507865938">
      <w:bodyDiv w:val="1"/>
      <w:marLeft w:val="0"/>
      <w:marRight w:val="0"/>
      <w:marTop w:val="0"/>
      <w:marBottom w:val="0"/>
      <w:divBdr>
        <w:top w:val="none" w:sz="0" w:space="0" w:color="auto"/>
        <w:left w:val="none" w:sz="0" w:space="0" w:color="auto"/>
        <w:bottom w:val="none" w:sz="0" w:space="0" w:color="auto"/>
        <w:right w:val="none" w:sz="0" w:space="0" w:color="auto"/>
      </w:divBdr>
    </w:div>
    <w:div w:id="1515995888">
      <w:bodyDiv w:val="1"/>
      <w:marLeft w:val="0"/>
      <w:marRight w:val="0"/>
      <w:marTop w:val="0"/>
      <w:marBottom w:val="0"/>
      <w:divBdr>
        <w:top w:val="none" w:sz="0" w:space="0" w:color="auto"/>
        <w:left w:val="none" w:sz="0" w:space="0" w:color="auto"/>
        <w:bottom w:val="none" w:sz="0" w:space="0" w:color="auto"/>
        <w:right w:val="none" w:sz="0" w:space="0" w:color="auto"/>
      </w:divBdr>
    </w:div>
    <w:div w:id="1520047508">
      <w:bodyDiv w:val="1"/>
      <w:marLeft w:val="0"/>
      <w:marRight w:val="0"/>
      <w:marTop w:val="0"/>
      <w:marBottom w:val="0"/>
      <w:divBdr>
        <w:top w:val="none" w:sz="0" w:space="0" w:color="auto"/>
        <w:left w:val="none" w:sz="0" w:space="0" w:color="auto"/>
        <w:bottom w:val="none" w:sz="0" w:space="0" w:color="auto"/>
        <w:right w:val="none" w:sz="0" w:space="0" w:color="auto"/>
      </w:divBdr>
    </w:div>
    <w:div w:id="1524706929">
      <w:bodyDiv w:val="1"/>
      <w:marLeft w:val="0"/>
      <w:marRight w:val="0"/>
      <w:marTop w:val="0"/>
      <w:marBottom w:val="0"/>
      <w:divBdr>
        <w:top w:val="none" w:sz="0" w:space="0" w:color="auto"/>
        <w:left w:val="none" w:sz="0" w:space="0" w:color="auto"/>
        <w:bottom w:val="none" w:sz="0" w:space="0" w:color="auto"/>
        <w:right w:val="none" w:sz="0" w:space="0" w:color="auto"/>
      </w:divBdr>
    </w:div>
    <w:div w:id="1536116530">
      <w:bodyDiv w:val="1"/>
      <w:marLeft w:val="0"/>
      <w:marRight w:val="0"/>
      <w:marTop w:val="0"/>
      <w:marBottom w:val="0"/>
      <w:divBdr>
        <w:top w:val="none" w:sz="0" w:space="0" w:color="auto"/>
        <w:left w:val="none" w:sz="0" w:space="0" w:color="auto"/>
        <w:bottom w:val="none" w:sz="0" w:space="0" w:color="auto"/>
        <w:right w:val="none" w:sz="0" w:space="0" w:color="auto"/>
      </w:divBdr>
    </w:div>
    <w:div w:id="1567836699">
      <w:bodyDiv w:val="1"/>
      <w:marLeft w:val="0"/>
      <w:marRight w:val="0"/>
      <w:marTop w:val="0"/>
      <w:marBottom w:val="0"/>
      <w:divBdr>
        <w:top w:val="none" w:sz="0" w:space="0" w:color="auto"/>
        <w:left w:val="none" w:sz="0" w:space="0" w:color="auto"/>
        <w:bottom w:val="none" w:sz="0" w:space="0" w:color="auto"/>
        <w:right w:val="none" w:sz="0" w:space="0" w:color="auto"/>
      </w:divBdr>
    </w:div>
    <w:div w:id="1623459824">
      <w:bodyDiv w:val="1"/>
      <w:marLeft w:val="0"/>
      <w:marRight w:val="0"/>
      <w:marTop w:val="0"/>
      <w:marBottom w:val="0"/>
      <w:divBdr>
        <w:top w:val="none" w:sz="0" w:space="0" w:color="auto"/>
        <w:left w:val="none" w:sz="0" w:space="0" w:color="auto"/>
        <w:bottom w:val="none" w:sz="0" w:space="0" w:color="auto"/>
        <w:right w:val="none" w:sz="0" w:space="0" w:color="auto"/>
      </w:divBdr>
    </w:div>
    <w:div w:id="1633636519">
      <w:bodyDiv w:val="1"/>
      <w:marLeft w:val="0"/>
      <w:marRight w:val="0"/>
      <w:marTop w:val="0"/>
      <w:marBottom w:val="0"/>
      <w:divBdr>
        <w:top w:val="none" w:sz="0" w:space="0" w:color="auto"/>
        <w:left w:val="none" w:sz="0" w:space="0" w:color="auto"/>
        <w:bottom w:val="none" w:sz="0" w:space="0" w:color="auto"/>
        <w:right w:val="none" w:sz="0" w:space="0" w:color="auto"/>
      </w:divBdr>
    </w:div>
    <w:div w:id="1647007816">
      <w:bodyDiv w:val="1"/>
      <w:marLeft w:val="0"/>
      <w:marRight w:val="0"/>
      <w:marTop w:val="0"/>
      <w:marBottom w:val="0"/>
      <w:divBdr>
        <w:top w:val="none" w:sz="0" w:space="0" w:color="auto"/>
        <w:left w:val="none" w:sz="0" w:space="0" w:color="auto"/>
        <w:bottom w:val="none" w:sz="0" w:space="0" w:color="auto"/>
        <w:right w:val="none" w:sz="0" w:space="0" w:color="auto"/>
      </w:divBdr>
    </w:div>
    <w:div w:id="1652782346">
      <w:bodyDiv w:val="1"/>
      <w:marLeft w:val="0"/>
      <w:marRight w:val="0"/>
      <w:marTop w:val="0"/>
      <w:marBottom w:val="0"/>
      <w:divBdr>
        <w:top w:val="none" w:sz="0" w:space="0" w:color="auto"/>
        <w:left w:val="none" w:sz="0" w:space="0" w:color="auto"/>
        <w:bottom w:val="none" w:sz="0" w:space="0" w:color="auto"/>
        <w:right w:val="none" w:sz="0" w:space="0" w:color="auto"/>
      </w:divBdr>
    </w:div>
    <w:div w:id="1704788132">
      <w:bodyDiv w:val="1"/>
      <w:marLeft w:val="0"/>
      <w:marRight w:val="0"/>
      <w:marTop w:val="0"/>
      <w:marBottom w:val="0"/>
      <w:divBdr>
        <w:top w:val="none" w:sz="0" w:space="0" w:color="auto"/>
        <w:left w:val="none" w:sz="0" w:space="0" w:color="auto"/>
        <w:bottom w:val="none" w:sz="0" w:space="0" w:color="auto"/>
        <w:right w:val="none" w:sz="0" w:space="0" w:color="auto"/>
      </w:divBdr>
    </w:div>
    <w:div w:id="1708875063">
      <w:bodyDiv w:val="1"/>
      <w:marLeft w:val="0"/>
      <w:marRight w:val="0"/>
      <w:marTop w:val="0"/>
      <w:marBottom w:val="0"/>
      <w:divBdr>
        <w:top w:val="none" w:sz="0" w:space="0" w:color="auto"/>
        <w:left w:val="none" w:sz="0" w:space="0" w:color="auto"/>
        <w:bottom w:val="none" w:sz="0" w:space="0" w:color="auto"/>
        <w:right w:val="none" w:sz="0" w:space="0" w:color="auto"/>
      </w:divBdr>
    </w:div>
    <w:div w:id="1711765744">
      <w:bodyDiv w:val="1"/>
      <w:marLeft w:val="0"/>
      <w:marRight w:val="0"/>
      <w:marTop w:val="0"/>
      <w:marBottom w:val="0"/>
      <w:divBdr>
        <w:top w:val="none" w:sz="0" w:space="0" w:color="auto"/>
        <w:left w:val="none" w:sz="0" w:space="0" w:color="auto"/>
        <w:bottom w:val="none" w:sz="0" w:space="0" w:color="auto"/>
        <w:right w:val="none" w:sz="0" w:space="0" w:color="auto"/>
      </w:divBdr>
    </w:div>
    <w:div w:id="1753232690">
      <w:bodyDiv w:val="1"/>
      <w:marLeft w:val="0"/>
      <w:marRight w:val="0"/>
      <w:marTop w:val="0"/>
      <w:marBottom w:val="0"/>
      <w:divBdr>
        <w:top w:val="none" w:sz="0" w:space="0" w:color="auto"/>
        <w:left w:val="none" w:sz="0" w:space="0" w:color="auto"/>
        <w:bottom w:val="none" w:sz="0" w:space="0" w:color="auto"/>
        <w:right w:val="none" w:sz="0" w:space="0" w:color="auto"/>
      </w:divBdr>
    </w:div>
    <w:div w:id="1763530076">
      <w:bodyDiv w:val="1"/>
      <w:marLeft w:val="0"/>
      <w:marRight w:val="0"/>
      <w:marTop w:val="0"/>
      <w:marBottom w:val="0"/>
      <w:divBdr>
        <w:top w:val="none" w:sz="0" w:space="0" w:color="auto"/>
        <w:left w:val="none" w:sz="0" w:space="0" w:color="auto"/>
        <w:bottom w:val="none" w:sz="0" w:space="0" w:color="auto"/>
        <w:right w:val="none" w:sz="0" w:space="0" w:color="auto"/>
      </w:divBdr>
    </w:div>
    <w:div w:id="1845322617">
      <w:bodyDiv w:val="1"/>
      <w:marLeft w:val="0"/>
      <w:marRight w:val="0"/>
      <w:marTop w:val="0"/>
      <w:marBottom w:val="0"/>
      <w:divBdr>
        <w:top w:val="none" w:sz="0" w:space="0" w:color="auto"/>
        <w:left w:val="none" w:sz="0" w:space="0" w:color="auto"/>
        <w:bottom w:val="none" w:sz="0" w:space="0" w:color="auto"/>
        <w:right w:val="none" w:sz="0" w:space="0" w:color="auto"/>
      </w:divBdr>
    </w:div>
    <w:div w:id="1861813899">
      <w:bodyDiv w:val="1"/>
      <w:marLeft w:val="0"/>
      <w:marRight w:val="0"/>
      <w:marTop w:val="0"/>
      <w:marBottom w:val="0"/>
      <w:divBdr>
        <w:top w:val="none" w:sz="0" w:space="0" w:color="auto"/>
        <w:left w:val="none" w:sz="0" w:space="0" w:color="auto"/>
        <w:bottom w:val="none" w:sz="0" w:space="0" w:color="auto"/>
        <w:right w:val="none" w:sz="0" w:space="0" w:color="auto"/>
      </w:divBdr>
    </w:div>
    <w:div w:id="1882134365">
      <w:bodyDiv w:val="1"/>
      <w:marLeft w:val="0"/>
      <w:marRight w:val="0"/>
      <w:marTop w:val="0"/>
      <w:marBottom w:val="0"/>
      <w:divBdr>
        <w:top w:val="none" w:sz="0" w:space="0" w:color="auto"/>
        <w:left w:val="none" w:sz="0" w:space="0" w:color="auto"/>
        <w:bottom w:val="none" w:sz="0" w:space="0" w:color="auto"/>
        <w:right w:val="none" w:sz="0" w:space="0" w:color="auto"/>
      </w:divBdr>
    </w:div>
    <w:div w:id="1884319761">
      <w:bodyDiv w:val="1"/>
      <w:marLeft w:val="0"/>
      <w:marRight w:val="0"/>
      <w:marTop w:val="0"/>
      <w:marBottom w:val="0"/>
      <w:divBdr>
        <w:top w:val="none" w:sz="0" w:space="0" w:color="auto"/>
        <w:left w:val="none" w:sz="0" w:space="0" w:color="auto"/>
        <w:bottom w:val="none" w:sz="0" w:space="0" w:color="auto"/>
        <w:right w:val="none" w:sz="0" w:space="0" w:color="auto"/>
      </w:divBdr>
    </w:div>
    <w:div w:id="1886523819">
      <w:bodyDiv w:val="1"/>
      <w:marLeft w:val="0"/>
      <w:marRight w:val="0"/>
      <w:marTop w:val="0"/>
      <w:marBottom w:val="0"/>
      <w:divBdr>
        <w:top w:val="none" w:sz="0" w:space="0" w:color="auto"/>
        <w:left w:val="none" w:sz="0" w:space="0" w:color="auto"/>
        <w:bottom w:val="none" w:sz="0" w:space="0" w:color="auto"/>
        <w:right w:val="none" w:sz="0" w:space="0" w:color="auto"/>
      </w:divBdr>
    </w:div>
    <w:div w:id="1913003024">
      <w:bodyDiv w:val="1"/>
      <w:marLeft w:val="0"/>
      <w:marRight w:val="0"/>
      <w:marTop w:val="0"/>
      <w:marBottom w:val="0"/>
      <w:divBdr>
        <w:top w:val="none" w:sz="0" w:space="0" w:color="auto"/>
        <w:left w:val="none" w:sz="0" w:space="0" w:color="auto"/>
        <w:bottom w:val="none" w:sz="0" w:space="0" w:color="auto"/>
        <w:right w:val="none" w:sz="0" w:space="0" w:color="auto"/>
      </w:divBdr>
    </w:div>
    <w:div w:id="1947351068">
      <w:bodyDiv w:val="1"/>
      <w:marLeft w:val="0"/>
      <w:marRight w:val="0"/>
      <w:marTop w:val="0"/>
      <w:marBottom w:val="0"/>
      <w:divBdr>
        <w:top w:val="none" w:sz="0" w:space="0" w:color="auto"/>
        <w:left w:val="none" w:sz="0" w:space="0" w:color="auto"/>
        <w:bottom w:val="none" w:sz="0" w:space="0" w:color="auto"/>
        <w:right w:val="none" w:sz="0" w:space="0" w:color="auto"/>
      </w:divBdr>
    </w:div>
    <w:div w:id="1957131729">
      <w:bodyDiv w:val="1"/>
      <w:marLeft w:val="0"/>
      <w:marRight w:val="0"/>
      <w:marTop w:val="0"/>
      <w:marBottom w:val="0"/>
      <w:divBdr>
        <w:top w:val="none" w:sz="0" w:space="0" w:color="auto"/>
        <w:left w:val="none" w:sz="0" w:space="0" w:color="auto"/>
        <w:bottom w:val="none" w:sz="0" w:space="0" w:color="auto"/>
        <w:right w:val="none" w:sz="0" w:space="0" w:color="auto"/>
      </w:divBdr>
    </w:div>
    <w:div w:id="1960839129">
      <w:bodyDiv w:val="1"/>
      <w:marLeft w:val="0"/>
      <w:marRight w:val="0"/>
      <w:marTop w:val="0"/>
      <w:marBottom w:val="0"/>
      <w:divBdr>
        <w:top w:val="none" w:sz="0" w:space="0" w:color="auto"/>
        <w:left w:val="none" w:sz="0" w:space="0" w:color="auto"/>
        <w:bottom w:val="none" w:sz="0" w:space="0" w:color="auto"/>
        <w:right w:val="none" w:sz="0" w:space="0" w:color="auto"/>
      </w:divBdr>
    </w:div>
    <w:div w:id="1981617645">
      <w:bodyDiv w:val="1"/>
      <w:marLeft w:val="0"/>
      <w:marRight w:val="0"/>
      <w:marTop w:val="0"/>
      <w:marBottom w:val="0"/>
      <w:divBdr>
        <w:top w:val="none" w:sz="0" w:space="0" w:color="auto"/>
        <w:left w:val="none" w:sz="0" w:space="0" w:color="auto"/>
        <w:bottom w:val="none" w:sz="0" w:space="0" w:color="auto"/>
        <w:right w:val="none" w:sz="0" w:space="0" w:color="auto"/>
      </w:divBdr>
    </w:div>
    <w:div w:id="1987277000">
      <w:bodyDiv w:val="1"/>
      <w:marLeft w:val="0"/>
      <w:marRight w:val="0"/>
      <w:marTop w:val="0"/>
      <w:marBottom w:val="0"/>
      <w:divBdr>
        <w:top w:val="none" w:sz="0" w:space="0" w:color="auto"/>
        <w:left w:val="none" w:sz="0" w:space="0" w:color="auto"/>
        <w:bottom w:val="none" w:sz="0" w:space="0" w:color="auto"/>
        <w:right w:val="none" w:sz="0" w:space="0" w:color="auto"/>
      </w:divBdr>
    </w:div>
    <w:div w:id="1988631660">
      <w:bodyDiv w:val="1"/>
      <w:marLeft w:val="0"/>
      <w:marRight w:val="0"/>
      <w:marTop w:val="0"/>
      <w:marBottom w:val="0"/>
      <w:divBdr>
        <w:top w:val="none" w:sz="0" w:space="0" w:color="auto"/>
        <w:left w:val="none" w:sz="0" w:space="0" w:color="auto"/>
        <w:bottom w:val="none" w:sz="0" w:space="0" w:color="auto"/>
        <w:right w:val="none" w:sz="0" w:space="0" w:color="auto"/>
      </w:divBdr>
    </w:div>
    <w:div w:id="2004117692">
      <w:bodyDiv w:val="1"/>
      <w:marLeft w:val="0"/>
      <w:marRight w:val="0"/>
      <w:marTop w:val="0"/>
      <w:marBottom w:val="0"/>
      <w:divBdr>
        <w:top w:val="none" w:sz="0" w:space="0" w:color="auto"/>
        <w:left w:val="none" w:sz="0" w:space="0" w:color="auto"/>
        <w:bottom w:val="none" w:sz="0" w:space="0" w:color="auto"/>
        <w:right w:val="none" w:sz="0" w:space="0" w:color="auto"/>
      </w:divBdr>
    </w:div>
    <w:div w:id="2078936443">
      <w:bodyDiv w:val="1"/>
      <w:marLeft w:val="0"/>
      <w:marRight w:val="0"/>
      <w:marTop w:val="0"/>
      <w:marBottom w:val="0"/>
      <w:divBdr>
        <w:top w:val="none" w:sz="0" w:space="0" w:color="auto"/>
        <w:left w:val="none" w:sz="0" w:space="0" w:color="auto"/>
        <w:bottom w:val="none" w:sz="0" w:space="0" w:color="auto"/>
        <w:right w:val="none" w:sz="0" w:space="0" w:color="auto"/>
      </w:divBdr>
    </w:div>
    <w:div w:id="2080707466">
      <w:bodyDiv w:val="1"/>
      <w:marLeft w:val="0"/>
      <w:marRight w:val="0"/>
      <w:marTop w:val="0"/>
      <w:marBottom w:val="0"/>
      <w:divBdr>
        <w:top w:val="none" w:sz="0" w:space="0" w:color="auto"/>
        <w:left w:val="none" w:sz="0" w:space="0" w:color="auto"/>
        <w:bottom w:val="none" w:sz="0" w:space="0" w:color="auto"/>
        <w:right w:val="none" w:sz="0" w:space="0" w:color="auto"/>
      </w:divBdr>
    </w:div>
    <w:div w:id="2122989107">
      <w:bodyDiv w:val="1"/>
      <w:marLeft w:val="0"/>
      <w:marRight w:val="0"/>
      <w:marTop w:val="0"/>
      <w:marBottom w:val="0"/>
      <w:divBdr>
        <w:top w:val="none" w:sz="0" w:space="0" w:color="auto"/>
        <w:left w:val="none" w:sz="0" w:space="0" w:color="auto"/>
        <w:bottom w:val="none" w:sz="0" w:space="0" w:color="auto"/>
        <w:right w:val="none" w:sz="0" w:space="0" w:color="auto"/>
      </w:divBdr>
    </w:div>
    <w:div w:id="2136176732">
      <w:bodyDiv w:val="1"/>
      <w:marLeft w:val="0"/>
      <w:marRight w:val="0"/>
      <w:marTop w:val="0"/>
      <w:marBottom w:val="0"/>
      <w:divBdr>
        <w:top w:val="none" w:sz="0" w:space="0" w:color="auto"/>
        <w:left w:val="none" w:sz="0" w:space="0" w:color="auto"/>
        <w:bottom w:val="none" w:sz="0" w:space="0" w:color="auto"/>
        <w:right w:val="none" w:sz="0" w:space="0" w:color="auto"/>
      </w:divBdr>
    </w:div>
    <w:div w:id="21389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hsbsa.nhs.uk/prescription-data/understanding-our-data/bnf-snomed-mapping" TargetMode="External"/><Relationship Id="rId18" Type="http://schemas.openxmlformats.org/officeDocument/2006/relationships/image" Target="media/image2.png"/><Relationship Id="rId26" Type="http://schemas.openxmlformats.org/officeDocument/2006/relationships/hyperlink" Target="https://www.rx-info.co.uk/products/exend/" TargetMode="External"/><Relationship Id="rId39" Type="http://schemas.openxmlformats.org/officeDocument/2006/relationships/hyperlink" Target="https://www.nhsbsa.nhs.uk/access-our-data-products/epact2/dashboards-and-specifications/valproate-safety-dashboard" TargetMode="External"/><Relationship Id="rId21" Type="http://schemas.openxmlformats.org/officeDocument/2006/relationships/hyperlink" Target="https://healthinnovationwessex.org.uk/projects/576/polypharmacy-programme-overview" TargetMode="External"/><Relationship Id="rId34" Type="http://schemas.openxmlformats.org/officeDocument/2006/relationships/hyperlink" Target="https://www.england.nhs.uk/long-read/commissioning-recommendations-for-national-procurement-for-doacs/" TargetMode="External"/><Relationship Id="rId42" Type="http://schemas.openxmlformats.org/officeDocument/2006/relationships/hyperlink" Target="https://www.england.nhs.uk/patient-safety/patient-safety-improvement-programmes/" TargetMode="External"/><Relationship Id="rId47" Type="http://schemas.openxmlformats.org/officeDocument/2006/relationships/hyperlink" Target="https://www.gov.uk/government/publications/antimicrobial-intravenous-to-oral-switch-criteria-for-early-switch" TargetMode="External"/><Relationship Id="rId50" Type="http://schemas.openxmlformats.org/officeDocument/2006/relationships/package" Target="embeddings/Microsoft_Excel_Macro-Enabled_Worksheet.xlsm"/><Relationship Id="rId55" Type="http://schemas.openxmlformats.org/officeDocument/2006/relationships/hyperlink" Target="mailto:DataServicesSupport@nhsbsa.nhs.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future.nhs.uk/DataMeth/browseFolder?done=DOCCreated&amp;sm_docs=3&amp;fid=17449616" TargetMode="External"/><Relationship Id="rId29" Type="http://schemas.openxmlformats.org/officeDocument/2006/relationships/hyperlink" Target="https://rxinfo.thirdparty.nhs.uk/reports/Report?ConfiguredDateRange=+&amp;DateRange.StartMonth=Apr+2023&amp;DateRange.EndMonth=Apr+2024&amp;Scope=eng&amp;country=e&amp;stpr=all&amp;nhse=all&amp;clust=all&amp;type=all&amp;BNF=8.1.1&amp;BNF=8.1.2&amp;BNF=8.1.3&amp;BNF=8.1.4&amp;BNF=8.1.5&amp;Tag=Dose+Band+Compliant+Chemotherapy&amp;SourceDrugTag=20&amp;ExcludeRoute=77&amp;ExcludeRoute=35&amp;SpecialtyFilterPreset=ExcludingStockAndSales&amp;Value=Transactions&amp;Category=Trust&amp;Series=t-Month&amp;SortCategoriesBy=Default&amp;SortSeriesBy=Default&amp;TopTypeCombination=Categories" TargetMode="External"/><Relationship Id="rId11" Type="http://schemas.openxmlformats.org/officeDocument/2006/relationships/hyperlink" Target="https://www.england.nhs.uk/long-read/national-medicines-optimisation-opportunities-2023-24/" TargetMode="External"/><Relationship Id="rId24" Type="http://schemas.openxmlformats.org/officeDocument/2006/relationships/hyperlink" Target="https://openprescribing.net/measure/lpzomnibus/" TargetMode="External"/><Relationship Id="rId32" Type="http://schemas.openxmlformats.org/officeDocument/2006/relationships/hyperlink" Target="https://www.england.nhs.uk/publication/commissioning-recommendations-blood-glucose-and-ketone-meters-testing-strips-and-lancets/" TargetMode="External"/><Relationship Id="rId37" Type="http://schemas.openxmlformats.org/officeDocument/2006/relationships/hyperlink" Target="https://www.nhsbsa.nhs.uk/access-our-data-products/epact2/dashboards-and-specifications/valproate-safety-dashboard" TargetMode="External"/><Relationship Id="rId40" Type="http://schemas.openxmlformats.org/officeDocument/2006/relationships/hyperlink" Target="https://www.nice.org.uk/guidance/conditions-and-diseases/infections/antimicrobial-stewardship" TargetMode="External"/><Relationship Id="rId45" Type="http://schemas.openxmlformats.org/officeDocument/2006/relationships/hyperlink" Target="https://www.nhsbsa.nhs.uk/access-our-data-products/epact2/dashboards-and-specifications/medication-safety" TargetMode="External"/><Relationship Id="rId53" Type="http://schemas.openxmlformats.org/officeDocument/2006/relationships/hyperlink" Target="https://www.england.nhs.uk/long-read/national-medicines-optimisation-opportunities-2023-24/"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bnf-code-changes-january-2022" TargetMode="External"/><Relationship Id="rId22" Type="http://schemas.openxmlformats.org/officeDocument/2006/relationships/hyperlink" Target="https://www.england.nhs.uk/medicines/items-which-should-not-be-routinely-prescribed/" TargetMode="External"/><Relationship Id="rId27" Type="http://schemas.openxmlformats.org/officeDocument/2006/relationships/hyperlink" Target="https://gbr01.safelinks.protection.outlook.com/?url=https%3A%2F%2Ffuture.nhs.uk%2FMedicinesEfficiencies&amp;data=05%7C01%7Canarita.ubaldo%40nhs.net%7C88f7e87a61f54007cd5f08dbe9f00f44%7C37c354b285b047f5b22207b48d774ee3%7C0%7C0%7C638360989469413243%7CUnknown%7CTWFpbGZsb3d8eyJWIjoiMC4wLjAwMDAiLCJQIjoiV2luMzIiLCJBTiI6Ik1haWwiLCJXVCI6Mn0%3D%7C3000%7C%7C%7C&amp;sdata=zNq5Bgc1O1432Xk%2FbNx2ANmSJavJDlVKLHZXylr42GU%3D&amp;reserved=0" TargetMode="External"/><Relationship Id="rId30" Type="http://schemas.openxmlformats.org/officeDocument/2006/relationships/hyperlink" Target="https://rxinfo.thirdparty.nhs.uk/reports/Report?ConfiguredDateRange=+&amp;DateRange.StartMonth=Apr+2023&amp;DateRange.EndMonth=Mar+2024&amp;Scope=eng&amp;country=e&amp;stpr=all&amp;nhse=all&amp;clust=all&amp;type=all&amp;BNF=8.1.1&amp;BNF=8.1.2&amp;BNF=8.1.3&amp;BNF=8.1.4&amp;BNF=8.1.5&amp;SourceDrugTag=20&amp;ExcludeRoute=77&amp;ExcludeRoute=35&amp;SpecialtyFilterPreset=ExcludingStockAndSales&amp;Value=Transactions&amp;Category=Trust&amp;Series=t-Month&amp;SortCategoriesBy=Default&amp;SortSeriesBy=Default&amp;TopTypeCombination=Categories" TargetMode="External"/><Relationship Id="rId35" Type="http://schemas.openxmlformats.org/officeDocument/2006/relationships/hyperlink" Target="https://apps.model.nhs.uk/search?SearchText=greener%20nhs&amp;Page=1&amp;Facets=Product&amp;Facets=Type&amp;Facets=Hierarchy/Lvl1&amp;Filters=Hierarchy/Lvl1%20eq%20%27Climate%20Change%27" TargetMode="External"/><Relationship Id="rId43" Type="http://schemas.openxmlformats.org/officeDocument/2006/relationships/hyperlink" Target="https://www.nhsbsa.nhs.uk/access-our-data-products/epact2/dashboards-and-specifications/opioid-prescribing-comparators-dashboard" TargetMode="External"/><Relationship Id="rId48" Type="http://schemas.openxmlformats.org/officeDocument/2006/relationships/hyperlink" Target="https://fingertips.phe.org.uk/profile/amr-local-indicators/data"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6.emf"/><Relationship Id="rId3" Type="http://schemas.openxmlformats.org/officeDocument/2006/relationships/customXml" Target="../customXml/item3.xml"/><Relationship Id="rId12" Type="http://schemas.openxmlformats.org/officeDocument/2006/relationships/hyperlink" Target="https://www.england.nhs.uk/long-read/national-medicines-optimisation-opportunities-2023-24/" TargetMode="External"/><Relationship Id="rId17" Type="http://schemas.openxmlformats.org/officeDocument/2006/relationships/image" Target="media/image1.png"/><Relationship Id="rId25" Type="http://schemas.openxmlformats.org/officeDocument/2006/relationships/hyperlink" Target="https://www.england.nhs.uk/long-read/items-which-should-not-routinely-be-prescribed-in-primary-care-policy-guidance/" TargetMode="External"/><Relationship Id="rId33" Type="http://schemas.openxmlformats.org/officeDocument/2006/relationships/hyperlink" Target="https://model.nhs.uk/metrics/8897a03b-0b42-4412-be2f-a8c17294d1ce?domainId=cb17cb36-b002-4535-8cd6-ed9818883312&amp;compartmentId=49c89d81-a343-419d-a815-1bc7cd179742" TargetMode="External"/><Relationship Id="rId38" Type="http://schemas.openxmlformats.org/officeDocument/2006/relationships/hyperlink" Target="https://digital.nhs.uk/data-and-information/publications/statistical/mi-medicines-and-pregnancy-registry" TargetMode="External"/><Relationship Id="rId46" Type="http://schemas.openxmlformats.org/officeDocument/2006/relationships/hyperlink" Target="https://fingertips.phe.org.uk/search/intravenous" TargetMode="External"/><Relationship Id="rId59"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s://www.prescqipp.info/our-resources/webkits/antimicrobial-stewardship/" TargetMode="External"/><Relationship Id="rId54" Type="http://schemas.openxmlformats.org/officeDocument/2006/relationships/hyperlink" Target="mailto:england.medicines@nhs.ne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br01.safelinks.protection.outlook.com/?url=https%3A%2F%2Fodsportal.digital.nhs.uk%2F&amp;data=05%7C02%7Canarita.ubaldo%40nhs.net%7C6935d4e318d948fc7fae08dc6459b732%7C37c354b285b047f5b22207b48d774ee3%7C0%7C0%7C638495583709484632%7CUnknown%7CTWFpbGZsb3d8eyJWIjoiMC4wLjAwMDAiLCJQIjoiV2luMzIiLCJBTiI6Ik1haWwiLCJXVCI6Mn0%3D%7C0%7C%7C%7C&amp;sdata=qwoFP%2BQsQJE0dUdRh7ekDIi1ijiMa%2BatBHLr4Ug9G%2Bg%3D&amp;reserved=0" TargetMode="External"/><Relationship Id="rId23" Type="http://schemas.openxmlformats.org/officeDocument/2006/relationships/hyperlink" Target="https://www.nhsbsa.nhs.uk/access-our-data-products/epact2/dashboards-and-specifications/items-which-should-not-be-routinely-prescribed-primary-care" TargetMode="External"/><Relationship Id="rId28" Type="http://schemas.openxmlformats.org/officeDocument/2006/relationships/hyperlink" Target="https://www.england.nhs.uk/publication/2022-23-priorities-and-operational-planning-guidance/" TargetMode="External"/><Relationship Id="rId36" Type="http://schemas.openxmlformats.org/officeDocument/2006/relationships/hyperlink" Target="https://openprescribing.net/measure/environmental_inhalers/" TargetMode="External"/><Relationship Id="rId49" Type="http://schemas.openxmlformats.org/officeDocument/2006/relationships/image" Target="media/image5.emf"/><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england.nhs.uk/long-read/operational-note-updated-commissioning-recommendations-for-medical-retinal-vascular-medicines-following-the-national-procurement-for-ranibizumab-biosimilars/" TargetMode="External"/><Relationship Id="rId44" Type="http://schemas.openxmlformats.org/officeDocument/2006/relationships/hyperlink" Target="https://openprescribing.net/measure/opioidome/" TargetMode="External"/><Relationship Id="rId52" Type="http://schemas.openxmlformats.org/officeDocument/2006/relationships/package" Target="embeddings/Microsoft_Excel_Macro-Enabled_Worksheet1.xlsm"/></Relationships>
</file>

<file path=word/theme/theme1.xml><?xml version="1.0" encoding="utf-8"?>
<a:theme xmlns:a="http://schemas.openxmlformats.org/drawingml/2006/main" name="NHS_Theme1">
  <a:themeElements>
    <a:clrScheme name="NHS_1">
      <a:dk1>
        <a:sysClr val="windowText" lastClr="000000"/>
      </a:dk1>
      <a:lt1>
        <a:sysClr val="window" lastClr="FFFFFF"/>
      </a:lt1>
      <a:dk2>
        <a:srgbClr val="005EB8"/>
      </a:dk2>
      <a:lt2>
        <a:srgbClr val="EEECE1"/>
      </a:lt2>
      <a:accent1>
        <a:srgbClr val="005EB8"/>
      </a:accent1>
      <a:accent2>
        <a:srgbClr val="8A1538"/>
      </a:accent2>
      <a:accent3>
        <a:srgbClr val="009639"/>
      </a:accent3>
      <a:accent4>
        <a:srgbClr val="330072"/>
      </a:accent4>
      <a:accent5>
        <a:srgbClr val="0091C9"/>
      </a:accent5>
      <a:accent6>
        <a:srgbClr val="D28304"/>
      </a:accent6>
      <a:hlink>
        <a:srgbClr val="0072CE"/>
      </a:hlink>
      <a:folHlink>
        <a:srgbClr val="3300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b86cd2-d370-4f57-9db8-681c4fb37596">
      <Terms xmlns="http://schemas.microsoft.com/office/infopath/2007/PartnerControls"/>
    </lcf76f155ced4ddcb4097134ff3c332f>
    <TaxCatchAll xmlns="2799d30d-6731-4efe-ac9b-c4895a8828d9" xsi:nil="true"/>
    <SharedWithUsers xmlns="563bd847-283f-48dc-9444-f54c9e765c55">
      <UserInfo>
        <DisplayName>Gareth Cubbage</DisplayName>
        <AccountId>227</AccountId>
        <AccountType/>
      </UserInfo>
      <UserInfo>
        <DisplayName>Joseph Hamed</DisplayName>
        <AccountId>147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23" ma:contentTypeDescription="Create a new document." ma:contentTypeScope="" ma:versionID="cc14768faa940ca74fc582a27ed0d4fb">
  <xsd:schema xmlns:xsd="http://www.w3.org/2001/XMLSchema" xmlns:xs="http://www.w3.org/2001/XMLSchema" xmlns:p="http://schemas.microsoft.com/office/2006/metadata/properties" xmlns:ns1="http://schemas.microsoft.com/sharepoint/v3" xmlns:ns2="91b86cd2-d370-4f57-9db8-681c4fb37596" xmlns:ns3="563bd847-283f-48dc-9444-f54c9e765c55" xmlns:ns4="2799d30d-6731-4efe-ac9b-c4895a8828d9" targetNamespace="http://schemas.microsoft.com/office/2006/metadata/properties" ma:root="true" ma:fieldsID="5b5f3a75e9060a708cec84035c704085" ns1:_="" ns2:_="" ns3:_="" ns4:_="">
    <xsd:import namespace="http://schemas.microsoft.com/sharepoint/v3"/>
    <xsd:import namespace="91b86cd2-d370-4f57-9db8-681c4fb37596"/>
    <xsd:import namespace="563bd847-283f-48dc-9444-f54c9e765c55"/>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a67792c-7d54-4970-a5a9-9b543de3b627}" ma:internalName="TaxCatchAll" ma:showField="CatchAllData" ma:web="563bd847-283f-48dc-9444-f54c9e765c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871C92-150B-47CF-8E6C-E264C82571D7}">
  <ds:schemaRefs>
    <ds:schemaRef ds:uri="8389b850-4317-40c2-99d6-552fc77bed1b"/>
    <ds:schemaRef ds:uri="http://purl.org/dc/terms/"/>
    <ds:schemaRef ds:uri="43a50285-5f70-4108-b46d-573e29e5fa14"/>
    <ds:schemaRef ds:uri="http://purl.org/dc/dcmitype/"/>
    <ds:schemaRef ds:uri="http://schemas.openxmlformats.org/package/2006/metadata/core-properties"/>
    <ds:schemaRef ds:uri="cccaf3ac-2de9-44d4-aa31-54302fceb5f7"/>
    <ds:schemaRef ds:uri="http://schemas.microsoft.com/office/2006/documentManagement/types"/>
    <ds:schemaRef ds:uri="http://schemas.microsoft.com/office/infopath/2007/PartnerControls"/>
    <ds:schemaRef ds:uri="http://purl.org/dc/elements/1.1/"/>
    <ds:schemaRef ds:uri="http://schemas.microsoft.com/sharepoint/v3"/>
    <ds:schemaRef ds:uri="http://schemas.microsoft.com/office/2006/metadata/properties"/>
    <ds:schemaRef ds:uri="http://www.w3.org/XML/1998/namespace"/>
    <ds:schemaRef ds:uri="91b86cd2-d370-4f57-9db8-681c4fb37596"/>
    <ds:schemaRef ds:uri="2799d30d-6731-4efe-ac9b-c4895a8828d9"/>
    <ds:schemaRef ds:uri="563bd847-283f-48dc-9444-f54c9e765c55"/>
  </ds:schemaRefs>
</ds:datastoreItem>
</file>

<file path=customXml/itemProps2.xml><?xml version="1.0" encoding="utf-8"?>
<ds:datastoreItem xmlns:ds="http://schemas.openxmlformats.org/officeDocument/2006/customXml" ds:itemID="{C84512C5-075D-4EB0-ABB0-C78025223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b86cd2-d370-4f57-9db8-681c4fb37596"/>
    <ds:schemaRef ds:uri="563bd847-283f-48dc-9444-f54c9e765c55"/>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E7653-0ECC-4346-8B78-146A7034BFF7}">
  <ds:schemaRefs>
    <ds:schemaRef ds:uri="http://schemas.openxmlformats.org/officeDocument/2006/bibliography"/>
  </ds:schemaRefs>
</ds:datastoreItem>
</file>

<file path=customXml/itemProps4.xml><?xml version="1.0" encoding="utf-8"?>
<ds:datastoreItem xmlns:ds="http://schemas.openxmlformats.org/officeDocument/2006/customXml" ds:itemID="{6159BECA-432C-4B01-9D3E-2A0E921FA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26</Pages>
  <Words>7448</Words>
  <Characters>42459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Joseph Hamed</cp:lastModifiedBy>
  <cp:revision>4</cp:revision>
  <dcterms:created xsi:type="dcterms:W3CDTF">2024-06-11T08:05:00Z</dcterms:created>
  <dcterms:modified xsi:type="dcterms:W3CDTF">2024-09-20T14:58:00Z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0x01010035965BEB47F9784382BDC56BF34A8DEE</vt:lpwstr>
  </property>
</Properties>
</file>