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FAAC" w14:textId="77777777" w:rsidR="00810077" w:rsidRDefault="00810077">
      <w:pPr>
        <w:spacing w:after="0"/>
        <w:rPr>
          <w:rFonts w:ascii="Arial" w:eastAsia="Arial" w:hAnsi="Arial" w:cs="Arial"/>
          <w:color w:val="548DD4"/>
          <w:sz w:val="28"/>
          <w:szCs w:val="28"/>
        </w:rPr>
      </w:pPr>
    </w:p>
    <w:p w14:paraId="28CD5C25" w14:textId="77777777" w:rsidR="00810077" w:rsidRDefault="00810077">
      <w:pPr>
        <w:spacing w:after="0"/>
        <w:rPr>
          <w:rFonts w:ascii="Arial" w:eastAsia="Arial" w:hAnsi="Arial" w:cs="Arial"/>
          <w:color w:val="548DD4"/>
          <w:sz w:val="28"/>
          <w:szCs w:val="28"/>
        </w:rPr>
      </w:pPr>
    </w:p>
    <w:p w14:paraId="6954D21A" w14:textId="77777777" w:rsidR="00810077" w:rsidRDefault="00855C24">
      <w:pPr>
        <w:tabs>
          <w:tab w:val="left" w:pos="2322"/>
        </w:tabs>
        <w:spacing w:after="0"/>
        <w:rPr>
          <w:rFonts w:ascii="Arial" w:eastAsia="Arial" w:hAnsi="Arial" w:cs="Arial"/>
          <w:color w:val="548DD4"/>
          <w:sz w:val="48"/>
          <w:szCs w:val="48"/>
        </w:rPr>
      </w:pPr>
      <w:r>
        <w:rPr>
          <w:rFonts w:ascii="Arial" w:eastAsia="Arial" w:hAnsi="Arial" w:cs="Arial"/>
          <w:b/>
          <w:color w:val="548DD4"/>
          <w:sz w:val="48"/>
          <w:szCs w:val="48"/>
        </w:rPr>
        <w:tab/>
      </w:r>
    </w:p>
    <w:p w14:paraId="760D2767" w14:textId="6C955FCC" w:rsidR="00810077" w:rsidRPr="00C23CE7" w:rsidRDefault="007A50BC">
      <w:pPr>
        <w:spacing w:after="0"/>
        <w:rPr>
          <w:rFonts w:ascii="Arial" w:eastAsia="Arial" w:hAnsi="Arial" w:cs="Arial"/>
          <w:color w:val="548DD4"/>
          <w:sz w:val="44"/>
          <w:szCs w:val="44"/>
        </w:rPr>
      </w:pPr>
      <w:r w:rsidRPr="00C23CE7">
        <w:rPr>
          <w:rFonts w:ascii="Arial" w:eastAsia="Arial" w:hAnsi="Arial" w:cs="Arial"/>
          <w:b/>
          <w:color w:val="548DD4"/>
          <w:sz w:val="44"/>
          <w:szCs w:val="44"/>
        </w:rPr>
        <w:t xml:space="preserve">Antimicrobial Stewardship </w:t>
      </w:r>
      <w:r w:rsidR="00545D39">
        <w:rPr>
          <w:rFonts w:ascii="Arial" w:eastAsia="Arial" w:hAnsi="Arial" w:cs="Arial"/>
          <w:b/>
          <w:color w:val="548DD4"/>
          <w:sz w:val="44"/>
          <w:szCs w:val="44"/>
        </w:rPr>
        <w:t>UTI</w:t>
      </w:r>
      <w:r w:rsidR="001456FC" w:rsidRPr="00C23CE7">
        <w:rPr>
          <w:rFonts w:ascii="Arial" w:eastAsia="Arial" w:hAnsi="Arial" w:cs="Arial"/>
          <w:b/>
          <w:color w:val="548DD4"/>
          <w:sz w:val="44"/>
          <w:szCs w:val="44"/>
        </w:rPr>
        <w:t xml:space="preserve"> Dashboard</w:t>
      </w:r>
    </w:p>
    <w:p w14:paraId="71AD9333" w14:textId="77777777" w:rsidR="00810077" w:rsidRPr="00C23CE7" w:rsidRDefault="00810077">
      <w:pPr>
        <w:spacing w:after="0"/>
        <w:rPr>
          <w:rFonts w:ascii="Arial" w:eastAsia="Arial" w:hAnsi="Arial" w:cs="Arial"/>
          <w:color w:val="548DD4"/>
          <w:sz w:val="44"/>
          <w:szCs w:val="44"/>
        </w:rPr>
      </w:pPr>
    </w:p>
    <w:p w14:paraId="31B8A3DE" w14:textId="05726BAA" w:rsidR="008D0FCD" w:rsidRPr="00C23CE7" w:rsidRDefault="001456FC">
      <w:pPr>
        <w:spacing w:after="0"/>
        <w:rPr>
          <w:rFonts w:ascii="Arial" w:eastAsia="Arial" w:hAnsi="Arial" w:cs="Arial"/>
          <w:b/>
          <w:color w:val="548DD4"/>
          <w:sz w:val="44"/>
          <w:szCs w:val="44"/>
        </w:rPr>
      </w:pPr>
      <w:r w:rsidRPr="00C23CE7">
        <w:rPr>
          <w:rFonts w:ascii="Arial" w:eastAsia="Arial" w:hAnsi="Arial" w:cs="Arial"/>
          <w:b/>
          <w:color w:val="548DD4"/>
          <w:sz w:val="44"/>
          <w:szCs w:val="44"/>
        </w:rPr>
        <w:t xml:space="preserve">Dashboard and </w:t>
      </w:r>
      <w:r w:rsidR="004155E4" w:rsidRPr="00C23CE7">
        <w:rPr>
          <w:rFonts w:ascii="Arial" w:eastAsia="Arial" w:hAnsi="Arial" w:cs="Arial"/>
          <w:b/>
          <w:color w:val="548DD4"/>
          <w:sz w:val="44"/>
          <w:szCs w:val="44"/>
        </w:rPr>
        <w:t>Comparator</w:t>
      </w:r>
      <w:r w:rsidRPr="00C23CE7">
        <w:rPr>
          <w:rFonts w:ascii="Arial" w:eastAsia="Arial" w:hAnsi="Arial" w:cs="Arial"/>
          <w:b/>
          <w:color w:val="548DD4"/>
          <w:sz w:val="44"/>
          <w:szCs w:val="44"/>
        </w:rPr>
        <w:t xml:space="preserve"> </w:t>
      </w:r>
      <w:r w:rsidR="00855C24" w:rsidRPr="00C23CE7">
        <w:rPr>
          <w:rFonts w:ascii="Arial" w:eastAsia="Arial" w:hAnsi="Arial" w:cs="Arial"/>
          <w:b/>
          <w:color w:val="548DD4"/>
          <w:sz w:val="44"/>
          <w:szCs w:val="44"/>
        </w:rPr>
        <w:t>Specification</w:t>
      </w:r>
    </w:p>
    <w:p w14:paraId="76E657A5" w14:textId="77777777" w:rsidR="009A7E12" w:rsidRPr="00C23CE7" w:rsidRDefault="009A7E12">
      <w:pPr>
        <w:rPr>
          <w:rFonts w:ascii="Arial" w:eastAsia="Arial" w:hAnsi="Arial" w:cs="Arial"/>
          <w:b/>
          <w:color w:val="548DD4"/>
          <w:sz w:val="44"/>
          <w:szCs w:val="44"/>
        </w:rPr>
      </w:pPr>
    </w:p>
    <w:p w14:paraId="1A22208F" w14:textId="7FEB09DD" w:rsidR="008D0FCD" w:rsidRPr="00C23CE7" w:rsidRDefault="008D0FCD">
      <w:pPr>
        <w:rPr>
          <w:rFonts w:ascii="Arial" w:eastAsia="Arial" w:hAnsi="Arial" w:cs="Arial"/>
          <w:b/>
          <w:color w:val="548DD4"/>
          <w:sz w:val="44"/>
          <w:szCs w:val="44"/>
        </w:rPr>
      </w:pPr>
      <w:r w:rsidRPr="00C23CE7">
        <w:rPr>
          <w:rFonts w:ascii="Arial" w:eastAsia="Arial" w:hAnsi="Arial" w:cs="Arial"/>
          <w:b/>
          <w:color w:val="548DD4"/>
          <w:sz w:val="44"/>
          <w:szCs w:val="44"/>
        </w:rPr>
        <w:br w:type="page"/>
      </w:r>
    </w:p>
    <w:bookmarkStart w:id="0" w:name="_Toc180492649" w:displacedByCustomXml="next"/>
    <w:sdt>
      <w:sdtPr>
        <w:rPr>
          <w:rFonts w:ascii="Calibri" w:eastAsia="Calibri" w:hAnsi="Calibri" w:cs="Calibri"/>
          <w:b w:val="0"/>
          <w:sz w:val="22"/>
          <w:szCs w:val="22"/>
        </w:rPr>
        <w:id w:val="33007863"/>
        <w:docPartObj>
          <w:docPartGallery w:val="Table of Contents"/>
          <w:docPartUnique/>
        </w:docPartObj>
      </w:sdtPr>
      <w:sdtEndPr>
        <w:rPr>
          <w:bCs/>
          <w:noProof/>
        </w:rPr>
      </w:sdtEndPr>
      <w:sdtContent>
        <w:p w14:paraId="015D13EB" w14:textId="4C3DFC10" w:rsidR="001E2F84" w:rsidRPr="00C23CE7" w:rsidRDefault="001E2F84" w:rsidP="00B2779E">
          <w:pPr>
            <w:pStyle w:val="Heading1"/>
          </w:pPr>
          <w:r w:rsidRPr="00C23CE7">
            <w:t>Table of Contents</w:t>
          </w:r>
          <w:bookmarkEnd w:id="0"/>
        </w:p>
        <w:p w14:paraId="0EDB6A0B" w14:textId="77578740" w:rsidR="006E026A" w:rsidRDefault="001E2F84">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r w:rsidRPr="00C23CE7">
            <w:fldChar w:fldCharType="begin"/>
          </w:r>
          <w:r w:rsidRPr="00C23CE7">
            <w:instrText xml:space="preserve"> TOC \o "1-3" \h \z \u </w:instrText>
          </w:r>
          <w:r w:rsidRPr="00C23CE7">
            <w:fldChar w:fldCharType="separate"/>
          </w:r>
          <w:hyperlink w:anchor="_Toc180492649" w:history="1">
            <w:r w:rsidR="006E026A" w:rsidRPr="00033A27">
              <w:rPr>
                <w:rStyle w:val="Hyperlink"/>
                <w:noProof/>
              </w:rPr>
              <w:t>Table of Contents</w:t>
            </w:r>
            <w:r w:rsidR="006E026A">
              <w:rPr>
                <w:noProof/>
                <w:webHidden/>
              </w:rPr>
              <w:tab/>
            </w:r>
            <w:r w:rsidR="006E026A">
              <w:rPr>
                <w:noProof/>
                <w:webHidden/>
              </w:rPr>
              <w:fldChar w:fldCharType="begin"/>
            </w:r>
            <w:r w:rsidR="006E026A">
              <w:rPr>
                <w:noProof/>
                <w:webHidden/>
              </w:rPr>
              <w:instrText xml:space="preserve"> PAGEREF _Toc180492649 \h </w:instrText>
            </w:r>
            <w:r w:rsidR="006E026A">
              <w:rPr>
                <w:noProof/>
                <w:webHidden/>
              </w:rPr>
            </w:r>
            <w:r w:rsidR="006E026A">
              <w:rPr>
                <w:noProof/>
                <w:webHidden/>
              </w:rPr>
              <w:fldChar w:fldCharType="separate"/>
            </w:r>
            <w:r w:rsidR="00151D93">
              <w:rPr>
                <w:noProof/>
                <w:webHidden/>
              </w:rPr>
              <w:t>2</w:t>
            </w:r>
            <w:r w:rsidR="006E026A">
              <w:rPr>
                <w:noProof/>
                <w:webHidden/>
              </w:rPr>
              <w:fldChar w:fldCharType="end"/>
            </w:r>
          </w:hyperlink>
        </w:p>
        <w:p w14:paraId="127FD5DB" w14:textId="59B09BFC"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0" w:history="1">
            <w:r w:rsidR="006E026A" w:rsidRPr="00033A27">
              <w:rPr>
                <w:rStyle w:val="Hyperlink"/>
                <w:noProof/>
              </w:rPr>
              <w:t>Introduction</w:t>
            </w:r>
            <w:r w:rsidR="006E026A">
              <w:rPr>
                <w:noProof/>
                <w:webHidden/>
              </w:rPr>
              <w:tab/>
            </w:r>
            <w:r w:rsidR="006E026A">
              <w:rPr>
                <w:noProof/>
                <w:webHidden/>
              </w:rPr>
              <w:fldChar w:fldCharType="begin"/>
            </w:r>
            <w:r w:rsidR="006E026A">
              <w:rPr>
                <w:noProof/>
                <w:webHidden/>
              </w:rPr>
              <w:instrText xml:space="preserve"> PAGEREF _Toc180492650 \h </w:instrText>
            </w:r>
            <w:r w:rsidR="006E026A">
              <w:rPr>
                <w:noProof/>
                <w:webHidden/>
              </w:rPr>
            </w:r>
            <w:r w:rsidR="006E026A">
              <w:rPr>
                <w:noProof/>
                <w:webHidden/>
              </w:rPr>
              <w:fldChar w:fldCharType="separate"/>
            </w:r>
            <w:r w:rsidR="00151D93">
              <w:rPr>
                <w:noProof/>
                <w:webHidden/>
              </w:rPr>
              <w:t>3</w:t>
            </w:r>
            <w:r w:rsidR="006E026A">
              <w:rPr>
                <w:noProof/>
                <w:webHidden/>
              </w:rPr>
              <w:fldChar w:fldCharType="end"/>
            </w:r>
          </w:hyperlink>
        </w:p>
        <w:p w14:paraId="4D3BEC54" w14:textId="755247B3"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1" w:history="1">
            <w:r w:rsidR="006E026A" w:rsidRPr="00033A27">
              <w:rPr>
                <w:rStyle w:val="Hyperlink"/>
                <w:noProof/>
              </w:rPr>
              <w:t>List of comparators</w:t>
            </w:r>
            <w:r w:rsidR="006E026A">
              <w:rPr>
                <w:noProof/>
                <w:webHidden/>
              </w:rPr>
              <w:tab/>
            </w:r>
            <w:r w:rsidR="006E026A">
              <w:rPr>
                <w:noProof/>
                <w:webHidden/>
              </w:rPr>
              <w:fldChar w:fldCharType="begin"/>
            </w:r>
            <w:r w:rsidR="006E026A">
              <w:rPr>
                <w:noProof/>
                <w:webHidden/>
              </w:rPr>
              <w:instrText xml:space="preserve"> PAGEREF _Toc180492651 \h </w:instrText>
            </w:r>
            <w:r w:rsidR="006E026A">
              <w:rPr>
                <w:noProof/>
                <w:webHidden/>
              </w:rPr>
            </w:r>
            <w:r w:rsidR="006E026A">
              <w:rPr>
                <w:noProof/>
                <w:webHidden/>
              </w:rPr>
              <w:fldChar w:fldCharType="separate"/>
            </w:r>
            <w:r w:rsidR="00151D93">
              <w:rPr>
                <w:noProof/>
                <w:webHidden/>
              </w:rPr>
              <w:t>3</w:t>
            </w:r>
            <w:r w:rsidR="006E026A">
              <w:rPr>
                <w:noProof/>
                <w:webHidden/>
              </w:rPr>
              <w:fldChar w:fldCharType="end"/>
            </w:r>
          </w:hyperlink>
        </w:p>
        <w:p w14:paraId="0EE62E15" w14:textId="35A7DD68"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2" w:history="1">
            <w:r w:rsidR="006E026A" w:rsidRPr="00033A27">
              <w:rPr>
                <w:rStyle w:val="Hyperlink"/>
                <w:noProof/>
              </w:rPr>
              <w:t>Prescribing data used in the comparators</w:t>
            </w:r>
            <w:r w:rsidR="006E026A">
              <w:rPr>
                <w:noProof/>
                <w:webHidden/>
              </w:rPr>
              <w:tab/>
            </w:r>
            <w:r w:rsidR="006E026A">
              <w:rPr>
                <w:noProof/>
                <w:webHidden/>
              </w:rPr>
              <w:fldChar w:fldCharType="begin"/>
            </w:r>
            <w:r w:rsidR="006E026A">
              <w:rPr>
                <w:noProof/>
                <w:webHidden/>
              </w:rPr>
              <w:instrText xml:space="preserve"> PAGEREF _Toc180492652 \h </w:instrText>
            </w:r>
            <w:r w:rsidR="006E026A">
              <w:rPr>
                <w:noProof/>
                <w:webHidden/>
              </w:rPr>
            </w:r>
            <w:r w:rsidR="006E026A">
              <w:rPr>
                <w:noProof/>
                <w:webHidden/>
              </w:rPr>
              <w:fldChar w:fldCharType="separate"/>
            </w:r>
            <w:r w:rsidR="00151D93">
              <w:rPr>
                <w:noProof/>
                <w:webHidden/>
              </w:rPr>
              <w:t>4</w:t>
            </w:r>
            <w:r w:rsidR="006E026A">
              <w:rPr>
                <w:noProof/>
                <w:webHidden/>
              </w:rPr>
              <w:fldChar w:fldCharType="end"/>
            </w:r>
          </w:hyperlink>
        </w:p>
        <w:p w14:paraId="2F828DC2" w14:textId="1ED73E36"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3" w:history="1">
            <w:r w:rsidR="006E026A" w:rsidRPr="00033A27">
              <w:rPr>
                <w:rStyle w:val="Hyperlink"/>
                <w:noProof/>
              </w:rPr>
              <w:t>Patient identifiable data completeness</w:t>
            </w:r>
            <w:r w:rsidR="006E026A">
              <w:rPr>
                <w:noProof/>
                <w:webHidden/>
              </w:rPr>
              <w:tab/>
            </w:r>
            <w:r w:rsidR="006E026A">
              <w:rPr>
                <w:noProof/>
                <w:webHidden/>
              </w:rPr>
              <w:fldChar w:fldCharType="begin"/>
            </w:r>
            <w:r w:rsidR="006E026A">
              <w:rPr>
                <w:noProof/>
                <w:webHidden/>
              </w:rPr>
              <w:instrText xml:space="preserve"> PAGEREF _Toc180492653 \h </w:instrText>
            </w:r>
            <w:r w:rsidR="006E026A">
              <w:rPr>
                <w:noProof/>
                <w:webHidden/>
              </w:rPr>
            </w:r>
            <w:r w:rsidR="006E026A">
              <w:rPr>
                <w:noProof/>
                <w:webHidden/>
              </w:rPr>
              <w:fldChar w:fldCharType="separate"/>
            </w:r>
            <w:r w:rsidR="00151D93">
              <w:rPr>
                <w:noProof/>
                <w:webHidden/>
              </w:rPr>
              <w:t>4</w:t>
            </w:r>
            <w:r w:rsidR="006E026A">
              <w:rPr>
                <w:noProof/>
                <w:webHidden/>
              </w:rPr>
              <w:fldChar w:fldCharType="end"/>
            </w:r>
          </w:hyperlink>
        </w:p>
        <w:p w14:paraId="3E8512CF" w14:textId="6D292D7D"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4" w:history="1">
            <w:r w:rsidR="006E026A" w:rsidRPr="00033A27">
              <w:rPr>
                <w:rStyle w:val="Hyperlink"/>
                <w:noProof/>
              </w:rPr>
              <w:t>Age bands</w:t>
            </w:r>
            <w:r w:rsidR="006E026A">
              <w:rPr>
                <w:noProof/>
                <w:webHidden/>
              </w:rPr>
              <w:tab/>
            </w:r>
            <w:r w:rsidR="006E026A">
              <w:rPr>
                <w:noProof/>
                <w:webHidden/>
              </w:rPr>
              <w:fldChar w:fldCharType="begin"/>
            </w:r>
            <w:r w:rsidR="006E026A">
              <w:rPr>
                <w:noProof/>
                <w:webHidden/>
              </w:rPr>
              <w:instrText xml:space="preserve"> PAGEREF _Toc180492654 \h </w:instrText>
            </w:r>
            <w:r w:rsidR="006E026A">
              <w:rPr>
                <w:noProof/>
                <w:webHidden/>
              </w:rPr>
            </w:r>
            <w:r w:rsidR="006E026A">
              <w:rPr>
                <w:noProof/>
                <w:webHidden/>
              </w:rPr>
              <w:fldChar w:fldCharType="separate"/>
            </w:r>
            <w:r w:rsidR="00151D93">
              <w:rPr>
                <w:noProof/>
                <w:webHidden/>
              </w:rPr>
              <w:t>5</w:t>
            </w:r>
            <w:r w:rsidR="006E026A">
              <w:rPr>
                <w:noProof/>
                <w:webHidden/>
              </w:rPr>
              <w:fldChar w:fldCharType="end"/>
            </w:r>
          </w:hyperlink>
        </w:p>
        <w:p w14:paraId="122F660B" w14:textId="554912D7"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5" w:history="1">
            <w:r w:rsidR="006E026A" w:rsidRPr="00033A27">
              <w:rPr>
                <w:rStyle w:val="Hyperlink"/>
                <w:noProof/>
              </w:rPr>
              <w:t>Gender</w:t>
            </w:r>
            <w:r w:rsidR="006E026A">
              <w:rPr>
                <w:noProof/>
                <w:webHidden/>
              </w:rPr>
              <w:tab/>
            </w:r>
            <w:r w:rsidR="006E026A">
              <w:rPr>
                <w:noProof/>
                <w:webHidden/>
              </w:rPr>
              <w:fldChar w:fldCharType="begin"/>
            </w:r>
            <w:r w:rsidR="006E026A">
              <w:rPr>
                <w:noProof/>
                <w:webHidden/>
              </w:rPr>
              <w:instrText xml:space="preserve"> PAGEREF _Toc180492655 \h </w:instrText>
            </w:r>
            <w:r w:rsidR="006E026A">
              <w:rPr>
                <w:noProof/>
                <w:webHidden/>
              </w:rPr>
            </w:r>
            <w:r w:rsidR="006E026A">
              <w:rPr>
                <w:noProof/>
                <w:webHidden/>
              </w:rPr>
              <w:fldChar w:fldCharType="separate"/>
            </w:r>
            <w:r w:rsidR="00151D93">
              <w:rPr>
                <w:noProof/>
                <w:webHidden/>
              </w:rPr>
              <w:t>5</w:t>
            </w:r>
            <w:r w:rsidR="006E026A">
              <w:rPr>
                <w:noProof/>
                <w:webHidden/>
              </w:rPr>
              <w:fldChar w:fldCharType="end"/>
            </w:r>
          </w:hyperlink>
        </w:p>
        <w:p w14:paraId="3F6A7B7A" w14:textId="0229BFCE"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6" w:history="1">
            <w:r w:rsidR="006E026A" w:rsidRPr="00033A27">
              <w:rPr>
                <w:rStyle w:val="Hyperlink"/>
                <w:noProof/>
              </w:rPr>
              <w:t>Patient counts</w:t>
            </w:r>
            <w:r w:rsidR="006E026A">
              <w:rPr>
                <w:noProof/>
                <w:webHidden/>
              </w:rPr>
              <w:tab/>
            </w:r>
            <w:r w:rsidR="006E026A">
              <w:rPr>
                <w:noProof/>
                <w:webHidden/>
              </w:rPr>
              <w:fldChar w:fldCharType="begin"/>
            </w:r>
            <w:r w:rsidR="006E026A">
              <w:rPr>
                <w:noProof/>
                <w:webHidden/>
              </w:rPr>
              <w:instrText xml:space="preserve"> PAGEREF _Toc180492656 \h </w:instrText>
            </w:r>
            <w:r w:rsidR="006E026A">
              <w:rPr>
                <w:noProof/>
                <w:webHidden/>
              </w:rPr>
            </w:r>
            <w:r w:rsidR="006E026A">
              <w:rPr>
                <w:noProof/>
                <w:webHidden/>
              </w:rPr>
              <w:fldChar w:fldCharType="separate"/>
            </w:r>
            <w:r w:rsidR="00151D93">
              <w:rPr>
                <w:noProof/>
                <w:webHidden/>
              </w:rPr>
              <w:t>5</w:t>
            </w:r>
            <w:r w:rsidR="006E026A">
              <w:rPr>
                <w:noProof/>
                <w:webHidden/>
              </w:rPr>
              <w:fldChar w:fldCharType="end"/>
            </w:r>
          </w:hyperlink>
        </w:p>
        <w:p w14:paraId="730FDC19" w14:textId="7779CEB3"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7" w:history="1">
            <w:r w:rsidR="006E026A" w:rsidRPr="00033A27">
              <w:rPr>
                <w:rStyle w:val="Hyperlink"/>
                <w:noProof/>
              </w:rPr>
              <w:t>Practice list sizes</w:t>
            </w:r>
            <w:r w:rsidR="006E026A">
              <w:rPr>
                <w:noProof/>
                <w:webHidden/>
              </w:rPr>
              <w:tab/>
            </w:r>
            <w:r w:rsidR="006E026A">
              <w:rPr>
                <w:noProof/>
                <w:webHidden/>
              </w:rPr>
              <w:fldChar w:fldCharType="begin"/>
            </w:r>
            <w:r w:rsidR="006E026A">
              <w:rPr>
                <w:noProof/>
                <w:webHidden/>
              </w:rPr>
              <w:instrText xml:space="preserve"> PAGEREF _Toc180492657 \h </w:instrText>
            </w:r>
            <w:r w:rsidR="006E026A">
              <w:rPr>
                <w:noProof/>
                <w:webHidden/>
              </w:rPr>
            </w:r>
            <w:r w:rsidR="006E026A">
              <w:rPr>
                <w:noProof/>
                <w:webHidden/>
              </w:rPr>
              <w:fldChar w:fldCharType="separate"/>
            </w:r>
            <w:r w:rsidR="00151D93">
              <w:rPr>
                <w:noProof/>
                <w:webHidden/>
              </w:rPr>
              <w:t>6</w:t>
            </w:r>
            <w:r w:rsidR="006E026A">
              <w:rPr>
                <w:noProof/>
                <w:webHidden/>
              </w:rPr>
              <w:fldChar w:fldCharType="end"/>
            </w:r>
          </w:hyperlink>
        </w:p>
        <w:p w14:paraId="427B90AF" w14:textId="4E088015"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8" w:history="1">
            <w:r w:rsidR="006E026A" w:rsidRPr="00033A27">
              <w:rPr>
                <w:rStyle w:val="Hyperlink"/>
                <w:noProof/>
              </w:rPr>
              <w:t>Medicines included in the comparators</w:t>
            </w:r>
            <w:r w:rsidR="006E026A">
              <w:rPr>
                <w:noProof/>
                <w:webHidden/>
              </w:rPr>
              <w:tab/>
            </w:r>
            <w:r w:rsidR="006E026A">
              <w:rPr>
                <w:noProof/>
                <w:webHidden/>
              </w:rPr>
              <w:fldChar w:fldCharType="begin"/>
            </w:r>
            <w:r w:rsidR="006E026A">
              <w:rPr>
                <w:noProof/>
                <w:webHidden/>
              </w:rPr>
              <w:instrText xml:space="preserve"> PAGEREF _Toc180492658 \h </w:instrText>
            </w:r>
            <w:r w:rsidR="006E026A">
              <w:rPr>
                <w:noProof/>
                <w:webHidden/>
              </w:rPr>
            </w:r>
            <w:r w:rsidR="006E026A">
              <w:rPr>
                <w:noProof/>
                <w:webHidden/>
              </w:rPr>
              <w:fldChar w:fldCharType="separate"/>
            </w:r>
            <w:r w:rsidR="00151D93">
              <w:rPr>
                <w:noProof/>
                <w:webHidden/>
              </w:rPr>
              <w:t>6</w:t>
            </w:r>
            <w:r w:rsidR="006E026A">
              <w:rPr>
                <w:noProof/>
                <w:webHidden/>
              </w:rPr>
              <w:fldChar w:fldCharType="end"/>
            </w:r>
          </w:hyperlink>
        </w:p>
        <w:p w14:paraId="196A6F1B" w14:textId="5A7F1591"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59" w:history="1">
            <w:r w:rsidR="006E026A" w:rsidRPr="00033A27">
              <w:rPr>
                <w:rStyle w:val="Hyperlink"/>
                <w:noProof/>
              </w:rPr>
              <w:t>Data quality assurance</w:t>
            </w:r>
            <w:r w:rsidR="006E026A">
              <w:rPr>
                <w:noProof/>
                <w:webHidden/>
              </w:rPr>
              <w:tab/>
            </w:r>
            <w:r w:rsidR="006E026A">
              <w:rPr>
                <w:noProof/>
                <w:webHidden/>
              </w:rPr>
              <w:fldChar w:fldCharType="begin"/>
            </w:r>
            <w:r w:rsidR="006E026A">
              <w:rPr>
                <w:noProof/>
                <w:webHidden/>
              </w:rPr>
              <w:instrText xml:space="preserve"> PAGEREF _Toc180492659 \h </w:instrText>
            </w:r>
            <w:r w:rsidR="006E026A">
              <w:rPr>
                <w:noProof/>
                <w:webHidden/>
              </w:rPr>
            </w:r>
            <w:r w:rsidR="006E026A">
              <w:rPr>
                <w:noProof/>
                <w:webHidden/>
              </w:rPr>
              <w:fldChar w:fldCharType="separate"/>
            </w:r>
            <w:r w:rsidR="00151D93">
              <w:rPr>
                <w:noProof/>
                <w:webHidden/>
              </w:rPr>
              <w:t>6</w:t>
            </w:r>
            <w:r w:rsidR="006E026A">
              <w:rPr>
                <w:noProof/>
                <w:webHidden/>
              </w:rPr>
              <w:fldChar w:fldCharType="end"/>
            </w:r>
          </w:hyperlink>
        </w:p>
        <w:p w14:paraId="23351702" w14:textId="2632A0A2"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0" w:history="1">
            <w:r w:rsidR="006E026A" w:rsidRPr="00033A27">
              <w:rPr>
                <w:rStyle w:val="Hyperlink"/>
                <w:noProof/>
              </w:rPr>
              <w:t>Dashboard availability and redaction of small numbers</w:t>
            </w:r>
            <w:r w:rsidR="006E026A">
              <w:rPr>
                <w:noProof/>
                <w:webHidden/>
              </w:rPr>
              <w:tab/>
            </w:r>
            <w:r w:rsidR="006E026A">
              <w:rPr>
                <w:noProof/>
                <w:webHidden/>
              </w:rPr>
              <w:fldChar w:fldCharType="begin"/>
            </w:r>
            <w:r w:rsidR="006E026A">
              <w:rPr>
                <w:noProof/>
                <w:webHidden/>
              </w:rPr>
              <w:instrText xml:space="preserve"> PAGEREF _Toc180492660 \h </w:instrText>
            </w:r>
            <w:r w:rsidR="006E026A">
              <w:rPr>
                <w:noProof/>
                <w:webHidden/>
              </w:rPr>
            </w:r>
            <w:r w:rsidR="006E026A">
              <w:rPr>
                <w:noProof/>
                <w:webHidden/>
              </w:rPr>
              <w:fldChar w:fldCharType="separate"/>
            </w:r>
            <w:r w:rsidR="00151D93">
              <w:rPr>
                <w:noProof/>
                <w:webHidden/>
              </w:rPr>
              <w:t>7</w:t>
            </w:r>
            <w:r w:rsidR="006E026A">
              <w:rPr>
                <w:noProof/>
                <w:webHidden/>
              </w:rPr>
              <w:fldChar w:fldCharType="end"/>
            </w:r>
          </w:hyperlink>
        </w:p>
        <w:p w14:paraId="46C0640B" w14:textId="34CB5FEF"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1" w:history="1">
            <w:r w:rsidR="006E026A" w:rsidRPr="00033A27">
              <w:rPr>
                <w:rStyle w:val="Hyperlink"/>
                <w:noProof/>
              </w:rPr>
              <w:t>Data Source</w:t>
            </w:r>
            <w:r w:rsidR="006E026A">
              <w:rPr>
                <w:noProof/>
                <w:webHidden/>
              </w:rPr>
              <w:tab/>
            </w:r>
            <w:r w:rsidR="006E026A">
              <w:rPr>
                <w:noProof/>
                <w:webHidden/>
              </w:rPr>
              <w:fldChar w:fldCharType="begin"/>
            </w:r>
            <w:r w:rsidR="006E026A">
              <w:rPr>
                <w:noProof/>
                <w:webHidden/>
              </w:rPr>
              <w:instrText xml:space="preserve"> PAGEREF _Toc180492661 \h </w:instrText>
            </w:r>
            <w:r w:rsidR="006E026A">
              <w:rPr>
                <w:noProof/>
                <w:webHidden/>
              </w:rPr>
            </w:r>
            <w:r w:rsidR="006E026A">
              <w:rPr>
                <w:noProof/>
                <w:webHidden/>
              </w:rPr>
              <w:fldChar w:fldCharType="separate"/>
            </w:r>
            <w:r w:rsidR="00151D93">
              <w:rPr>
                <w:noProof/>
                <w:webHidden/>
              </w:rPr>
              <w:t>7</w:t>
            </w:r>
            <w:r w:rsidR="006E026A">
              <w:rPr>
                <w:noProof/>
                <w:webHidden/>
              </w:rPr>
              <w:fldChar w:fldCharType="end"/>
            </w:r>
          </w:hyperlink>
        </w:p>
        <w:p w14:paraId="5DCADC4D" w14:textId="2FEED846"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2" w:history="1">
            <w:r w:rsidR="006E026A" w:rsidRPr="00033A27">
              <w:rPr>
                <w:rStyle w:val="Hyperlink"/>
                <w:noProof/>
              </w:rPr>
              <w:t>Data owner &amp; contact details</w:t>
            </w:r>
            <w:r w:rsidR="006E026A">
              <w:rPr>
                <w:noProof/>
                <w:webHidden/>
              </w:rPr>
              <w:tab/>
            </w:r>
            <w:r w:rsidR="006E026A">
              <w:rPr>
                <w:noProof/>
                <w:webHidden/>
              </w:rPr>
              <w:fldChar w:fldCharType="begin"/>
            </w:r>
            <w:r w:rsidR="006E026A">
              <w:rPr>
                <w:noProof/>
                <w:webHidden/>
              </w:rPr>
              <w:instrText xml:space="preserve"> PAGEREF _Toc180492662 \h </w:instrText>
            </w:r>
            <w:r w:rsidR="006E026A">
              <w:rPr>
                <w:noProof/>
                <w:webHidden/>
              </w:rPr>
            </w:r>
            <w:r w:rsidR="006E026A">
              <w:rPr>
                <w:noProof/>
                <w:webHidden/>
              </w:rPr>
              <w:fldChar w:fldCharType="separate"/>
            </w:r>
            <w:r w:rsidR="00151D93">
              <w:rPr>
                <w:noProof/>
                <w:webHidden/>
              </w:rPr>
              <w:t>7</w:t>
            </w:r>
            <w:r w:rsidR="006E026A">
              <w:rPr>
                <w:noProof/>
                <w:webHidden/>
              </w:rPr>
              <w:fldChar w:fldCharType="end"/>
            </w:r>
          </w:hyperlink>
        </w:p>
        <w:p w14:paraId="4A725BCD" w14:textId="08DA62FC"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3" w:history="1">
            <w:r w:rsidR="006E026A" w:rsidRPr="00033A27">
              <w:rPr>
                <w:rStyle w:val="Hyperlink"/>
                <w:noProof/>
              </w:rPr>
              <w:t>Frequency of updates</w:t>
            </w:r>
            <w:r w:rsidR="006E026A">
              <w:rPr>
                <w:noProof/>
                <w:webHidden/>
              </w:rPr>
              <w:tab/>
            </w:r>
            <w:r w:rsidR="006E026A">
              <w:rPr>
                <w:noProof/>
                <w:webHidden/>
              </w:rPr>
              <w:fldChar w:fldCharType="begin"/>
            </w:r>
            <w:r w:rsidR="006E026A">
              <w:rPr>
                <w:noProof/>
                <w:webHidden/>
              </w:rPr>
              <w:instrText xml:space="preserve"> PAGEREF _Toc180492663 \h </w:instrText>
            </w:r>
            <w:r w:rsidR="006E026A">
              <w:rPr>
                <w:noProof/>
                <w:webHidden/>
              </w:rPr>
            </w:r>
            <w:r w:rsidR="006E026A">
              <w:rPr>
                <w:noProof/>
                <w:webHidden/>
              </w:rPr>
              <w:fldChar w:fldCharType="separate"/>
            </w:r>
            <w:r w:rsidR="00151D93">
              <w:rPr>
                <w:noProof/>
                <w:webHidden/>
              </w:rPr>
              <w:t>7</w:t>
            </w:r>
            <w:r w:rsidR="006E026A">
              <w:rPr>
                <w:noProof/>
                <w:webHidden/>
              </w:rPr>
              <w:fldChar w:fldCharType="end"/>
            </w:r>
          </w:hyperlink>
        </w:p>
        <w:p w14:paraId="20389B8B" w14:textId="45E96456"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4" w:history="1">
            <w:r w:rsidR="006E026A" w:rsidRPr="00033A27">
              <w:rPr>
                <w:rStyle w:val="Hyperlink"/>
                <w:noProof/>
              </w:rPr>
              <w:t>Comparator Specifications</w:t>
            </w:r>
            <w:r w:rsidR="006E026A">
              <w:rPr>
                <w:noProof/>
                <w:webHidden/>
              </w:rPr>
              <w:tab/>
            </w:r>
            <w:r w:rsidR="006E026A">
              <w:rPr>
                <w:noProof/>
                <w:webHidden/>
              </w:rPr>
              <w:fldChar w:fldCharType="begin"/>
            </w:r>
            <w:r w:rsidR="006E026A">
              <w:rPr>
                <w:noProof/>
                <w:webHidden/>
              </w:rPr>
              <w:instrText xml:space="preserve"> PAGEREF _Toc180492664 \h </w:instrText>
            </w:r>
            <w:r w:rsidR="006E026A">
              <w:rPr>
                <w:noProof/>
                <w:webHidden/>
              </w:rPr>
            </w:r>
            <w:r w:rsidR="006E026A">
              <w:rPr>
                <w:noProof/>
                <w:webHidden/>
              </w:rPr>
              <w:fldChar w:fldCharType="separate"/>
            </w:r>
            <w:r w:rsidR="00151D93">
              <w:rPr>
                <w:noProof/>
                <w:webHidden/>
              </w:rPr>
              <w:t>8</w:t>
            </w:r>
            <w:r w:rsidR="006E026A">
              <w:rPr>
                <w:noProof/>
                <w:webHidden/>
              </w:rPr>
              <w:fldChar w:fldCharType="end"/>
            </w:r>
          </w:hyperlink>
        </w:p>
        <w:p w14:paraId="36B3F5B1" w14:textId="12018188" w:rsidR="006E026A" w:rsidRDefault="00000000">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5" w:history="1">
            <w:r w:rsidR="006E026A" w:rsidRPr="00033A27">
              <w:rPr>
                <w:rStyle w:val="Hyperlink"/>
                <w:noProof/>
              </w:rPr>
              <w:t>UTI01 - Lower urinary tract infection - Number of combined antibiotic items prescribed per 1,000 population</w:t>
            </w:r>
            <w:r w:rsidR="006E026A">
              <w:rPr>
                <w:noProof/>
                <w:webHidden/>
              </w:rPr>
              <w:tab/>
            </w:r>
            <w:r w:rsidR="006E026A">
              <w:rPr>
                <w:noProof/>
                <w:webHidden/>
              </w:rPr>
              <w:fldChar w:fldCharType="begin"/>
            </w:r>
            <w:r w:rsidR="006E026A">
              <w:rPr>
                <w:noProof/>
                <w:webHidden/>
              </w:rPr>
              <w:instrText xml:space="preserve"> PAGEREF _Toc180492665 \h </w:instrText>
            </w:r>
            <w:r w:rsidR="006E026A">
              <w:rPr>
                <w:noProof/>
                <w:webHidden/>
              </w:rPr>
            </w:r>
            <w:r w:rsidR="006E026A">
              <w:rPr>
                <w:noProof/>
                <w:webHidden/>
              </w:rPr>
              <w:fldChar w:fldCharType="separate"/>
            </w:r>
            <w:r w:rsidR="00151D93">
              <w:rPr>
                <w:noProof/>
                <w:webHidden/>
              </w:rPr>
              <w:t>8</w:t>
            </w:r>
            <w:r w:rsidR="006E026A">
              <w:rPr>
                <w:noProof/>
                <w:webHidden/>
              </w:rPr>
              <w:fldChar w:fldCharType="end"/>
            </w:r>
          </w:hyperlink>
        </w:p>
        <w:p w14:paraId="30E56B1B" w14:textId="5F1D2B2F" w:rsidR="006E026A" w:rsidRDefault="00000000">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6" w:history="1">
            <w:r w:rsidR="006E026A" w:rsidRPr="00033A27">
              <w:rPr>
                <w:rStyle w:val="Hyperlink"/>
                <w:noProof/>
              </w:rPr>
              <w:t>UTI02 - Number of selected antibiotic items per 1,000 population</w:t>
            </w:r>
            <w:r w:rsidR="006E026A">
              <w:rPr>
                <w:noProof/>
                <w:webHidden/>
              </w:rPr>
              <w:tab/>
            </w:r>
            <w:r w:rsidR="006E026A">
              <w:rPr>
                <w:noProof/>
                <w:webHidden/>
              </w:rPr>
              <w:fldChar w:fldCharType="begin"/>
            </w:r>
            <w:r w:rsidR="006E026A">
              <w:rPr>
                <w:noProof/>
                <w:webHidden/>
              </w:rPr>
              <w:instrText xml:space="preserve"> PAGEREF _Toc180492666 \h </w:instrText>
            </w:r>
            <w:r w:rsidR="006E026A">
              <w:rPr>
                <w:noProof/>
                <w:webHidden/>
              </w:rPr>
            </w:r>
            <w:r w:rsidR="006E026A">
              <w:rPr>
                <w:noProof/>
                <w:webHidden/>
              </w:rPr>
              <w:fldChar w:fldCharType="separate"/>
            </w:r>
            <w:r w:rsidR="00151D93">
              <w:rPr>
                <w:noProof/>
                <w:webHidden/>
              </w:rPr>
              <w:t>9</w:t>
            </w:r>
            <w:r w:rsidR="006E026A">
              <w:rPr>
                <w:noProof/>
                <w:webHidden/>
              </w:rPr>
              <w:fldChar w:fldCharType="end"/>
            </w:r>
          </w:hyperlink>
        </w:p>
        <w:p w14:paraId="6C4AC28C" w14:textId="33152097" w:rsidR="006E026A" w:rsidRDefault="00000000">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7" w:history="1">
            <w:r w:rsidR="006E026A" w:rsidRPr="00033A27">
              <w:rPr>
                <w:rStyle w:val="Hyperlink"/>
                <w:noProof/>
              </w:rPr>
              <w:t>UTI03 - Number of people prescribed selected antibiotics per 1,000 population</w:t>
            </w:r>
            <w:r w:rsidR="006E026A">
              <w:rPr>
                <w:noProof/>
                <w:webHidden/>
              </w:rPr>
              <w:tab/>
            </w:r>
            <w:r w:rsidR="006E026A">
              <w:rPr>
                <w:noProof/>
                <w:webHidden/>
              </w:rPr>
              <w:fldChar w:fldCharType="begin"/>
            </w:r>
            <w:r w:rsidR="006E026A">
              <w:rPr>
                <w:noProof/>
                <w:webHidden/>
              </w:rPr>
              <w:instrText xml:space="preserve"> PAGEREF _Toc180492667 \h </w:instrText>
            </w:r>
            <w:r w:rsidR="006E026A">
              <w:rPr>
                <w:noProof/>
                <w:webHidden/>
              </w:rPr>
            </w:r>
            <w:r w:rsidR="006E026A">
              <w:rPr>
                <w:noProof/>
                <w:webHidden/>
              </w:rPr>
              <w:fldChar w:fldCharType="separate"/>
            </w:r>
            <w:r w:rsidR="00151D93">
              <w:rPr>
                <w:noProof/>
                <w:webHidden/>
              </w:rPr>
              <w:t>10</w:t>
            </w:r>
            <w:r w:rsidR="006E026A">
              <w:rPr>
                <w:noProof/>
                <w:webHidden/>
              </w:rPr>
              <w:fldChar w:fldCharType="end"/>
            </w:r>
          </w:hyperlink>
        </w:p>
        <w:p w14:paraId="0B16699A" w14:textId="50376682" w:rsidR="006E026A" w:rsidRDefault="00000000">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8" w:history="1">
            <w:r w:rsidR="006E026A" w:rsidRPr="00033A27">
              <w:rPr>
                <w:rStyle w:val="Hyperlink"/>
                <w:noProof/>
              </w:rPr>
              <w:t>UTI04 - Number of people prescribed trimethoprim more than once in any three consecutive month period</w:t>
            </w:r>
            <w:r w:rsidR="006E026A">
              <w:rPr>
                <w:noProof/>
                <w:webHidden/>
              </w:rPr>
              <w:tab/>
            </w:r>
            <w:r w:rsidR="006E026A">
              <w:rPr>
                <w:noProof/>
                <w:webHidden/>
              </w:rPr>
              <w:fldChar w:fldCharType="begin"/>
            </w:r>
            <w:r w:rsidR="006E026A">
              <w:rPr>
                <w:noProof/>
                <w:webHidden/>
              </w:rPr>
              <w:instrText xml:space="preserve"> PAGEREF _Toc180492668 \h </w:instrText>
            </w:r>
            <w:r w:rsidR="006E026A">
              <w:rPr>
                <w:noProof/>
                <w:webHidden/>
              </w:rPr>
            </w:r>
            <w:r w:rsidR="006E026A">
              <w:rPr>
                <w:noProof/>
                <w:webHidden/>
              </w:rPr>
              <w:fldChar w:fldCharType="separate"/>
            </w:r>
            <w:r w:rsidR="00151D93">
              <w:rPr>
                <w:noProof/>
                <w:webHidden/>
              </w:rPr>
              <w:t>12</w:t>
            </w:r>
            <w:r w:rsidR="006E026A">
              <w:rPr>
                <w:noProof/>
                <w:webHidden/>
              </w:rPr>
              <w:fldChar w:fldCharType="end"/>
            </w:r>
          </w:hyperlink>
        </w:p>
        <w:p w14:paraId="75DDEC6B" w14:textId="3D36A07D" w:rsidR="006E026A" w:rsidRDefault="00000000">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69" w:history="1">
            <w:r w:rsidR="006E026A" w:rsidRPr="00033A27">
              <w:rPr>
                <w:rStyle w:val="Hyperlink"/>
                <w:noProof/>
              </w:rPr>
              <w:t>UTI05 - Number of people prescribed nitrofurantoin more than once in any three consecutive month period</w:t>
            </w:r>
            <w:r w:rsidR="006E026A">
              <w:rPr>
                <w:noProof/>
                <w:webHidden/>
              </w:rPr>
              <w:tab/>
            </w:r>
            <w:r w:rsidR="006E026A">
              <w:rPr>
                <w:noProof/>
                <w:webHidden/>
              </w:rPr>
              <w:fldChar w:fldCharType="begin"/>
            </w:r>
            <w:r w:rsidR="006E026A">
              <w:rPr>
                <w:noProof/>
                <w:webHidden/>
              </w:rPr>
              <w:instrText xml:space="preserve"> PAGEREF _Toc180492669 \h </w:instrText>
            </w:r>
            <w:r w:rsidR="006E026A">
              <w:rPr>
                <w:noProof/>
                <w:webHidden/>
              </w:rPr>
            </w:r>
            <w:r w:rsidR="006E026A">
              <w:rPr>
                <w:noProof/>
                <w:webHidden/>
              </w:rPr>
              <w:fldChar w:fldCharType="separate"/>
            </w:r>
            <w:r w:rsidR="00151D93">
              <w:rPr>
                <w:noProof/>
                <w:webHidden/>
              </w:rPr>
              <w:t>13</w:t>
            </w:r>
            <w:r w:rsidR="006E026A">
              <w:rPr>
                <w:noProof/>
                <w:webHidden/>
              </w:rPr>
              <w:fldChar w:fldCharType="end"/>
            </w:r>
          </w:hyperlink>
        </w:p>
        <w:p w14:paraId="5DC3BCE8" w14:textId="67B740AE" w:rsidR="006E026A" w:rsidRDefault="00000000">
          <w:pPr>
            <w:pStyle w:val="TOC2"/>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70" w:history="1">
            <w:r w:rsidR="006E026A" w:rsidRPr="00033A27">
              <w:rPr>
                <w:rStyle w:val="Hyperlink"/>
                <w:noProof/>
              </w:rPr>
              <w:t>UTI06 - Number of people prescribed urinary continence devices in the last four months per 100,000 population</w:t>
            </w:r>
            <w:r w:rsidR="006E026A">
              <w:rPr>
                <w:noProof/>
                <w:webHidden/>
              </w:rPr>
              <w:tab/>
            </w:r>
            <w:r w:rsidR="006E026A">
              <w:rPr>
                <w:noProof/>
                <w:webHidden/>
              </w:rPr>
              <w:fldChar w:fldCharType="begin"/>
            </w:r>
            <w:r w:rsidR="006E026A">
              <w:rPr>
                <w:noProof/>
                <w:webHidden/>
              </w:rPr>
              <w:instrText xml:space="preserve"> PAGEREF _Toc180492670 \h </w:instrText>
            </w:r>
            <w:r w:rsidR="006E026A">
              <w:rPr>
                <w:noProof/>
                <w:webHidden/>
              </w:rPr>
            </w:r>
            <w:r w:rsidR="006E026A">
              <w:rPr>
                <w:noProof/>
                <w:webHidden/>
              </w:rPr>
              <w:fldChar w:fldCharType="separate"/>
            </w:r>
            <w:r w:rsidR="00151D93">
              <w:rPr>
                <w:noProof/>
                <w:webHidden/>
              </w:rPr>
              <w:t>14</w:t>
            </w:r>
            <w:r w:rsidR="006E026A">
              <w:rPr>
                <w:noProof/>
                <w:webHidden/>
              </w:rPr>
              <w:fldChar w:fldCharType="end"/>
            </w:r>
          </w:hyperlink>
        </w:p>
        <w:p w14:paraId="3932E9D2" w14:textId="3DAC61E8"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71" w:history="1">
            <w:r w:rsidR="006E026A" w:rsidRPr="00033A27">
              <w:rPr>
                <w:rStyle w:val="Hyperlink"/>
                <w:noProof/>
              </w:rPr>
              <w:t>Appendix 1: Comparator UTI06 data completeness for continence devices</w:t>
            </w:r>
            <w:r w:rsidR="006E026A">
              <w:rPr>
                <w:noProof/>
                <w:webHidden/>
              </w:rPr>
              <w:tab/>
            </w:r>
            <w:r w:rsidR="006E026A">
              <w:rPr>
                <w:noProof/>
                <w:webHidden/>
              </w:rPr>
              <w:fldChar w:fldCharType="begin"/>
            </w:r>
            <w:r w:rsidR="006E026A">
              <w:rPr>
                <w:noProof/>
                <w:webHidden/>
              </w:rPr>
              <w:instrText xml:space="preserve"> PAGEREF _Toc180492671 \h </w:instrText>
            </w:r>
            <w:r w:rsidR="006E026A">
              <w:rPr>
                <w:noProof/>
                <w:webHidden/>
              </w:rPr>
            </w:r>
            <w:r w:rsidR="006E026A">
              <w:rPr>
                <w:noProof/>
                <w:webHidden/>
              </w:rPr>
              <w:fldChar w:fldCharType="separate"/>
            </w:r>
            <w:r w:rsidR="00151D93">
              <w:rPr>
                <w:noProof/>
                <w:webHidden/>
              </w:rPr>
              <w:t>15</w:t>
            </w:r>
            <w:r w:rsidR="006E026A">
              <w:rPr>
                <w:noProof/>
                <w:webHidden/>
              </w:rPr>
              <w:fldChar w:fldCharType="end"/>
            </w:r>
          </w:hyperlink>
        </w:p>
        <w:p w14:paraId="7140F973" w14:textId="195A21DF" w:rsidR="006E026A" w:rsidRDefault="00000000">
          <w:pPr>
            <w:pStyle w:val="TOC1"/>
            <w:tabs>
              <w:tab w:val="right" w:leader="dot" w:pos="9628"/>
            </w:tabs>
            <w:rPr>
              <w:rFonts w:asciiTheme="minorHAnsi" w:eastAsiaTheme="minorEastAsia" w:hAnsiTheme="minorHAnsi" w:cstheme="minorBidi"/>
              <w:noProof/>
              <w:color w:val="auto"/>
              <w:kern w:val="2"/>
              <w:sz w:val="24"/>
              <w:szCs w:val="24"/>
              <w14:ligatures w14:val="standardContextual"/>
            </w:rPr>
          </w:pPr>
          <w:hyperlink w:anchor="_Toc180492672" w:history="1">
            <w:r w:rsidR="006E026A" w:rsidRPr="00033A27">
              <w:rPr>
                <w:rStyle w:val="Hyperlink"/>
                <w:noProof/>
              </w:rPr>
              <w:t>Appendix 2: Working Group</w:t>
            </w:r>
            <w:r w:rsidR="006E026A">
              <w:rPr>
                <w:noProof/>
                <w:webHidden/>
              </w:rPr>
              <w:tab/>
            </w:r>
            <w:r w:rsidR="006E026A">
              <w:rPr>
                <w:noProof/>
                <w:webHidden/>
              </w:rPr>
              <w:fldChar w:fldCharType="begin"/>
            </w:r>
            <w:r w:rsidR="006E026A">
              <w:rPr>
                <w:noProof/>
                <w:webHidden/>
              </w:rPr>
              <w:instrText xml:space="preserve"> PAGEREF _Toc180492672 \h </w:instrText>
            </w:r>
            <w:r w:rsidR="006E026A">
              <w:rPr>
                <w:noProof/>
                <w:webHidden/>
              </w:rPr>
            </w:r>
            <w:r w:rsidR="006E026A">
              <w:rPr>
                <w:noProof/>
                <w:webHidden/>
              </w:rPr>
              <w:fldChar w:fldCharType="separate"/>
            </w:r>
            <w:r w:rsidR="00151D93">
              <w:rPr>
                <w:noProof/>
                <w:webHidden/>
              </w:rPr>
              <w:t>19</w:t>
            </w:r>
            <w:r w:rsidR="006E026A">
              <w:rPr>
                <w:noProof/>
                <w:webHidden/>
              </w:rPr>
              <w:fldChar w:fldCharType="end"/>
            </w:r>
          </w:hyperlink>
        </w:p>
        <w:p w14:paraId="6AD1D48B" w14:textId="64AE9AA6" w:rsidR="001E2F84" w:rsidRPr="00C23CE7" w:rsidRDefault="001E2F84">
          <w:r w:rsidRPr="00C23CE7">
            <w:rPr>
              <w:b/>
              <w:bCs/>
              <w:noProof/>
            </w:rPr>
            <w:fldChar w:fldCharType="end"/>
          </w:r>
        </w:p>
      </w:sdtContent>
    </w:sdt>
    <w:p w14:paraId="13734EAC" w14:textId="77777777" w:rsidR="00810077" w:rsidRPr="00C23CE7" w:rsidRDefault="00810077" w:rsidP="0093557C"/>
    <w:p w14:paraId="53CD09E8" w14:textId="77777777" w:rsidR="00A6005C" w:rsidRPr="00C23CE7" w:rsidRDefault="00A6005C">
      <w:pPr>
        <w:rPr>
          <w:rFonts w:ascii="Arial" w:eastAsia="Arial" w:hAnsi="Arial" w:cs="Arial"/>
          <w:b/>
          <w:sz w:val="24"/>
          <w:szCs w:val="24"/>
        </w:rPr>
      </w:pPr>
      <w:bookmarkStart w:id="1" w:name="_Toc26514178"/>
      <w:r w:rsidRPr="00C23CE7">
        <w:br w:type="page"/>
      </w:r>
    </w:p>
    <w:p w14:paraId="49348C7D" w14:textId="11DFDA79" w:rsidR="00C75FA5" w:rsidRPr="00C23CE7" w:rsidRDefault="007A50BC" w:rsidP="003C251E">
      <w:pPr>
        <w:pStyle w:val="Heading1"/>
      </w:pPr>
      <w:bookmarkStart w:id="2" w:name="_Toc180492650"/>
      <w:r w:rsidRPr="00C23CE7">
        <w:lastRenderedPageBreak/>
        <w:t>I</w:t>
      </w:r>
      <w:r w:rsidR="00C75FA5" w:rsidRPr="00C23CE7">
        <w:t>ntroduction</w:t>
      </w:r>
      <w:bookmarkEnd w:id="2"/>
    </w:p>
    <w:p w14:paraId="4D1CDA44" w14:textId="77777777" w:rsidR="003328A2" w:rsidRPr="00C23CE7" w:rsidRDefault="003328A2" w:rsidP="003328A2">
      <w:pPr>
        <w:spacing w:line="240" w:lineRule="auto"/>
      </w:pPr>
    </w:p>
    <w:p w14:paraId="3847523B" w14:textId="77777777" w:rsidR="003328A2" w:rsidRPr="00C23CE7" w:rsidRDefault="003328A2" w:rsidP="003328A2">
      <w:pPr>
        <w:rPr>
          <w:rFonts w:ascii="Arial" w:hAnsi="Arial" w:cs="Arial"/>
          <w:sz w:val="24"/>
          <w:szCs w:val="24"/>
        </w:rPr>
      </w:pPr>
      <w:bookmarkStart w:id="3" w:name="_Hlk179475714"/>
      <w:r w:rsidRPr="00C23CE7">
        <w:rPr>
          <w:rFonts w:ascii="Arial" w:hAnsi="Arial" w:cs="Arial"/>
          <w:sz w:val="24"/>
          <w:szCs w:val="24"/>
        </w:rPr>
        <w:t>Combatting antimicrobial resistance, the </w:t>
      </w:r>
      <w:hyperlink r:id="rId11" w:tgtFrame="_blank" w:history="1">
        <w:r w:rsidRPr="00C23CE7">
          <w:rPr>
            <w:rStyle w:val="Hyperlink"/>
            <w:rFonts w:ascii="Arial" w:hAnsi="Arial" w:cs="Arial"/>
            <w:sz w:val="24"/>
            <w:szCs w:val="24"/>
          </w:rPr>
          <w:t>UK second five-year national action plan</w:t>
        </w:r>
      </w:hyperlink>
      <w:r w:rsidRPr="00C23CE7">
        <w:rPr>
          <w:rFonts w:ascii="Arial" w:hAnsi="Arial" w:cs="Arial"/>
          <w:sz w:val="24"/>
          <w:szCs w:val="24"/>
        </w:rPr>
        <w:t xml:space="preserve"> continues to promote optimal use of antimicrobials in humans to ensure safe and effective patient care by strengthening antimicrobial stewardship programmes. There is also an ambition to reduce UK antimicrobial use in humans by 5% by 2029, and to prevent any increase in Gram-negative blood stream infections in humans from a 2019/2020 baseline. </w:t>
      </w:r>
    </w:p>
    <w:bookmarkEnd w:id="3"/>
    <w:p w14:paraId="232A71C2" w14:textId="77777777" w:rsidR="003328A2" w:rsidRPr="00C23CE7" w:rsidRDefault="003328A2" w:rsidP="003328A2">
      <w:pPr>
        <w:rPr>
          <w:rFonts w:ascii="Arial" w:hAnsi="Arial" w:cs="Arial"/>
          <w:sz w:val="24"/>
          <w:szCs w:val="24"/>
        </w:rPr>
      </w:pPr>
      <w:r w:rsidRPr="00C23CE7">
        <w:rPr>
          <w:rFonts w:ascii="Arial" w:hAnsi="Arial" w:cs="Arial"/>
          <w:sz w:val="24"/>
          <w:szCs w:val="24"/>
        </w:rPr>
        <w:t>Optimising the management of urinary tract infection in primary care supports delivery of these key requirements, and </w:t>
      </w:r>
      <w:hyperlink r:id="rId12" w:tgtFrame="_blank" w:history="1">
        <w:r w:rsidRPr="00C23CE7">
          <w:rPr>
            <w:rStyle w:val="Hyperlink"/>
            <w:rFonts w:ascii="Arial" w:hAnsi="Arial" w:cs="Arial"/>
            <w:sz w:val="24"/>
            <w:szCs w:val="24"/>
          </w:rPr>
          <w:t>NICE publish antimicrobial stewardship guidance</w:t>
        </w:r>
      </w:hyperlink>
      <w:r w:rsidRPr="00C23CE7">
        <w:rPr>
          <w:rFonts w:ascii="Arial" w:hAnsi="Arial" w:cs="Arial"/>
          <w:sz w:val="24"/>
          <w:szCs w:val="24"/>
        </w:rPr>
        <w:t> that provides evidence-based recommendations for antimicrobial prescribing for acute lower UTI,  recurrent lower UTI, and catheter-associated UTI.</w:t>
      </w:r>
    </w:p>
    <w:p w14:paraId="2E5AEE87" w14:textId="2C8B2FFE" w:rsidR="003328A2" w:rsidRPr="00C23CE7" w:rsidRDefault="003328A2" w:rsidP="003328A2">
      <w:pPr>
        <w:rPr>
          <w:rFonts w:ascii="Arial" w:hAnsi="Arial" w:cs="Arial"/>
          <w:sz w:val="24"/>
          <w:szCs w:val="24"/>
        </w:rPr>
      </w:pPr>
      <w:r w:rsidRPr="00C23CE7">
        <w:rPr>
          <w:rFonts w:ascii="Arial" w:hAnsi="Arial" w:cs="Arial"/>
          <w:sz w:val="24"/>
          <w:szCs w:val="24"/>
        </w:rPr>
        <w:t xml:space="preserve">The </w:t>
      </w:r>
      <w:r w:rsidR="004D2C71" w:rsidRPr="00C23CE7">
        <w:rPr>
          <w:rFonts w:ascii="Arial" w:hAnsi="Arial" w:cs="Arial"/>
          <w:sz w:val="24"/>
          <w:szCs w:val="24"/>
        </w:rPr>
        <w:t>Antimicrobial Stewardship UTI dashboard</w:t>
      </w:r>
      <w:r w:rsidRPr="00C23CE7">
        <w:rPr>
          <w:rFonts w:ascii="Arial" w:hAnsi="Arial" w:cs="Arial"/>
          <w:sz w:val="24"/>
          <w:szCs w:val="24"/>
        </w:rPr>
        <w:t xml:space="preserve"> includes </w:t>
      </w:r>
      <w:r w:rsidR="004D2C71" w:rsidRPr="00C23CE7">
        <w:rPr>
          <w:rFonts w:ascii="Arial" w:hAnsi="Arial" w:cs="Arial"/>
          <w:sz w:val="24"/>
          <w:szCs w:val="24"/>
        </w:rPr>
        <w:t>six</w:t>
      </w:r>
      <w:r w:rsidRPr="00C23CE7">
        <w:rPr>
          <w:rFonts w:ascii="Arial" w:hAnsi="Arial" w:cs="Arial"/>
          <w:sz w:val="24"/>
          <w:szCs w:val="24"/>
        </w:rPr>
        <w:t xml:space="preserve"> comparators relating to the prescribing of antibiotics routinely prescribed in primary and community care to treat </w:t>
      </w:r>
      <w:r w:rsidR="004D2C71" w:rsidRPr="00C23CE7">
        <w:rPr>
          <w:rFonts w:ascii="Arial" w:hAnsi="Arial" w:cs="Arial"/>
          <w:sz w:val="24"/>
          <w:szCs w:val="24"/>
        </w:rPr>
        <w:t xml:space="preserve">acute and recurrent lower </w:t>
      </w:r>
      <w:r w:rsidRPr="00C23CE7">
        <w:rPr>
          <w:rFonts w:ascii="Arial" w:hAnsi="Arial" w:cs="Arial"/>
          <w:sz w:val="24"/>
          <w:szCs w:val="24"/>
        </w:rPr>
        <w:t>urinary tract infections, and for the first time reports the count</w:t>
      </w:r>
      <w:r w:rsidR="004D2C71" w:rsidRPr="00C23CE7">
        <w:rPr>
          <w:rFonts w:ascii="Arial" w:hAnsi="Arial" w:cs="Arial"/>
          <w:sz w:val="24"/>
          <w:szCs w:val="24"/>
        </w:rPr>
        <w:t xml:space="preserve"> and population rate</w:t>
      </w:r>
      <w:r w:rsidRPr="00C23CE7">
        <w:rPr>
          <w:rFonts w:ascii="Arial" w:hAnsi="Arial" w:cs="Arial"/>
          <w:sz w:val="24"/>
          <w:szCs w:val="24"/>
        </w:rPr>
        <w:t xml:space="preserve"> of people prescribed urinary continence devices. Comparators report both prescription item and people counts, and population rates, with filters enabling reporting by selected antibiotic, age band and gender.  </w:t>
      </w:r>
    </w:p>
    <w:p w14:paraId="717D7CB8" w14:textId="1D72B673" w:rsidR="003328A2" w:rsidRPr="00C23CE7" w:rsidRDefault="003328A2" w:rsidP="003328A2">
      <w:pPr>
        <w:rPr>
          <w:rFonts w:ascii="Arial" w:hAnsi="Arial" w:cs="Arial"/>
          <w:sz w:val="24"/>
          <w:szCs w:val="24"/>
        </w:rPr>
      </w:pPr>
      <w:r w:rsidRPr="00C23CE7">
        <w:rPr>
          <w:rFonts w:ascii="Arial" w:hAnsi="Arial" w:cs="Arial"/>
          <w:sz w:val="24"/>
          <w:szCs w:val="24"/>
        </w:rPr>
        <w:t>Presented at organisational levels from GP practice to national (England), the data will support clinicians and NHS integrated care systems in in monitoring population exposure to antibiotics</w:t>
      </w:r>
      <w:r w:rsidR="004D2C71" w:rsidRPr="00C23CE7">
        <w:rPr>
          <w:rFonts w:ascii="Arial" w:hAnsi="Arial" w:cs="Arial"/>
          <w:sz w:val="24"/>
          <w:szCs w:val="24"/>
        </w:rPr>
        <w:t xml:space="preserve"> and </w:t>
      </w:r>
      <w:r w:rsidRPr="00C23CE7">
        <w:rPr>
          <w:rFonts w:ascii="Arial" w:hAnsi="Arial" w:cs="Arial"/>
          <w:sz w:val="24"/>
          <w:szCs w:val="24"/>
        </w:rPr>
        <w:t>use of urinary continence devices, and will enable them to identify opportunities to improve the management of urinary tract infections.</w:t>
      </w:r>
    </w:p>
    <w:p w14:paraId="42C37DBA" w14:textId="65A914EC" w:rsidR="00BF6905" w:rsidRPr="00C23CE7" w:rsidRDefault="00BF6905" w:rsidP="00BF6905">
      <w:pPr>
        <w:pStyle w:val="Heading1"/>
      </w:pPr>
      <w:bookmarkStart w:id="4" w:name="_Toc180492651"/>
      <w:r w:rsidRPr="00C23CE7">
        <w:t xml:space="preserve">List of </w:t>
      </w:r>
      <w:r w:rsidR="004155E4" w:rsidRPr="00C23CE7">
        <w:t>comparator</w:t>
      </w:r>
      <w:r w:rsidRPr="00C23CE7">
        <w:t>s</w:t>
      </w:r>
      <w:bookmarkEnd w:id="4"/>
    </w:p>
    <w:p w14:paraId="60BB1E96" w14:textId="77777777" w:rsidR="00BF6905" w:rsidRPr="00C23CE7" w:rsidRDefault="00BF6905" w:rsidP="00BF6905">
      <w:pPr>
        <w:widowControl w:val="0"/>
        <w:spacing w:after="0" w:line="240" w:lineRule="auto"/>
        <w:rPr>
          <w:rFonts w:ascii="Arial" w:eastAsia="Arial" w:hAnsi="Arial" w:cs="Arial"/>
        </w:rPr>
      </w:pPr>
    </w:p>
    <w:tbl>
      <w:tblPr>
        <w:tblStyle w:val="TableGrid"/>
        <w:tblW w:w="0" w:type="auto"/>
        <w:tblInd w:w="108" w:type="dxa"/>
        <w:tblLook w:val="04A0" w:firstRow="1" w:lastRow="0" w:firstColumn="1" w:lastColumn="0" w:noHBand="0" w:noVBand="1"/>
      </w:tblPr>
      <w:tblGrid>
        <w:gridCol w:w="816"/>
        <w:gridCol w:w="8080"/>
      </w:tblGrid>
      <w:tr w:rsidR="00BF6905" w:rsidRPr="00C23CE7" w14:paraId="0D0DF550" w14:textId="77777777" w:rsidTr="00E71615">
        <w:tc>
          <w:tcPr>
            <w:tcW w:w="816" w:type="dxa"/>
          </w:tcPr>
          <w:p w14:paraId="05914E6A" w14:textId="1D4A0701" w:rsidR="00BF6905" w:rsidRPr="00C23CE7" w:rsidRDefault="00C60FC2">
            <w:pPr>
              <w:rPr>
                <w:rFonts w:ascii="Arial" w:hAnsi="Arial" w:cs="Arial"/>
                <w:color w:val="auto"/>
              </w:rPr>
            </w:pPr>
            <w:bookmarkStart w:id="5" w:name="_pt98y46isu8k" w:colFirst="0" w:colLast="0"/>
            <w:bookmarkEnd w:id="5"/>
            <w:r w:rsidRPr="00C23CE7">
              <w:rPr>
                <w:rFonts w:ascii="Arial" w:hAnsi="Arial" w:cs="Arial"/>
                <w:color w:val="auto"/>
              </w:rPr>
              <w:t>UTI0</w:t>
            </w:r>
            <w:r w:rsidR="00BF6905" w:rsidRPr="00C23CE7">
              <w:rPr>
                <w:rFonts w:ascii="Arial" w:hAnsi="Arial" w:cs="Arial"/>
                <w:color w:val="auto"/>
              </w:rPr>
              <w:t>1</w:t>
            </w:r>
          </w:p>
        </w:tc>
        <w:tc>
          <w:tcPr>
            <w:tcW w:w="8080" w:type="dxa"/>
          </w:tcPr>
          <w:p w14:paraId="3279FDE4" w14:textId="4A26DAC7" w:rsidR="00BF6905" w:rsidRPr="00C23CE7" w:rsidRDefault="00D20626">
            <w:pPr>
              <w:rPr>
                <w:rFonts w:ascii="Arial" w:hAnsi="Arial" w:cs="Arial"/>
                <w:color w:val="auto"/>
              </w:rPr>
            </w:pPr>
            <w:r w:rsidRPr="00C23CE7">
              <w:rPr>
                <w:rFonts w:ascii="Arial" w:hAnsi="Arial" w:cs="Arial"/>
                <w:color w:val="auto"/>
              </w:rPr>
              <w:t>Lower urinary tract infection - Number of combined antibiotic items prescribed per 1,000 population</w:t>
            </w:r>
          </w:p>
        </w:tc>
      </w:tr>
      <w:tr w:rsidR="00BF6905" w:rsidRPr="00C23CE7" w14:paraId="31796CB3" w14:textId="77777777" w:rsidTr="00E71615">
        <w:tc>
          <w:tcPr>
            <w:tcW w:w="816" w:type="dxa"/>
          </w:tcPr>
          <w:p w14:paraId="6B88BD99" w14:textId="00DC7928" w:rsidR="00BF6905" w:rsidRPr="00C23CE7" w:rsidRDefault="00C4419C">
            <w:pPr>
              <w:rPr>
                <w:rFonts w:ascii="Arial" w:hAnsi="Arial" w:cs="Arial"/>
                <w:color w:val="auto"/>
              </w:rPr>
            </w:pPr>
            <w:r w:rsidRPr="00C23CE7">
              <w:rPr>
                <w:rFonts w:ascii="Arial" w:hAnsi="Arial" w:cs="Arial"/>
                <w:color w:val="auto"/>
              </w:rPr>
              <w:t>UTI02</w:t>
            </w:r>
          </w:p>
        </w:tc>
        <w:tc>
          <w:tcPr>
            <w:tcW w:w="8080" w:type="dxa"/>
          </w:tcPr>
          <w:p w14:paraId="77DE97FB" w14:textId="6F00A981" w:rsidR="00BF6905" w:rsidRPr="00C23CE7" w:rsidRDefault="00B77029">
            <w:pPr>
              <w:rPr>
                <w:rFonts w:ascii="Arial" w:hAnsi="Arial" w:cs="Arial"/>
                <w:color w:val="auto"/>
              </w:rPr>
            </w:pPr>
            <w:r w:rsidRPr="00C23CE7">
              <w:rPr>
                <w:rFonts w:ascii="Arial" w:hAnsi="Arial" w:cs="Arial"/>
                <w:color w:val="auto"/>
              </w:rPr>
              <w:t>Number of selected antibiotic items per 1,000 population</w:t>
            </w:r>
          </w:p>
        </w:tc>
      </w:tr>
      <w:tr w:rsidR="00BF6905" w:rsidRPr="00C23CE7" w14:paraId="7CF877CA" w14:textId="77777777" w:rsidTr="00E71615">
        <w:tc>
          <w:tcPr>
            <w:tcW w:w="816" w:type="dxa"/>
          </w:tcPr>
          <w:p w14:paraId="1A4BD3E4" w14:textId="3636FDE4" w:rsidR="00BF6905" w:rsidRPr="00C23CE7" w:rsidRDefault="0032176B">
            <w:pPr>
              <w:rPr>
                <w:rFonts w:ascii="Arial" w:hAnsi="Arial" w:cs="Arial"/>
                <w:color w:val="auto"/>
              </w:rPr>
            </w:pPr>
            <w:r w:rsidRPr="00C23CE7">
              <w:rPr>
                <w:rFonts w:ascii="Arial" w:hAnsi="Arial" w:cs="Arial"/>
                <w:color w:val="auto"/>
              </w:rPr>
              <w:t>UTI03</w:t>
            </w:r>
          </w:p>
        </w:tc>
        <w:tc>
          <w:tcPr>
            <w:tcW w:w="8080" w:type="dxa"/>
          </w:tcPr>
          <w:p w14:paraId="6A0C8287" w14:textId="6888B3D9" w:rsidR="00BF6905" w:rsidRPr="00C23CE7" w:rsidRDefault="00B77029">
            <w:pPr>
              <w:rPr>
                <w:rFonts w:ascii="Arial" w:hAnsi="Arial" w:cs="Arial"/>
                <w:color w:val="auto"/>
              </w:rPr>
            </w:pPr>
            <w:r w:rsidRPr="00C23CE7">
              <w:rPr>
                <w:rFonts w:ascii="Arial" w:hAnsi="Arial" w:cs="Arial"/>
                <w:color w:val="auto"/>
              </w:rPr>
              <w:t>Number of people prescribed selected antibiotics per 1,000 population</w:t>
            </w:r>
          </w:p>
        </w:tc>
      </w:tr>
      <w:tr w:rsidR="00BF6905" w:rsidRPr="00C23CE7" w14:paraId="69B064B9" w14:textId="77777777" w:rsidTr="00E71615">
        <w:tc>
          <w:tcPr>
            <w:tcW w:w="816" w:type="dxa"/>
          </w:tcPr>
          <w:p w14:paraId="63187F29" w14:textId="0D19EFC5" w:rsidR="00BF6905" w:rsidRPr="00C23CE7" w:rsidRDefault="0032176B">
            <w:pPr>
              <w:rPr>
                <w:rFonts w:ascii="Arial" w:hAnsi="Arial" w:cs="Arial"/>
                <w:color w:val="auto"/>
              </w:rPr>
            </w:pPr>
            <w:r w:rsidRPr="00C23CE7">
              <w:rPr>
                <w:rFonts w:ascii="Arial" w:hAnsi="Arial" w:cs="Arial"/>
                <w:color w:val="auto"/>
              </w:rPr>
              <w:t>UTI04</w:t>
            </w:r>
          </w:p>
        </w:tc>
        <w:tc>
          <w:tcPr>
            <w:tcW w:w="8080" w:type="dxa"/>
          </w:tcPr>
          <w:p w14:paraId="3DD32E9F" w14:textId="100406AC" w:rsidR="00BF6905" w:rsidRPr="00C23CE7" w:rsidRDefault="00B77029">
            <w:pPr>
              <w:rPr>
                <w:rFonts w:ascii="Arial" w:hAnsi="Arial" w:cs="Arial"/>
                <w:color w:val="auto"/>
              </w:rPr>
            </w:pPr>
            <w:r w:rsidRPr="00C23CE7">
              <w:rPr>
                <w:rFonts w:ascii="Arial" w:hAnsi="Arial" w:cs="Arial"/>
                <w:color w:val="auto"/>
              </w:rPr>
              <w:t xml:space="preserve">Number of people prescribed trimethoprim more than once in a </w:t>
            </w:r>
            <w:r w:rsidR="00DE1CE2" w:rsidRPr="00C23CE7">
              <w:rPr>
                <w:rFonts w:ascii="Arial" w:hAnsi="Arial" w:cs="Arial"/>
                <w:color w:val="auto"/>
              </w:rPr>
              <w:t>three-month</w:t>
            </w:r>
            <w:r w:rsidRPr="00C23CE7">
              <w:rPr>
                <w:rFonts w:ascii="Arial" w:hAnsi="Arial" w:cs="Arial"/>
                <w:color w:val="auto"/>
              </w:rPr>
              <w:t xml:space="preserve"> period</w:t>
            </w:r>
          </w:p>
        </w:tc>
      </w:tr>
      <w:tr w:rsidR="00E71615" w:rsidRPr="00C23CE7" w14:paraId="7371E3F5" w14:textId="77777777" w:rsidTr="00E71615">
        <w:tc>
          <w:tcPr>
            <w:tcW w:w="816" w:type="dxa"/>
          </w:tcPr>
          <w:p w14:paraId="460D7997" w14:textId="7DAFBC19" w:rsidR="00E71615" w:rsidRPr="00C23CE7" w:rsidRDefault="00E71615" w:rsidP="00E71615">
            <w:pPr>
              <w:rPr>
                <w:rFonts w:ascii="Arial" w:hAnsi="Arial" w:cs="Arial"/>
                <w:color w:val="auto"/>
              </w:rPr>
            </w:pPr>
            <w:r w:rsidRPr="00C23CE7">
              <w:rPr>
                <w:rFonts w:ascii="Arial" w:hAnsi="Arial" w:cs="Arial"/>
                <w:color w:val="auto"/>
              </w:rPr>
              <w:t>UTI05</w:t>
            </w:r>
          </w:p>
        </w:tc>
        <w:tc>
          <w:tcPr>
            <w:tcW w:w="8080" w:type="dxa"/>
          </w:tcPr>
          <w:p w14:paraId="0DFE64E8" w14:textId="34A6EF4E" w:rsidR="00E71615" w:rsidRPr="00C23CE7" w:rsidRDefault="00B77029" w:rsidP="00E71615">
            <w:pPr>
              <w:rPr>
                <w:rFonts w:ascii="Arial" w:hAnsi="Arial" w:cs="Arial"/>
                <w:color w:val="auto"/>
              </w:rPr>
            </w:pPr>
            <w:r w:rsidRPr="00C23CE7">
              <w:rPr>
                <w:rFonts w:ascii="Arial" w:hAnsi="Arial" w:cs="Arial"/>
                <w:color w:val="auto"/>
              </w:rPr>
              <w:t xml:space="preserve">Number of people prescribed nitrofurantoin more than once in a </w:t>
            </w:r>
            <w:r w:rsidR="00DE1CE2" w:rsidRPr="00C23CE7">
              <w:rPr>
                <w:rFonts w:ascii="Arial" w:hAnsi="Arial" w:cs="Arial"/>
                <w:color w:val="auto"/>
              </w:rPr>
              <w:t>three-month</w:t>
            </w:r>
            <w:r w:rsidRPr="00C23CE7">
              <w:rPr>
                <w:rFonts w:ascii="Arial" w:hAnsi="Arial" w:cs="Arial"/>
                <w:color w:val="auto"/>
              </w:rPr>
              <w:t xml:space="preserve"> period</w:t>
            </w:r>
          </w:p>
        </w:tc>
      </w:tr>
      <w:tr w:rsidR="00E71615" w:rsidRPr="00C23CE7" w14:paraId="35D630A7" w14:textId="77777777" w:rsidTr="00E71615">
        <w:tc>
          <w:tcPr>
            <w:tcW w:w="816" w:type="dxa"/>
          </w:tcPr>
          <w:p w14:paraId="2F14FAAE" w14:textId="1EA9918C" w:rsidR="00E71615" w:rsidRPr="00C23CE7" w:rsidRDefault="00E71615" w:rsidP="00E71615">
            <w:pPr>
              <w:rPr>
                <w:rFonts w:ascii="Arial" w:hAnsi="Arial" w:cs="Arial"/>
                <w:color w:val="auto"/>
              </w:rPr>
            </w:pPr>
            <w:r w:rsidRPr="00C23CE7">
              <w:rPr>
                <w:rFonts w:ascii="Arial" w:hAnsi="Arial" w:cs="Arial"/>
                <w:color w:val="auto"/>
              </w:rPr>
              <w:t>UTI06</w:t>
            </w:r>
          </w:p>
        </w:tc>
        <w:tc>
          <w:tcPr>
            <w:tcW w:w="8080" w:type="dxa"/>
          </w:tcPr>
          <w:p w14:paraId="52E1A726" w14:textId="443FEE3A" w:rsidR="00E71615" w:rsidRPr="00C23CE7" w:rsidRDefault="005A2C28" w:rsidP="00E71615">
            <w:pPr>
              <w:rPr>
                <w:rFonts w:ascii="Arial" w:hAnsi="Arial" w:cs="Arial"/>
                <w:color w:val="auto"/>
              </w:rPr>
            </w:pPr>
            <w:r w:rsidRPr="00C23CE7">
              <w:rPr>
                <w:rFonts w:ascii="Arial" w:hAnsi="Arial" w:cs="Arial"/>
                <w:color w:val="auto"/>
              </w:rPr>
              <w:t>Number of people prescribed urinary continence devices in the last four months per 100,000 population</w:t>
            </w:r>
          </w:p>
        </w:tc>
      </w:tr>
    </w:tbl>
    <w:p w14:paraId="5FA2BE5E" w14:textId="77777777" w:rsidR="004155E4" w:rsidRPr="00C23CE7" w:rsidRDefault="004155E4" w:rsidP="0036546F">
      <w:pPr>
        <w:pStyle w:val="Heading1"/>
        <w:rPr>
          <w:color w:val="auto"/>
        </w:rPr>
      </w:pPr>
      <w:bookmarkStart w:id="6" w:name="_Toc26514179"/>
    </w:p>
    <w:p w14:paraId="76CFAB0C" w14:textId="77777777" w:rsidR="004155E4" w:rsidRPr="00C23CE7" w:rsidRDefault="004155E4">
      <w:pPr>
        <w:rPr>
          <w:rFonts w:ascii="Arial" w:eastAsia="Arial" w:hAnsi="Arial" w:cs="Arial"/>
          <w:b/>
          <w:color w:val="auto"/>
          <w:sz w:val="24"/>
          <w:szCs w:val="24"/>
        </w:rPr>
      </w:pPr>
      <w:r w:rsidRPr="00C23CE7">
        <w:rPr>
          <w:color w:val="auto"/>
        </w:rPr>
        <w:br w:type="page"/>
      </w:r>
    </w:p>
    <w:p w14:paraId="590D6844" w14:textId="68FE608E" w:rsidR="0036546F" w:rsidRPr="00C23CE7" w:rsidRDefault="0036546F" w:rsidP="0036546F">
      <w:pPr>
        <w:pStyle w:val="Heading1"/>
        <w:rPr>
          <w:color w:val="auto"/>
        </w:rPr>
      </w:pPr>
      <w:bookmarkStart w:id="7" w:name="_Toc180492652"/>
      <w:r w:rsidRPr="00C23CE7">
        <w:rPr>
          <w:color w:val="auto"/>
        </w:rPr>
        <w:lastRenderedPageBreak/>
        <w:t xml:space="preserve">Prescribing data used in the </w:t>
      </w:r>
      <w:bookmarkEnd w:id="6"/>
      <w:r w:rsidR="004155E4" w:rsidRPr="00C23CE7">
        <w:rPr>
          <w:color w:val="auto"/>
        </w:rPr>
        <w:t>comparator</w:t>
      </w:r>
      <w:r w:rsidRPr="00C23CE7">
        <w:rPr>
          <w:color w:val="auto"/>
        </w:rPr>
        <w:t>s</w:t>
      </w:r>
      <w:bookmarkEnd w:id="7"/>
    </w:p>
    <w:p w14:paraId="7265EF16" w14:textId="5BFEC66E" w:rsidR="0036546F" w:rsidRPr="00C23CE7" w:rsidRDefault="0036546F" w:rsidP="0036546F">
      <w:pPr>
        <w:spacing w:before="240"/>
        <w:rPr>
          <w:rFonts w:ascii="Arial" w:hAnsi="Arial" w:cs="Arial"/>
          <w:color w:val="auto"/>
        </w:rPr>
      </w:pPr>
      <w:r w:rsidRPr="00C23CE7">
        <w:rPr>
          <w:rFonts w:ascii="Arial" w:hAnsi="Arial" w:cs="Arial"/>
          <w:color w:val="auto"/>
        </w:rPr>
        <w:t xml:space="preserve">Users of the </w:t>
      </w:r>
      <w:r w:rsidR="004155E4" w:rsidRPr="00C23CE7">
        <w:rPr>
          <w:rFonts w:ascii="Arial" w:hAnsi="Arial" w:cs="Arial"/>
          <w:color w:val="auto"/>
        </w:rPr>
        <w:t>comparator</w:t>
      </w:r>
      <w:r w:rsidRPr="00C23CE7">
        <w:rPr>
          <w:rFonts w:ascii="Arial" w:hAnsi="Arial" w:cs="Arial"/>
          <w:color w:val="auto"/>
        </w:rPr>
        <w:t>s should be aware of the following parameters:</w:t>
      </w:r>
    </w:p>
    <w:p w14:paraId="4B921EE5" w14:textId="77777777" w:rsidR="0036546F" w:rsidRPr="00C23CE7" w:rsidRDefault="0036546F" w:rsidP="0036546F">
      <w:pPr>
        <w:rPr>
          <w:rFonts w:ascii="Arial" w:hAnsi="Arial" w:cs="Arial"/>
          <w:color w:val="auto"/>
        </w:rPr>
      </w:pPr>
      <w:r w:rsidRPr="00C23CE7">
        <w:rPr>
          <w:rFonts w:ascii="Arial" w:hAnsi="Arial" w:cs="Arial"/>
          <w:color w:val="auto"/>
        </w:rPr>
        <w:t xml:space="preserve">The data - </w:t>
      </w:r>
    </w:p>
    <w:p w14:paraId="13CE2D71" w14:textId="093D01F3" w:rsidR="0036546F" w:rsidRPr="00C23CE7" w:rsidRDefault="004155E4" w:rsidP="0036546F">
      <w:pPr>
        <w:pStyle w:val="ListParagraph"/>
        <w:numPr>
          <w:ilvl w:val="0"/>
          <w:numId w:val="2"/>
        </w:numPr>
        <w:rPr>
          <w:rFonts w:ascii="Arial" w:hAnsi="Arial" w:cs="Arial"/>
        </w:rPr>
      </w:pPr>
      <w:r w:rsidRPr="00C23CE7">
        <w:rPr>
          <w:rFonts w:ascii="Arial" w:hAnsi="Arial" w:cs="Arial"/>
        </w:rPr>
        <w:t>Includes all FP10 prescribing by all NHS organisations, which is dispensed in the community</w:t>
      </w:r>
    </w:p>
    <w:p w14:paraId="67B210A7" w14:textId="77777777" w:rsidR="0036546F" w:rsidRPr="00C23CE7" w:rsidRDefault="0036546F" w:rsidP="0036546F">
      <w:pPr>
        <w:pStyle w:val="ListParagraph"/>
        <w:numPr>
          <w:ilvl w:val="0"/>
          <w:numId w:val="2"/>
        </w:numPr>
        <w:rPr>
          <w:rFonts w:ascii="Arial" w:hAnsi="Arial" w:cs="Arial"/>
        </w:rPr>
      </w:pPr>
      <w:r w:rsidRPr="00C23CE7">
        <w:rPr>
          <w:rFonts w:ascii="Arial" w:hAnsi="Arial" w:cs="Arial"/>
        </w:rPr>
        <w:t>Does not include items prescribed privately.</w:t>
      </w:r>
    </w:p>
    <w:p w14:paraId="3535D73F" w14:textId="0EB0867F" w:rsidR="0036546F" w:rsidRPr="00C23CE7" w:rsidRDefault="00FD797D" w:rsidP="0036546F">
      <w:pPr>
        <w:pStyle w:val="ListParagraph"/>
        <w:numPr>
          <w:ilvl w:val="0"/>
          <w:numId w:val="2"/>
        </w:numPr>
        <w:rPr>
          <w:rFonts w:ascii="Arial" w:hAnsi="Arial" w:cs="Arial"/>
        </w:rPr>
      </w:pPr>
      <w:r w:rsidRPr="00C23CE7">
        <w:rPr>
          <w:rFonts w:ascii="Arial" w:hAnsi="Arial" w:cs="Arial"/>
        </w:rPr>
        <w:t xml:space="preserve">Includes </w:t>
      </w:r>
      <w:r w:rsidR="0036546F" w:rsidRPr="00C23CE7">
        <w:rPr>
          <w:rFonts w:ascii="Arial" w:hAnsi="Arial" w:cs="Arial"/>
        </w:rPr>
        <w:t xml:space="preserve">medicines </w:t>
      </w:r>
      <w:r w:rsidRPr="00C23CE7">
        <w:rPr>
          <w:rFonts w:ascii="Arial" w:hAnsi="Arial" w:cs="Arial"/>
        </w:rPr>
        <w:t>prescribed on FP10</w:t>
      </w:r>
      <w:r w:rsidR="00B06D88" w:rsidRPr="00C23CE7">
        <w:rPr>
          <w:rFonts w:ascii="Arial" w:hAnsi="Arial" w:cs="Arial"/>
        </w:rPr>
        <w:t xml:space="preserve"> by NHS community </w:t>
      </w:r>
      <w:r w:rsidR="00C23CE7" w:rsidRPr="00C23CE7">
        <w:rPr>
          <w:rFonts w:ascii="Arial" w:hAnsi="Arial" w:cs="Arial"/>
        </w:rPr>
        <w:t>providers</w:t>
      </w:r>
      <w:r w:rsidRPr="00C23CE7">
        <w:rPr>
          <w:rFonts w:ascii="Arial" w:hAnsi="Arial" w:cs="Arial"/>
        </w:rPr>
        <w:t xml:space="preserve">, but excludes medicines </w:t>
      </w:r>
      <w:r w:rsidR="0036546F" w:rsidRPr="00C23CE7">
        <w:rPr>
          <w:rFonts w:ascii="Arial" w:hAnsi="Arial" w:cs="Arial"/>
        </w:rPr>
        <w:t>supplied.</w:t>
      </w:r>
    </w:p>
    <w:p w14:paraId="23339EE6" w14:textId="33A5AA5A" w:rsidR="00ED3E58" w:rsidRPr="00C23CE7" w:rsidRDefault="00A76C86" w:rsidP="0036546F">
      <w:pPr>
        <w:pStyle w:val="ListParagraph"/>
        <w:numPr>
          <w:ilvl w:val="0"/>
          <w:numId w:val="2"/>
        </w:numPr>
        <w:rPr>
          <w:rFonts w:ascii="Arial" w:hAnsi="Arial" w:cs="Arial"/>
        </w:rPr>
      </w:pPr>
      <w:r>
        <w:rPr>
          <w:rFonts w:ascii="Arial" w:hAnsi="Arial" w:cs="Arial"/>
        </w:rPr>
        <w:t>I</w:t>
      </w:r>
      <w:r w:rsidR="00ED3E58" w:rsidRPr="00C23CE7">
        <w:rPr>
          <w:rFonts w:ascii="Arial" w:hAnsi="Arial" w:cs="Arial"/>
        </w:rPr>
        <w:t>nclude</w:t>
      </w:r>
      <w:r>
        <w:rPr>
          <w:rFonts w:ascii="Arial" w:hAnsi="Arial" w:cs="Arial"/>
        </w:rPr>
        <w:t>s</w:t>
      </w:r>
      <w:r w:rsidR="00ED3E58" w:rsidRPr="00C23CE7">
        <w:rPr>
          <w:rFonts w:ascii="Arial" w:hAnsi="Arial" w:cs="Arial"/>
        </w:rPr>
        <w:t xml:space="preserve"> medicines supplied under </w:t>
      </w:r>
      <w:r w:rsidR="005F0CFF" w:rsidRPr="00C23CE7">
        <w:rPr>
          <w:rFonts w:ascii="Arial" w:hAnsi="Arial" w:cs="Arial"/>
        </w:rPr>
        <w:t xml:space="preserve">Pharmacy First </w:t>
      </w:r>
      <w:r>
        <w:rPr>
          <w:rFonts w:ascii="Arial" w:hAnsi="Arial" w:cs="Arial"/>
        </w:rPr>
        <w:t xml:space="preserve">Patient Group Direction, for supply of nitrofurantoin </w:t>
      </w:r>
      <w:r w:rsidR="006A3218">
        <w:rPr>
          <w:rFonts w:ascii="Arial" w:hAnsi="Arial" w:cs="Arial"/>
        </w:rPr>
        <w:t>to women aged 16-64</w:t>
      </w:r>
      <w:r w:rsidR="00B4382A" w:rsidRPr="00C23CE7">
        <w:rPr>
          <w:rFonts w:ascii="Arial" w:hAnsi="Arial" w:cs="Arial"/>
        </w:rPr>
        <w:t>.</w:t>
      </w:r>
    </w:p>
    <w:p w14:paraId="6D8F5A09" w14:textId="077C4F3E" w:rsidR="0036546F" w:rsidRPr="00C23CE7" w:rsidRDefault="00F72CA1" w:rsidP="0036546F">
      <w:pPr>
        <w:pStyle w:val="ListParagraph"/>
        <w:numPr>
          <w:ilvl w:val="0"/>
          <w:numId w:val="2"/>
        </w:numPr>
        <w:rPr>
          <w:rFonts w:ascii="Arial" w:hAnsi="Arial" w:cs="Arial"/>
        </w:rPr>
      </w:pPr>
      <w:r w:rsidRPr="00F72CA1">
        <w:rPr>
          <w:rFonts w:ascii="Arial" w:hAnsi="Arial" w:cs="Arial"/>
        </w:rPr>
        <w:t>Excludes FP10 items where the patient NHS number and age could not be identified</w:t>
      </w:r>
      <w:r w:rsidR="0036546F" w:rsidRPr="00C23CE7">
        <w:rPr>
          <w:rFonts w:ascii="Arial" w:hAnsi="Arial" w:cs="Arial"/>
        </w:rPr>
        <w:t>.</w:t>
      </w:r>
    </w:p>
    <w:p w14:paraId="2F7DF66B" w14:textId="5D2D1B32" w:rsidR="0036546F" w:rsidRPr="00C23CE7" w:rsidRDefault="0036546F" w:rsidP="0036546F">
      <w:pPr>
        <w:rPr>
          <w:rFonts w:ascii="Arial" w:hAnsi="Arial" w:cs="Arial"/>
          <w:color w:val="auto"/>
        </w:rPr>
      </w:pPr>
      <w:r w:rsidRPr="00C23CE7">
        <w:rPr>
          <w:rFonts w:ascii="Arial" w:hAnsi="Arial" w:cs="Arial"/>
          <w:color w:val="auto"/>
        </w:rPr>
        <w:t xml:space="preserve">Each </w:t>
      </w:r>
      <w:r w:rsidR="007B54BF" w:rsidRPr="00C23CE7">
        <w:rPr>
          <w:rFonts w:ascii="Arial" w:hAnsi="Arial" w:cs="Arial"/>
          <w:color w:val="auto"/>
        </w:rPr>
        <w:t>comparator</w:t>
      </w:r>
      <w:r w:rsidRPr="00C23CE7">
        <w:rPr>
          <w:rFonts w:ascii="Arial" w:hAnsi="Arial" w:cs="Arial"/>
          <w:color w:val="auto"/>
        </w:rPr>
        <w:t xml:space="preserve"> is derived </w:t>
      </w:r>
      <w:r w:rsidR="00B4382A" w:rsidRPr="00C23CE7">
        <w:rPr>
          <w:rFonts w:ascii="Arial" w:hAnsi="Arial" w:cs="Arial"/>
          <w:color w:val="auto"/>
        </w:rPr>
        <w:t>from</w:t>
      </w:r>
      <w:r w:rsidRPr="00C23CE7">
        <w:rPr>
          <w:rFonts w:ascii="Arial" w:hAnsi="Arial" w:cs="Arial"/>
          <w:color w:val="auto"/>
        </w:rPr>
        <w:t xml:space="preserve"> dispensing data </w:t>
      </w:r>
      <w:r w:rsidR="00933193" w:rsidRPr="00C23CE7">
        <w:rPr>
          <w:rFonts w:ascii="Arial" w:hAnsi="Arial" w:cs="Arial"/>
          <w:color w:val="auto"/>
        </w:rPr>
        <w:t xml:space="preserve">which is compiled </w:t>
      </w:r>
      <w:r w:rsidRPr="00C23CE7">
        <w:rPr>
          <w:rFonts w:ascii="Arial" w:hAnsi="Arial" w:cs="Arial"/>
          <w:color w:val="auto"/>
        </w:rPr>
        <w:t xml:space="preserve">by month, with </w:t>
      </w:r>
      <w:r w:rsidR="00933193" w:rsidRPr="00C23CE7">
        <w:rPr>
          <w:rFonts w:ascii="Arial" w:hAnsi="Arial" w:cs="Arial"/>
          <w:color w:val="auto"/>
        </w:rPr>
        <w:t xml:space="preserve">monthly </w:t>
      </w:r>
      <w:r w:rsidRPr="00C23CE7">
        <w:rPr>
          <w:rFonts w:ascii="Arial" w:hAnsi="Arial" w:cs="Arial"/>
          <w:color w:val="auto"/>
        </w:rPr>
        <w:t xml:space="preserve">totals aggregated to longer rolling time periods (see the </w:t>
      </w:r>
      <w:r w:rsidR="004155E4" w:rsidRPr="00C23CE7">
        <w:rPr>
          <w:rFonts w:ascii="Arial" w:hAnsi="Arial" w:cs="Arial"/>
          <w:color w:val="auto"/>
        </w:rPr>
        <w:t>Comparator</w:t>
      </w:r>
      <w:r w:rsidRPr="00C23CE7">
        <w:rPr>
          <w:rFonts w:ascii="Arial" w:hAnsi="Arial" w:cs="Arial"/>
          <w:color w:val="auto"/>
        </w:rPr>
        <w:t xml:space="preserve"> Specifications section for more details). </w:t>
      </w:r>
    </w:p>
    <w:p w14:paraId="0E63371F" w14:textId="6970544C" w:rsidR="0036546F" w:rsidRPr="00C23CE7" w:rsidRDefault="0036546F" w:rsidP="0036546F">
      <w:pPr>
        <w:rPr>
          <w:rFonts w:ascii="Arial" w:hAnsi="Arial" w:cs="Arial"/>
          <w:color w:val="auto"/>
        </w:rPr>
      </w:pPr>
      <w:r w:rsidRPr="00C23CE7">
        <w:rPr>
          <w:rFonts w:ascii="Arial" w:hAnsi="Arial" w:cs="Arial"/>
          <w:color w:val="auto"/>
        </w:rPr>
        <w:t xml:space="preserve">Historic data is </w:t>
      </w:r>
      <w:r w:rsidR="007B54BF" w:rsidRPr="00C23CE7">
        <w:rPr>
          <w:rFonts w:ascii="Arial" w:hAnsi="Arial" w:cs="Arial"/>
          <w:color w:val="auto"/>
        </w:rPr>
        <w:t xml:space="preserve">included </w:t>
      </w:r>
      <w:r w:rsidRPr="00C23CE7">
        <w:rPr>
          <w:rFonts w:ascii="Arial" w:hAnsi="Arial" w:cs="Arial"/>
          <w:color w:val="auto"/>
        </w:rPr>
        <w:t xml:space="preserve">to allow </w:t>
      </w:r>
      <w:r w:rsidR="00AE2CC1" w:rsidRPr="00C23CE7">
        <w:rPr>
          <w:rFonts w:ascii="Arial" w:hAnsi="Arial" w:cs="Arial"/>
          <w:color w:val="auto"/>
        </w:rPr>
        <w:t>users</w:t>
      </w:r>
      <w:r w:rsidRPr="00C23CE7">
        <w:rPr>
          <w:rFonts w:ascii="Arial" w:hAnsi="Arial" w:cs="Arial"/>
          <w:color w:val="auto"/>
        </w:rPr>
        <w:t xml:space="preserve"> to </w:t>
      </w:r>
      <w:r w:rsidR="007B54BF" w:rsidRPr="00C23CE7">
        <w:rPr>
          <w:rFonts w:ascii="Arial" w:hAnsi="Arial" w:cs="Arial"/>
          <w:color w:val="auto"/>
        </w:rPr>
        <w:t>monitor population exposure to antibiotics and continence devices over time</w:t>
      </w:r>
    </w:p>
    <w:p w14:paraId="29C0A869" w14:textId="5C733059" w:rsidR="00FC131D" w:rsidRPr="00C23CE7" w:rsidRDefault="007B54BF" w:rsidP="0036546F">
      <w:pPr>
        <w:rPr>
          <w:rFonts w:ascii="Arial" w:hAnsi="Arial" w:cs="Arial"/>
          <w:color w:val="auto"/>
        </w:rPr>
      </w:pPr>
      <w:r w:rsidRPr="00C23CE7">
        <w:rPr>
          <w:rFonts w:ascii="Arial" w:hAnsi="Arial" w:cs="Arial"/>
          <w:color w:val="auto"/>
        </w:rPr>
        <w:t>Five</w:t>
      </w:r>
      <w:r w:rsidR="00FC131D" w:rsidRPr="00C23CE7">
        <w:rPr>
          <w:rFonts w:ascii="Arial" w:hAnsi="Arial" w:cs="Arial"/>
          <w:color w:val="auto"/>
        </w:rPr>
        <w:t xml:space="preserve"> </w:t>
      </w:r>
      <w:r w:rsidRPr="00C23CE7">
        <w:rPr>
          <w:rFonts w:ascii="Arial" w:hAnsi="Arial" w:cs="Arial"/>
          <w:color w:val="auto"/>
        </w:rPr>
        <w:t>comparators report</w:t>
      </w:r>
      <w:r w:rsidR="00FC131D" w:rsidRPr="00C23CE7">
        <w:rPr>
          <w:rFonts w:ascii="Arial" w:hAnsi="Arial" w:cs="Arial"/>
          <w:color w:val="auto"/>
        </w:rPr>
        <w:t xml:space="preserve"> at GP practice/cost centre, PCN, </w:t>
      </w:r>
      <w:r w:rsidR="00D66921" w:rsidRPr="00C23CE7">
        <w:rPr>
          <w:rFonts w:ascii="Arial" w:hAnsi="Arial" w:cs="Arial"/>
          <w:color w:val="auto"/>
        </w:rPr>
        <w:t>SICBL</w:t>
      </w:r>
      <w:r w:rsidR="00D821CA" w:rsidRPr="00C23CE7">
        <w:rPr>
          <w:rFonts w:ascii="Arial" w:hAnsi="Arial" w:cs="Arial"/>
          <w:color w:val="auto"/>
        </w:rPr>
        <w:t>, ICB, NHS Region and national (England) levels.</w:t>
      </w:r>
      <w:r w:rsidRPr="00C23CE7">
        <w:rPr>
          <w:rFonts w:ascii="Arial" w:hAnsi="Arial" w:cs="Arial"/>
          <w:color w:val="auto"/>
        </w:rPr>
        <w:t xml:space="preserve"> One comparator reports at </w:t>
      </w:r>
      <w:r w:rsidR="00FD797D" w:rsidRPr="00C23CE7">
        <w:rPr>
          <w:rFonts w:ascii="Arial" w:hAnsi="Arial" w:cs="Arial"/>
          <w:color w:val="auto"/>
        </w:rPr>
        <w:t xml:space="preserve">SICBL, </w:t>
      </w:r>
      <w:r w:rsidRPr="00C23CE7">
        <w:rPr>
          <w:rFonts w:ascii="Arial" w:hAnsi="Arial" w:cs="Arial"/>
          <w:color w:val="auto"/>
        </w:rPr>
        <w:t>ICB, NHS Region and national (England) level only.</w:t>
      </w:r>
    </w:p>
    <w:p w14:paraId="4F3533E8" w14:textId="4F613C59" w:rsidR="005C4CE9" w:rsidRPr="00C23CE7" w:rsidRDefault="005C4CE9" w:rsidP="005C4CE9">
      <w:pPr>
        <w:pStyle w:val="Heading1"/>
      </w:pPr>
      <w:bookmarkStart w:id="8" w:name="_Toc180492653"/>
      <w:r w:rsidRPr="00C23CE7">
        <w:t>Patient identifiable data completeness</w:t>
      </w:r>
      <w:bookmarkEnd w:id="8"/>
    </w:p>
    <w:p w14:paraId="345CCD7E" w14:textId="77777777" w:rsidR="005C4CE9" w:rsidRPr="00C23CE7" w:rsidRDefault="005C4CE9" w:rsidP="0036546F">
      <w:pPr>
        <w:rPr>
          <w:rFonts w:ascii="Arial" w:hAnsi="Arial" w:cs="Arial"/>
          <w:color w:val="auto"/>
        </w:rPr>
      </w:pPr>
    </w:p>
    <w:p w14:paraId="2FB1B173" w14:textId="244CE0E7" w:rsidR="005C4CE9" w:rsidRPr="00C23CE7" w:rsidRDefault="005C4CE9" w:rsidP="0036546F">
      <w:pPr>
        <w:rPr>
          <w:rFonts w:ascii="Arial" w:hAnsi="Arial" w:cs="Arial"/>
          <w:color w:val="auto"/>
        </w:rPr>
      </w:pPr>
      <w:r w:rsidRPr="00C23CE7">
        <w:rPr>
          <w:rFonts w:ascii="Arial" w:hAnsi="Arial" w:cs="Arial"/>
          <w:color w:val="auto"/>
        </w:rPr>
        <w:t xml:space="preserve">The data in this dashboard does not include any activity related to patients who could not be identified by means of a valid NHS number on the prescription form.  </w:t>
      </w:r>
    </w:p>
    <w:p w14:paraId="41745FE5" w14:textId="704AB904" w:rsidR="005C4CE9" w:rsidRPr="00C23CE7" w:rsidRDefault="005C4CE9" w:rsidP="0036546F">
      <w:pPr>
        <w:rPr>
          <w:rFonts w:ascii="Arial" w:hAnsi="Arial" w:cs="Arial"/>
          <w:color w:val="auto"/>
        </w:rPr>
      </w:pPr>
      <w:r w:rsidRPr="00C23CE7">
        <w:rPr>
          <w:rFonts w:ascii="Arial" w:hAnsi="Arial" w:cs="Arial"/>
          <w:color w:val="auto"/>
        </w:rPr>
        <w:t xml:space="preserve">For prescribing of the antibiotic medicines included in this dashboard, 97.9% of prescription items were linked to an identifiable patient in the 12 months from September 2023 to August 2024.  Of the remaining unidentified items, </w:t>
      </w:r>
      <w:r w:rsidR="0053396D" w:rsidRPr="00C23CE7">
        <w:rPr>
          <w:rFonts w:ascii="Arial" w:hAnsi="Arial" w:cs="Arial"/>
          <w:color w:val="auto"/>
        </w:rPr>
        <w:t>34.6% were prescribed in GP practices/cost centres, 33.7% in hospital settings (dispensed in the community), with a further 24.9% prescribed in walk-in centres, out-of-hours services, community health service organisations, or in urgent and emergency care settings.</w:t>
      </w:r>
    </w:p>
    <w:p w14:paraId="5CE712BD" w14:textId="37875DC7" w:rsidR="0053396D" w:rsidRPr="00C23CE7" w:rsidRDefault="0053396D" w:rsidP="0036546F">
      <w:pPr>
        <w:rPr>
          <w:rFonts w:ascii="Arial" w:hAnsi="Arial" w:cs="Arial"/>
          <w:color w:val="auto"/>
        </w:rPr>
      </w:pPr>
      <w:r w:rsidRPr="00C23CE7">
        <w:rPr>
          <w:rFonts w:ascii="Arial" w:hAnsi="Arial" w:cs="Arial"/>
          <w:color w:val="auto"/>
        </w:rPr>
        <w:t xml:space="preserve">Information on patient data completeness for prescribing of continence devices can be found in </w:t>
      </w:r>
      <w:hyperlink w:anchor="_Appendix_3:_Data" w:history="1">
        <w:r w:rsidRPr="00C23CE7">
          <w:rPr>
            <w:rStyle w:val="Hyperlink"/>
            <w:rFonts w:ascii="Arial" w:hAnsi="Arial" w:cs="Arial"/>
          </w:rPr>
          <w:t>Appendix 3: Data completeness for continence devices</w:t>
        </w:r>
      </w:hyperlink>
      <w:r w:rsidRPr="00C23CE7">
        <w:rPr>
          <w:rFonts w:ascii="Arial" w:hAnsi="Arial" w:cs="Arial"/>
          <w:color w:val="auto"/>
        </w:rPr>
        <w:t>.</w:t>
      </w:r>
    </w:p>
    <w:p w14:paraId="1656C6A5" w14:textId="410D551F" w:rsidR="00221E82" w:rsidRPr="00C23CE7" w:rsidRDefault="00221E82">
      <w:pPr>
        <w:rPr>
          <w:i/>
          <w:iCs/>
        </w:rPr>
      </w:pPr>
      <w:r w:rsidRPr="00C23CE7">
        <w:rPr>
          <w:i/>
          <w:iCs/>
        </w:rPr>
        <w:br w:type="page"/>
      </w:r>
    </w:p>
    <w:p w14:paraId="7DA57006" w14:textId="148A3D1A" w:rsidR="00C75FA5" w:rsidRPr="00C23CE7" w:rsidRDefault="00C75FA5" w:rsidP="003C251E">
      <w:pPr>
        <w:pStyle w:val="Heading1"/>
        <w:rPr>
          <w:color w:val="auto"/>
        </w:rPr>
      </w:pPr>
      <w:bookmarkStart w:id="9" w:name="_Toc180492654"/>
      <w:r w:rsidRPr="00C23CE7">
        <w:rPr>
          <w:color w:val="auto"/>
        </w:rPr>
        <w:lastRenderedPageBreak/>
        <w:t>Age bands</w:t>
      </w:r>
      <w:bookmarkEnd w:id="9"/>
    </w:p>
    <w:p w14:paraId="10B3677A" w14:textId="77777777" w:rsidR="003C251E" w:rsidRPr="00C23CE7" w:rsidRDefault="003C251E" w:rsidP="003C251E">
      <w:pPr>
        <w:spacing w:after="0"/>
        <w:rPr>
          <w:color w:val="auto"/>
        </w:rPr>
      </w:pPr>
    </w:p>
    <w:p w14:paraId="4EC79615" w14:textId="111F1FEF" w:rsidR="00C75FA5" w:rsidRPr="00C23CE7" w:rsidRDefault="008E6447" w:rsidP="003C251E">
      <w:pPr>
        <w:spacing w:after="0"/>
        <w:rPr>
          <w:rFonts w:ascii="Arial" w:hAnsi="Arial" w:cs="Arial"/>
          <w:color w:val="auto"/>
        </w:rPr>
      </w:pPr>
      <w:r w:rsidRPr="00C23CE7">
        <w:rPr>
          <w:rFonts w:ascii="Arial" w:hAnsi="Arial" w:cs="Arial"/>
          <w:color w:val="auto"/>
        </w:rPr>
        <w:t xml:space="preserve">The data for each </w:t>
      </w:r>
      <w:r w:rsidR="004155E4" w:rsidRPr="00C23CE7">
        <w:rPr>
          <w:rFonts w:ascii="Arial" w:hAnsi="Arial" w:cs="Arial"/>
          <w:color w:val="auto"/>
        </w:rPr>
        <w:t>comparator</w:t>
      </w:r>
      <w:r w:rsidRPr="00C23CE7">
        <w:rPr>
          <w:rFonts w:ascii="Arial" w:hAnsi="Arial" w:cs="Arial"/>
          <w:color w:val="auto"/>
        </w:rPr>
        <w:t xml:space="preserve"> is </w:t>
      </w:r>
      <w:r w:rsidR="00BF6905" w:rsidRPr="00C23CE7">
        <w:rPr>
          <w:rFonts w:ascii="Arial" w:hAnsi="Arial" w:cs="Arial"/>
          <w:color w:val="auto"/>
        </w:rPr>
        <w:t xml:space="preserve">broken down into </w:t>
      </w:r>
      <w:r w:rsidR="00221E82" w:rsidRPr="00C23CE7">
        <w:rPr>
          <w:rFonts w:ascii="Arial" w:hAnsi="Arial" w:cs="Arial"/>
          <w:color w:val="auto"/>
        </w:rPr>
        <w:t>10</w:t>
      </w:r>
      <w:r w:rsidR="00BF6905" w:rsidRPr="00C23CE7">
        <w:rPr>
          <w:rFonts w:ascii="Arial" w:hAnsi="Arial" w:cs="Arial"/>
          <w:color w:val="auto"/>
        </w:rPr>
        <w:t>-year age bands</w:t>
      </w:r>
      <w:r w:rsidR="00D27DAC" w:rsidRPr="00C23CE7">
        <w:rPr>
          <w:rFonts w:ascii="Arial" w:hAnsi="Arial" w:cs="Arial"/>
          <w:color w:val="auto"/>
        </w:rPr>
        <w:t xml:space="preserve"> for patients aged between 0 and 79</w:t>
      </w:r>
      <w:r w:rsidR="00E4145A" w:rsidRPr="00C23CE7">
        <w:rPr>
          <w:rFonts w:ascii="Arial" w:hAnsi="Arial" w:cs="Arial"/>
          <w:color w:val="auto"/>
        </w:rPr>
        <w:t xml:space="preserve">, with patients aged 80 and over </w:t>
      </w:r>
      <w:r w:rsidR="00021069" w:rsidRPr="00C23CE7">
        <w:rPr>
          <w:rFonts w:ascii="Arial" w:hAnsi="Arial" w:cs="Arial"/>
          <w:color w:val="auto"/>
        </w:rPr>
        <w:t xml:space="preserve">combined into </w:t>
      </w:r>
      <w:r w:rsidR="00E4145A" w:rsidRPr="00C23CE7">
        <w:rPr>
          <w:rFonts w:ascii="Arial" w:hAnsi="Arial" w:cs="Arial"/>
          <w:color w:val="auto"/>
        </w:rPr>
        <w:t>a single age band</w:t>
      </w:r>
      <w:r w:rsidR="00A5500C" w:rsidRPr="00C23CE7">
        <w:rPr>
          <w:rFonts w:ascii="Arial" w:hAnsi="Arial" w:cs="Arial"/>
          <w:color w:val="auto"/>
        </w:rPr>
        <w:t xml:space="preserve">.  </w:t>
      </w:r>
      <w:r w:rsidR="007F3BCA" w:rsidRPr="00C23CE7">
        <w:rPr>
          <w:rFonts w:ascii="Arial" w:hAnsi="Arial" w:cs="Arial"/>
          <w:color w:val="auto"/>
        </w:rPr>
        <w:t xml:space="preserve">Multiple age bands can be selected </w:t>
      </w:r>
      <w:r w:rsidR="006F50AA" w:rsidRPr="00C23CE7">
        <w:rPr>
          <w:rFonts w:ascii="Arial" w:hAnsi="Arial" w:cs="Arial"/>
          <w:color w:val="auto"/>
        </w:rPr>
        <w:t xml:space="preserve">in the dashboard </w:t>
      </w:r>
      <w:r w:rsidR="007F3BCA" w:rsidRPr="00C23CE7">
        <w:rPr>
          <w:rFonts w:ascii="Arial" w:hAnsi="Arial" w:cs="Arial"/>
          <w:color w:val="auto"/>
        </w:rPr>
        <w:t xml:space="preserve">to build a broad </w:t>
      </w:r>
      <w:r w:rsidR="007D7C2F" w:rsidRPr="00C23CE7">
        <w:rPr>
          <w:rFonts w:ascii="Arial" w:hAnsi="Arial" w:cs="Arial"/>
          <w:color w:val="auto"/>
        </w:rPr>
        <w:t>patient cohort. The dashboard defaults to a selection of age bands 70-</w:t>
      </w:r>
      <w:r w:rsidR="00EB467D" w:rsidRPr="00C23CE7">
        <w:rPr>
          <w:rFonts w:ascii="Arial" w:hAnsi="Arial" w:cs="Arial"/>
          <w:color w:val="auto"/>
        </w:rPr>
        <w:t>79</w:t>
      </w:r>
      <w:r w:rsidR="007D7C2F" w:rsidRPr="00C23CE7">
        <w:rPr>
          <w:rFonts w:ascii="Arial" w:hAnsi="Arial" w:cs="Arial"/>
          <w:color w:val="auto"/>
        </w:rPr>
        <w:t xml:space="preserve"> and </w:t>
      </w:r>
      <w:r w:rsidR="00EB467D" w:rsidRPr="00C23CE7">
        <w:rPr>
          <w:rFonts w:ascii="Arial" w:hAnsi="Arial" w:cs="Arial"/>
          <w:color w:val="auto"/>
        </w:rPr>
        <w:t>80+</w:t>
      </w:r>
      <w:r w:rsidR="007D7C2F" w:rsidRPr="00C23CE7">
        <w:rPr>
          <w:rFonts w:ascii="Arial" w:hAnsi="Arial" w:cs="Arial"/>
          <w:color w:val="auto"/>
        </w:rPr>
        <w:t>.</w:t>
      </w:r>
    </w:p>
    <w:p w14:paraId="6ACBDF8D" w14:textId="77777777" w:rsidR="00A5500C" w:rsidRPr="00C23CE7" w:rsidRDefault="00A5500C" w:rsidP="003C251E">
      <w:pPr>
        <w:spacing w:after="0"/>
        <w:rPr>
          <w:rFonts w:ascii="Arial" w:hAnsi="Arial" w:cs="Arial"/>
          <w:color w:val="auto"/>
        </w:rPr>
      </w:pPr>
    </w:p>
    <w:p w14:paraId="3CECDB01" w14:textId="02EABF4C" w:rsidR="00601532" w:rsidRPr="00C23CE7" w:rsidRDefault="0008087F" w:rsidP="0008087F">
      <w:pPr>
        <w:spacing w:after="0"/>
        <w:rPr>
          <w:rFonts w:ascii="Arial" w:hAnsi="Arial" w:cs="Arial"/>
          <w:color w:val="auto"/>
        </w:rPr>
      </w:pPr>
      <w:r w:rsidRPr="00C23CE7">
        <w:rPr>
          <w:rFonts w:ascii="Arial" w:hAnsi="Arial" w:cs="Arial"/>
          <w:color w:val="auto"/>
        </w:rPr>
        <w:t xml:space="preserve">Age bands are derived from the calculated age held for a patient in the latest month of dispensing data, and applied back to all previous months in the </w:t>
      </w:r>
      <w:r w:rsidR="004155E4" w:rsidRPr="00C23CE7">
        <w:rPr>
          <w:rFonts w:ascii="Arial" w:hAnsi="Arial" w:cs="Arial"/>
          <w:color w:val="auto"/>
        </w:rPr>
        <w:t>comparator</w:t>
      </w:r>
      <w:r w:rsidRPr="00C23CE7">
        <w:rPr>
          <w:rFonts w:ascii="Arial" w:hAnsi="Arial" w:cs="Arial"/>
          <w:color w:val="auto"/>
        </w:rPr>
        <w:t>. This means that some patients may appear in an age band for historic periods that did not reflect their age at that point in time</w:t>
      </w:r>
      <w:r w:rsidR="003F1520" w:rsidRPr="00C23CE7">
        <w:rPr>
          <w:rFonts w:ascii="Arial" w:hAnsi="Arial" w:cs="Arial"/>
          <w:color w:val="auto"/>
        </w:rPr>
        <w:t xml:space="preserve">.  </w:t>
      </w:r>
    </w:p>
    <w:p w14:paraId="74FEB4DD" w14:textId="77777777" w:rsidR="00601532" w:rsidRPr="00C23CE7" w:rsidRDefault="00601532" w:rsidP="0008087F">
      <w:pPr>
        <w:spacing w:after="0"/>
        <w:rPr>
          <w:rFonts w:ascii="Arial" w:hAnsi="Arial" w:cs="Arial"/>
          <w:color w:val="auto"/>
        </w:rPr>
      </w:pPr>
    </w:p>
    <w:p w14:paraId="02D803C7" w14:textId="69B8C924" w:rsidR="0008087F" w:rsidRPr="00C23CE7" w:rsidRDefault="003F1520" w:rsidP="0008087F">
      <w:pPr>
        <w:spacing w:after="0"/>
        <w:rPr>
          <w:rFonts w:ascii="Arial" w:hAnsi="Arial" w:cs="Arial"/>
          <w:color w:val="auto"/>
        </w:rPr>
      </w:pPr>
      <w:r w:rsidRPr="00C23CE7">
        <w:rPr>
          <w:rFonts w:ascii="Arial" w:hAnsi="Arial" w:cs="Arial"/>
          <w:color w:val="auto"/>
        </w:rPr>
        <w:t xml:space="preserve">For example, a patient aged 70 in </w:t>
      </w:r>
      <w:r w:rsidR="00601532" w:rsidRPr="00C23CE7">
        <w:rPr>
          <w:rFonts w:ascii="Arial" w:hAnsi="Arial" w:cs="Arial"/>
          <w:color w:val="auto"/>
        </w:rPr>
        <w:t>a given month</w:t>
      </w:r>
      <w:r w:rsidRPr="00C23CE7">
        <w:rPr>
          <w:rFonts w:ascii="Arial" w:hAnsi="Arial" w:cs="Arial"/>
          <w:color w:val="auto"/>
        </w:rPr>
        <w:t xml:space="preserve"> will appear in the 70-79 age band for all </w:t>
      </w:r>
      <w:r w:rsidR="00601532" w:rsidRPr="00C23CE7">
        <w:rPr>
          <w:rFonts w:ascii="Arial" w:hAnsi="Arial" w:cs="Arial"/>
          <w:color w:val="auto"/>
        </w:rPr>
        <w:t>previous</w:t>
      </w:r>
      <w:r w:rsidRPr="00C23CE7">
        <w:rPr>
          <w:rFonts w:ascii="Arial" w:hAnsi="Arial" w:cs="Arial"/>
          <w:color w:val="auto"/>
        </w:rPr>
        <w:t xml:space="preserve"> </w:t>
      </w:r>
      <w:r w:rsidR="00601532" w:rsidRPr="00C23CE7">
        <w:rPr>
          <w:rFonts w:ascii="Arial" w:hAnsi="Arial" w:cs="Arial"/>
          <w:color w:val="auto"/>
        </w:rPr>
        <w:t>months</w:t>
      </w:r>
      <w:r w:rsidR="00F04ECF" w:rsidRPr="00C23CE7">
        <w:rPr>
          <w:rFonts w:ascii="Arial" w:hAnsi="Arial" w:cs="Arial"/>
          <w:color w:val="auto"/>
        </w:rPr>
        <w:t>, even if their historic age at the point of dispensing would have allocated them to the 60-69 age band</w:t>
      </w:r>
      <w:r w:rsidR="00FD688B" w:rsidRPr="00C23CE7">
        <w:rPr>
          <w:rFonts w:ascii="Arial" w:hAnsi="Arial" w:cs="Arial"/>
          <w:color w:val="auto"/>
        </w:rPr>
        <w:t xml:space="preserve"> in an earlier month</w:t>
      </w:r>
      <w:r w:rsidR="00F04ECF" w:rsidRPr="00C23CE7">
        <w:rPr>
          <w:rFonts w:ascii="Arial" w:hAnsi="Arial" w:cs="Arial"/>
          <w:color w:val="auto"/>
        </w:rPr>
        <w:t>.</w:t>
      </w:r>
    </w:p>
    <w:p w14:paraId="29BC7476" w14:textId="4A7C7EFF" w:rsidR="000009B1" w:rsidRPr="00C23CE7" w:rsidRDefault="000009B1" w:rsidP="000009B1">
      <w:pPr>
        <w:pStyle w:val="Heading1"/>
        <w:rPr>
          <w:color w:val="auto"/>
        </w:rPr>
      </w:pPr>
      <w:bookmarkStart w:id="10" w:name="_Toc180492655"/>
      <w:r w:rsidRPr="00C23CE7">
        <w:rPr>
          <w:color w:val="auto"/>
        </w:rPr>
        <w:t>Gender</w:t>
      </w:r>
      <w:bookmarkEnd w:id="10"/>
    </w:p>
    <w:p w14:paraId="3DCC8F69" w14:textId="77777777" w:rsidR="000009B1" w:rsidRPr="00C23CE7" w:rsidRDefault="000009B1" w:rsidP="000009B1">
      <w:pPr>
        <w:spacing w:after="0"/>
        <w:rPr>
          <w:color w:val="auto"/>
        </w:rPr>
      </w:pPr>
    </w:p>
    <w:p w14:paraId="54838420" w14:textId="201D54B6" w:rsidR="00E71615" w:rsidRPr="00C23CE7" w:rsidRDefault="000009B1" w:rsidP="000009B1">
      <w:pPr>
        <w:spacing w:after="0"/>
        <w:rPr>
          <w:rFonts w:ascii="Arial" w:hAnsi="Arial" w:cs="Arial"/>
          <w:color w:val="auto"/>
        </w:rPr>
      </w:pPr>
      <w:r w:rsidRPr="00C23CE7">
        <w:rPr>
          <w:rFonts w:ascii="Arial" w:hAnsi="Arial" w:cs="Arial"/>
          <w:color w:val="auto"/>
        </w:rPr>
        <w:t xml:space="preserve">The data for each </w:t>
      </w:r>
      <w:r w:rsidR="004155E4" w:rsidRPr="00C23CE7">
        <w:rPr>
          <w:rFonts w:ascii="Arial" w:hAnsi="Arial" w:cs="Arial"/>
          <w:color w:val="auto"/>
        </w:rPr>
        <w:t>comparator</w:t>
      </w:r>
      <w:r w:rsidRPr="00C23CE7">
        <w:rPr>
          <w:rFonts w:ascii="Arial" w:hAnsi="Arial" w:cs="Arial"/>
          <w:color w:val="auto"/>
        </w:rPr>
        <w:t xml:space="preserve"> can also be </w:t>
      </w:r>
      <w:r w:rsidR="00E71615" w:rsidRPr="00C23CE7">
        <w:rPr>
          <w:rFonts w:ascii="Arial" w:hAnsi="Arial" w:cs="Arial"/>
          <w:color w:val="auto"/>
        </w:rPr>
        <w:t>reported by</w:t>
      </w:r>
      <w:r w:rsidRPr="00C23CE7">
        <w:rPr>
          <w:rFonts w:ascii="Arial" w:hAnsi="Arial" w:cs="Arial"/>
          <w:color w:val="auto"/>
        </w:rPr>
        <w:t xml:space="preserve"> patient gender</w:t>
      </w:r>
      <w:r w:rsidR="007B11A9" w:rsidRPr="00C23CE7">
        <w:rPr>
          <w:rFonts w:ascii="Arial" w:hAnsi="Arial" w:cs="Arial"/>
          <w:color w:val="auto"/>
        </w:rPr>
        <w:t xml:space="preserve">, </w:t>
      </w:r>
      <w:r w:rsidR="00E71615" w:rsidRPr="00C23CE7">
        <w:rPr>
          <w:rFonts w:ascii="Arial" w:hAnsi="Arial" w:cs="Arial"/>
          <w:color w:val="auto"/>
        </w:rPr>
        <w:t xml:space="preserve">using the latest patient gender information held by the NHSBSA Information Services data warehouse at the time that the data was extracted. This uses information from either the most recent Electronic Prescription Service (EPS) message or from the last time that NHSBSA received data about the patient's gender from NHS Personal Demographics Service. </w:t>
      </w:r>
    </w:p>
    <w:p w14:paraId="7FA5116C" w14:textId="77777777" w:rsidR="00E71615" w:rsidRPr="00C23CE7" w:rsidRDefault="00E71615" w:rsidP="000009B1">
      <w:pPr>
        <w:spacing w:after="0"/>
        <w:rPr>
          <w:rFonts w:ascii="Arial" w:hAnsi="Arial" w:cs="Arial"/>
          <w:color w:val="auto"/>
        </w:rPr>
      </w:pPr>
    </w:p>
    <w:p w14:paraId="6AB2E2FD" w14:textId="4987013A" w:rsidR="004416F7" w:rsidRPr="00C23CE7" w:rsidRDefault="00A0316F" w:rsidP="0036546F">
      <w:pPr>
        <w:spacing w:after="0"/>
        <w:rPr>
          <w:rFonts w:ascii="Arial" w:eastAsia="Arial" w:hAnsi="Arial" w:cs="Arial"/>
          <w:b/>
          <w:color w:val="auto"/>
          <w:sz w:val="24"/>
          <w:szCs w:val="24"/>
        </w:rPr>
      </w:pPr>
      <w:r w:rsidRPr="00C23CE7">
        <w:rPr>
          <w:rFonts w:ascii="Arial" w:hAnsi="Arial" w:cs="Arial"/>
          <w:color w:val="auto"/>
        </w:rPr>
        <w:t xml:space="preserve">Only patients with gender recorded as male or female in the data are </w:t>
      </w:r>
      <w:r w:rsidR="00C23CE7">
        <w:rPr>
          <w:rFonts w:ascii="Arial" w:hAnsi="Arial" w:cs="Arial"/>
          <w:color w:val="auto"/>
        </w:rPr>
        <w:t xml:space="preserve">currently </w:t>
      </w:r>
      <w:r w:rsidRPr="00C23CE7">
        <w:rPr>
          <w:rFonts w:ascii="Arial" w:hAnsi="Arial" w:cs="Arial"/>
          <w:color w:val="auto"/>
        </w:rPr>
        <w:t>included</w:t>
      </w:r>
      <w:r w:rsidR="00E71615" w:rsidRPr="00C23CE7">
        <w:rPr>
          <w:rFonts w:ascii="Arial" w:hAnsi="Arial" w:cs="Arial"/>
          <w:color w:val="auto"/>
        </w:rPr>
        <w:t xml:space="preserve"> in </w:t>
      </w:r>
      <w:r w:rsidR="00C23CE7">
        <w:rPr>
          <w:rFonts w:ascii="Arial" w:hAnsi="Arial" w:cs="Arial"/>
          <w:color w:val="auto"/>
        </w:rPr>
        <w:t>the data, but data on patients with unknown gender will be included under the ‘All Column Values’ option in the Gender prompt in a subsequent release</w:t>
      </w:r>
      <w:r w:rsidRPr="00C23CE7">
        <w:rPr>
          <w:rFonts w:ascii="Arial" w:hAnsi="Arial" w:cs="Arial"/>
          <w:color w:val="auto"/>
        </w:rPr>
        <w:t>.</w:t>
      </w:r>
      <w:r w:rsidR="00C23CE7">
        <w:rPr>
          <w:rFonts w:ascii="Arial" w:hAnsi="Arial" w:cs="Arial"/>
          <w:color w:val="auto"/>
        </w:rPr>
        <w:t xml:space="preserve">  At the time of writing (October 2024), 99.92% of all prescription items under the antibiotic medicines included in the dashboard have a known gender recorded.</w:t>
      </w:r>
    </w:p>
    <w:p w14:paraId="5472A6F9" w14:textId="77777777" w:rsidR="0036546F" w:rsidRPr="00C23CE7" w:rsidRDefault="0036546F" w:rsidP="0036546F">
      <w:pPr>
        <w:pStyle w:val="Heading1"/>
        <w:rPr>
          <w:color w:val="auto"/>
        </w:rPr>
      </w:pPr>
      <w:bookmarkStart w:id="11" w:name="_Toc180492656"/>
      <w:bookmarkStart w:id="12" w:name="_Toc26514180"/>
      <w:r w:rsidRPr="00C23CE7">
        <w:rPr>
          <w:color w:val="auto"/>
        </w:rPr>
        <w:t>Patient counts</w:t>
      </w:r>
      <w:bookmarkEnd w:id="11"/>
      <w:r w:rsidRPr="00C23CE7">
        <w:rPr>
          <w:color w:val="auto"/>
        </w:rPr>
        <w:t xml:space="preserve"> </w:t>
      </w:r>
    </w:p>
    <w:p w14:paraId="08B16B04" w14:textId="056B84F1" w:rsidR="0044692C" w:rsidRPr="00C23CE7" w:rsidRDefault="004155E4" w:rsidP="0036546F">
      <w:pPr>
        <w:spacing w:before="240"/>
        <w:rPr>
          <w:rFonts w:ascii="Arial" w:hAnsi="Arial" w:cs="Arial"/>
          <w:color w:val="auto"/>
        </w:rPr>
      </w:pPr>
      <w:r w:rsidRPr="00C23CE7">
        <w:rPr>
          <w:rFonts w:ascii="Arial" w:hAnsi="Arial" w:cs="Arial"/>
          <w:color w:val="auto"/>
        </w:rPr>
        <w:t>Comparator</w:t>
      </w:r>
      <w:r w:rsidR="0036546F" w:rsidRPr="00C23CE7">
        <w:rPr>
          <w:rFonts w:ascii="Arial" w:hAnsi="Arial" w:cs="Arial"/>
          <w:color w:val="auto"/>
        </w:rPr>
        <w:t xml:space="preserve">s </w:t>
      </w:r>
      <w:r w:rsidR="0044692C" w:rsidRPr="00C23CE7">
        <w:rPr>
          <w:rFonts w:ascii="Arial" w:hAnsi="Arial" w:cs="Arial"/>
          <w:color w:val="auto"/>
        </w:rPr>
        <w:t xml:space="preserve">UTI03, UTI04, UTI05 and UTI06 </w:t>
      </w:r>
      <w:r w:rsidR="0036546F" w:rsidRPr="00C23CE7">
        <w:rPr>
          <w:rFonts w:ascii="Arial" w:hAnsi="Arial" w:cs="Arial"/>
          <w:color w:val="auto"/>
        </w:rPr>
        <w:t xml:space="preserve">are based on a count of unique patients. </w:t>
      </w:r>
      <w:r w:rsidR="006E506F" w:rsidRPr="00C23CE7">
        <w:rPr>
          <w:rFonts w:ascii="Arial" w:hAnsi="Arial" w:cs="Arial"/>
          <w:color w:val="auto"/>
        </w:rPr>
        <w:t xml:space="preserve">Patients are only counted once in each month/time period but may be counted in multiple comparators for the same month/time period. </w:t>
      </w:r>
      <w:r w:rsidR="00A1079B" w:rsidRPr="00C23CE7">
        <w:rPr>
          <w:rFonts w:ascii="Arial" w:hAnsi="Arial" w:cs="Arial"/>
          <w:color w:val="auto"/>
        </w:rPr>
        <w:t xml:space="preserve">The exception is comparator UTI06 – number of people prescribed urinary continence devices in the last four months; a patient could be counted </w:t>
      </w:r>
      <w:r w:rsidR="00C23CE7">
        <w:rPr>
          <w:rFonts w:ascii="Arial" w:hAnsi="Arial" w:cs="Arial"/>
          <w:color w:val="auto"/>
        </w:rPr>
        <w:t>under</w:t>
      </w:r>
      <w:r w:rsidR="00A1079B" w:rsidRPr="00C23CE7">
        <w:rPr>
          <w:rFonts w:ascii="Arial" w:hAnsi="Arial" w:cs="Arial"/>
          <w:color w:val="auto"/>
        </w:rPr>
        <w:t xml:space="preserve"> all 3 device</w:t>
      </w:r>
      <w:r w:rsidR="00C23CE7">
        <w:rPr>
          <w:rFonts w:ascii="Arial" w:hAnsi="Arial" w:cs="Arial"/>
          <w:color w:val="auto"/>
        </w:rPr>
        <w:t>s</w:t>
      </w:r>
      <w:r w:rsidR="00A1079B" w:rsidRPr="00C23CE7">
        <w:rPr>
          <w:rFonts w:ascii="Arial" w:hAnsi="Arial" w:cs="Arial"/>
          <w:color w:val="auto"/>
        </w:rPr>
        <w:t xml:space="preserve"> if male, and in both catheter devices if female.</w:t>
      </w:r>
    </w:p>
    <w:p w14:paraId="4D7C717A" w14:textId="374BEAAF" w:rsidR="0036546F" w:rsidRPr="00C23CE7" w:rsidRDefault="008F7A07" w:rsidP="0036546F">
      <w:pPr>
        <w:spacing w:before="240"/>
        <w:rPr>
          <w:rFonts w:ascii="Arial" w:hAnsi="Arial" w:cs="Arial"/>
          <w:color w:val="auto"/>
        </w:rPr>
      </w:pPr>
      <w:r w:rsidRPr="00C23CE7">
        <w:rPr>
          <w:rFonts w:ascii="Arial" w:hAnsi="Arial" w:cs="Arial"/>
          <w:color w:val="auto"/>
        </w:rPr>
        <w:t>This data has</w:t>
      </w:r>
      <w:r w:rsidR="0036546F" w:rsidRPr="00C23CE7">
        <w:rPr>
          <w:rFonts w:ascii="Arial" w:hAnsi="Arial" w:cs="Arial"/>
          <w:color w:val="auto"/>
        </w:rPr>
        <w:t xml:space="preserve"> been </w:t>
      </w:r>
      <w:r w:rsidRPr="00C23CE7">
        <w:rPr>
          <w:rFonts w:ascii="Arial" w:hAnsi="Arial" w:cs="Arial"/>
          <w:color w:val="auto"/>
        </w:rPr>
        <w:t>derived</w:t>
      </w:r>
      <w:r w:rsidR="0036546F" w:rsidRPr="00C23CE7">
        <w:rPr>
          <w:rFonts w:ascii="Arial" w:hAnsi="Arial" w:cs="Arial"/>
          <w:color w:val="auto"/>
        </w:rPr>
        <w:t xml:space="preserve"> from prescriptions where the NHSBSA has been able to obtain </w:t>
      </w:r>
      <w:r w:rsidR="007F2250" w:rsidRPr="00C23CE7">
        <w:rPr>
          <w:rFonts w:ascii="Arial" w:hAnsi="Arial" w:cs="Arial"/>
          <w:color w:val="auto"/>
        </w:rPr>
        <w:t>patient identifier (NHS number)</w:t>
      </w:r>
      <w:r w:rsidR="0036546F" w:rsidRPr="00C23CE7">
        <w:rPr>
          <w:rFonts w:ascii="Arial" w:hAnsi="Arial" w:cs="Arial"/>
          <w:color w:val="auto"/>
        </w:rPr>
        <w:t xml:space="preserve"> and age from the prescription form. </w:t>
      </w:r>
    </w:p>
    <w:p w14:paraId="1E059125" w14:textId="6332DF95" w:rsidR="00B06D88" w:rsidRPr="00C23CE7" w:rsidRDefault="0047099A" w:rsidP="0036546F">
      <w:pPr>
        <w:spacing w:before="240"/>
        <w:rPr>
          <w:rFonts w:ascii="Arial" w:hAnsi="Arial" w:cs="Arial"/>
          <w:color w:val="auto"/>
        </w:rPr>
      </w:pPr>
      <w:r w:rsidRPr="00C23CE7">
        <w:rPr>
          <w:rFonts w:ascii="Arial" w:hAnsi="Arial" w:cs="Arial"/>
          <w:color w:val="auto"/>
        </w:rPr>
        <w:t xml:space="preserve">For prescribing of the antibiotic medicines included in the dashboard, 97.9% of all prescription items can be associated with an identifiable patient (based on data in the 12-month period September 2023 to August 2024).  For information on identifiable prescribing rates for continence devices, please refer to </w:t>
      </w:r>
      <w:hyperlink w:anchor="_Appendix_3:_Data" w:history="1">
        <w:r w:rsidRPr="00C23CE7">
          <w:rPr>
            <w:rStyle w:val="Hyperlink"/>
            <w:rFonts w:ascii="Arial" w:hAnsi="Arial" w:cs="Arial"/>
          </w:rPr>
          <w:t>Appendix 3: Data completeness for continence devices</w:t>
        </w:r>
      </w:hyperlink>
    </w:p>
    <w:p w14:paraId="40FB30D8" w14:textId="73C696C7" w:rsidR="0036546F" w:rsidRPr="00C23CE7" w:rsidRDefault="0036546F" w:rsidP="0036546F">
      <w:pPr>
        <w:spacing w:before="240"/>
        <w:rPr>
          <w:rFonts w:ascii="Arial" w:hAnsi="Arial" w:cs="Arial"/>
          <w:color w:val="auto"/>
        </w:rPr>
      </w:pPr>
      <w:r w:rsidRPr="00C23CE7">
        <w:rPr>
          <w:rFonts w:ascii="Arial" w:hAnsi="Arial" w:cs="Arial"/>
          <w:color w:val="auto"/>
        </w:rPr>
        <w:t xml:space="preserve">Patients are recorded against their registered practice, based on </w:t>
      </w:r>
      <w:r w:rsidR="00C33486" w:rsidRPr="00C23CE7">
        <w:rPr>
          <w:rFonts w:ascii="Arial" w:hAnsi="Arial" w:cs="Arial"/>
          <w:color w:val="auto"/>
        </w:rPr>
        <w:t xml:space="preserve">the latest </w:t>
      </w:r>
      <w:r w:rsidRPr="00C23CE7">
        <w:rPr>
          <w:rFonts w:ascii="Arial" w:hAnsi="Arial" w:cs="Arial"/>
          <w:color w:val="auto"/>
        </w:rPr>
        <w:t xml:space="preserve">information held for the </w:t>
      </w:r>
      <w:r w:rsidR="00C33486" w:rsidRPr="00C23CE7">
        <w:rPr>
          <w:rFonts w:ascii="Arial" w:hAnsi="Arial" w:cs="Arial"/>
          <w:color w:val="auto"/>
        </w:rPr>
        <w:t xml:space="preserve">patient </w:t>
      </w:r>
      <w:r w:rsidRPr="00C23CE7">
        <w:rPr>
          <w:rFonts w:ascii="Arial" w:hAnsi="Arial" w:cs="Arial"/>
          <w:color w:val="auto"/>
        </w:rPr>
        <w:t>in the NHSBSA data warehouse</w:t>
      </w:r>
      <w:r w:rsidR="006375F2" w:rsidRPr="00C23CE7">
        <w:rPr>
          <w:rFonts w:ascii="Arial" w:hAnsi="Arial" w:cs="Arial"/>
          <w:color w:val="auto"/>
        </w:rPr>
        <w:t xml:space="preserve">, </w:t>
      </w:r>
      <w:r w:rsidR="00A1079B" w:rsidRPr="00C23CE7">
        <w:rPr>
          <w:rFonts w:ascii="Arial" w:hAnsi="Arial" w:cs="Arial"/>
          <w:color w:val="auto"/>
        </w:rPr>
        <w:t>and the current registered practice is used throughout the dashboard including for historical activity.</w:t>
      </w:r>
      <w:r w:rsidRPr="00C23CE7">
        <w:rPr>
          <w:rFonts w:ascii="Arial" w:hAnsi="Arial" w:cs="Arial"/>
          <w:color w:val="auto"/>
        </w:rPr>
        <w:t xml:space="preserve">  This value may not reflect the registered practice for a </w:t>
      </w:r>
      <w:r w:rsidRPr="00C23CE7">
        <w:rPr>
          <w:rFonts w:ascii="Arial" w:hAnsi="Arial" w:cs="Arial"/>
          <w:color w:val="auto"/>
        </w:rPr>
        <w:lastRenderedPageBreak/>
        <w:t>selected month in the dashboard (i.e., if an earlier month is selected at the prompt, the registered practice for a patient in that month may have been different to the one held in the latest month).</w:t>
      </w:r>
      <w:r w:rsidR="00BC0286" w:rsidRPr="00C23CE7">
        <w:rPr>
          <w:rFonts w:ascii="Arial" w:hAnsi="Arial" w:cs="Arial"/>
          <w:color w:val="auto"/>
        </w:rPr>
        <w:t xml:space="preserve">  </w:t>
      </w:r>
    </w:p>
    <w:p w14:paraId="4E37D408" w14:textId="6411B35C" w:rsidR="00A76237" w:rsidRPr="00C23CE7" w:rsidRDefault="0036546F">
      <w:pPr>
        <w:rPr>
          <w:rFonts w:ascii="Arial" w:eastAsia="Arial" w:hAnsi="Arial" w:cs="Arial"/>
          <w:b/>
          <w:sz w:val="24"/>
          <w:szCs w:val="24"/>
        </w:rPr>
      </w:pPr>
      <w:r w:rsidRPr="00C23CE7">
        <w:rPr>
          <w:rFonts w:ascii="Arial" w:hAnsi="Arial" w:cs="Arial"/>
          <w:color w:val="auto"/>
        </w:rPr>
        <w:t xml:space="preserve">While NHS numbers are used to formulate these </w:t>
      </w:r>
      <w:r w:rsidR="004155E4" w:rsidRPr="00C23CE7">
        <w:rPr>
          <w:rFonts w:ascii="Arial" w:hAnsi="Arial" w:cs="Arial"/>
          <w:color w:val="auto"/>
        </w:rPr>
        <w:t>comparator</w:t>
      </w:r>
      <w:r w:rsidRPr="00C23CE7">
        <w:rPr>
          <w:rFonts w:ascii="Arial" w:hAnsi="Arial" w:cs="Arial"/>
          <w:color w:val="auto"/>
        </w:rPr>
        <w:t xml:space="preserve">s, no personal identifiable data </w:t>
      </w:r>
      <w:r w:rsidR="00A1079B" w:rsidRPr="00C23CE7">
        <w:rPr>
          <w:rFonts w:ascii="Arial" w:hAnsi="Arial" w:cs="Arial"/>
          <w:color w:val="auto"/>
        </w:rPr>
        <w:t>are</w:t>
      </w:r>
      <w:r w:rsidRPr="00C23CE7">
        <w:rPr>
          <w:rFonts w:ascii="Arial" w:hAnsi="Arial" w:cs="Arial"/>
          <w:color w:val="auto"/>
        </w:rPr>
        <w:t xml:space="preserve"> released through these </w:t>
      </w:r>
      <w:r w:rsidR="004155E4" w:rsidRPr="00C23CE7">
        <w:rPr>
          <w:rFonts w:ascii="Arial" w:hAnsi="Arial" w:cs="Arial"/>
          <w:color w:val="auto"/>
        </w:rPr>
        <w:t>comparator</w:t>
      </w:r>
      <w:r w:rsidRPr="00C23CE7">
        <w:rPr>
          <w:rFonts w:ascii="Arial" w:hAnsi="Arial" w:cs="Arial"/>
          <w:color w:val="auto"/>
        </w:rPr>
        <w:t>s.</w:t>
      </w:r>
    </w:p>
    <w:p w14:paraId="7FC0D2B9" w14:textId="571B5279" w:rsidR="0036546F" w:rsidRPr="00C23CE7" w:rsidRDefault="0036546F" w:rsidP="005A115B">
      <w:pPr>
        <w:pStyle w:val="Heading1"/>
        <w:rPr>
          <w:color w:val="auto"/>
        </w:rPr>
      </w:pPr>
      <w:bookmarkStart w:id="13" w:name="_Toc180492657"/>
      <w:r w:rsidRPr="00C23CE7">
        <w:rPr>
          <w:color w:val="auto"/>
        </w:rPr>
        <w:t>Practice list sizes</w:t>
      </w:r>
      <w:bookmarkEnd w:id="13"/>
    </w:p>
    <w:p w14:paraId="6D4F3E15" w14:textId="77777777" w:rsidR="005A115B" w:rsidRPr="00C23CE7" w:rsidRDefault="005A115B" w:rsidP="005A115B">
      <w:pPr>
        <w:spacing w:line="240" w:lineRule="auto"/>
        <w:rPr>
          <w:color w:val="auto"/>
        </w:rPr>
      </w:pPr>
    </w:p>
    <w:p w14:paraId="7766D469" w14:textId="38CA32CE" w:rsidR="006375F2" w:rsidRDefault="00734AA0">
      <w:pPr>
        <w:rPr>
          <w:rFonts w:ascii="Arial" w:hAnsi="Arial" w:cs="Arial"/>
          <w:color w:val="auto"/>
        </w:rPr>
      </w:pPr>
      <w:r w:rsidRPr="00C23CE7">
        <w:rPr>
          <w:rFonts w:ascii="Arial" w:hAnsi="Arial" w:cs="Arial"/>
          <w:color w:val="auto"/>
        </w:rPr>
        <w:t xml:space="preserve">For </w:t>
      </w:r>
      <w:r w:rsidR="004155E4" w:rsidRPr="00C23CE7">
        <w:rPr>
          <w:rFonts w:ascii="Arial" w:hAnsi="Arial" w:cs="Arial"/>
          <w:color w:val="auto"/>
        </w:rPr>
        <w:t>comparator</w:t>
      </w:r>
      <w:r w:rsidRPr="00C23CE7">
        <w:rPr>
          <w:rFonts w:ascii="Arial" w:hAnsi="Arial" w:cs="Arial"/>
          <w:color w:val="auto"/>
        </w:rPr>
        <w:t>s UTI01, UTI02, UTI03 and UTI06</w:t>
      </w:r>
      <w:r w:rsidR="0036546F" w:rsidRPr="00C23CE7">
        <w:rPr>
          <w:rFonts w:ascii="Arial" w:hAnsi="Arial" w:cs="Arial"/>
          <w:color w:val="auto"/>
        </w:rPr>
        <w:t xml:space="preserve">, </w:t>
      </w:r>
      <w:r w:rsidR="00B2256C" w:rsidRPr="00C23CE7">
        <w:rPr>
          <w:rFonts w:ascii="Arial" w:hAnsi="Arial" w:cs="Arial"/>
          <w:color w:val="auto"/>
        </w:rPr>
        <w:t xml:space="preserve">the </w:t>
      </w:r>
      <w:r w:rsidR="0036546F" w:rsidRPr="00C23CE7">
        <w:rPr>
          <w:rFonts w:ascii="Arial" w:hAnsi="Arial" w:cs="Arial"/>
          <w:color w:val="auto"/>
        </w:rPr>
        <w:t xml:space="preserve">practice list sizes </w:t>
      </w:r>
      <w:r w:rsidR="008419CE" w:rsidRPr="00C23CE7">
        <w:rPr>
          <w:rFonts w:ascii="Arial" w:hAnsi="Arial" w:cs="Arial"/>
          <w:color w:val="auto"/>
        </w:rPr>
        <w:t>(</w:t>
      </w:r>
      <w:r w:rsidR="00B2256C" w:rsidRPr="00C23CE7">
        <w:rPr>
          <w:rFonts w:ascii="Arial" w:hAnsi="Arial" w:cs="Arial"/>
          <w:color w:val="auto"/>
        </w:rPr>
        <w:t xml:space="preserve">segmented by </w:t>
      </w:r>
      <w:r w:rsidR="008419CE" w:rsidRPr="00C23CE7">
        <w:rPr>
          <w:rFonts w:ascii="Arial" w:hAnsi="Arial" w:cs="Arial"/>
          <w:color w:val="auto"/>
        </w:rPr>
        <w:t>age band and gender</w:t>
      </w:r>
      <w:r w:rsidR="00B2256C" w:rsidRPr="00C23CE7">
        <w:rPr>
          <w:rFonts w:ascii="Arial" w:hAnsi="Arial" w:cs="Arial"/>
          <w:color w:val="auto"/>
        </w:rPr>
        <w:t>)</w:t>
      </w:r>
      <w:r w:rsidR="008419CE" w:rsidRPr="00C23CE7">
        <w:rPr>
          <w:rFonts w:ascii="Arial" w:hAnsi="Arial" w:cs="Arial"/>
          <w:color w:val="auto"/>
        </w:rPr>
        <w:t xml:space="preserve"> </w:t>
      </w:r>
      <w:r w:rsidR="0036546F" w:rsidRPr="00C23CE7">
        <w:rPr>
          <w:rFonts w:ascii="Arial" w:hAnsi="Arial" w:cs="Arial"/>
          <w:color w:val="auto"/>
        </w:rPr>
        <w:t>for the most recent month of processed data held in the NHSBSA data warehouse are used</w:t>
      </w:r>
      <w:r w:rsidR="00A76237" w:rsidRPr="00C23CE7">
        <w:rPr>
          <w:rFonts w:ascii="Arial" w:hAnsi="Arial" w:cs="Arial"/>
          <w:color w:val="auto"/>
        </w:rPr>
        <w:t xml:space="preserve">.  </w:t>
      </w:r>
      <w:r w:rsidR="0036546F" w:rsidRPr="00C23CE7">
        <w:rPr>
          <w:rFonts w:ascii="Arial" w:hAnsi="Arial" w:cs="Arial"/>
          <w:color w:val="auto"/>
        </w:rPr>
        <w:t xml:space="preserve">These values are </w:t>
      </w:r>
      <w:bookmarkEnd w:id="12"/>
      <w:r w:rsidR="00087EBF" w:rsidRPr="00C23CE7">
        <w:rPr>
          <w:rFonts w:ascii="Arial" w:hAnsi="Arial" w:cs="Arial"/>
          <w:color w:val="auto"/>
        </w:rPr>
        <w:t xml:space="preserve">applied </w:t>
      </w:r>
      <w:r w:rsidR="0015596A" w:rsidRPr="00C23CE7">
        <w:rPr>
          <w:rFonts w:ascii="Arial" w:hAnsi="Arial" w:cs="Arial"/>
          <w:color w:val="auto"/>
        </w:rPr>
        <w:t>in the calculation of denominators</w:t>
      </w:r>
      <w:r w:rsidR="00B2256C" w:rsidRPr="00C23CE7">
        <w:rPr>
          <w:rFonts w:ascii="Arial" w:hAnsi="Arial" w:cs="Arial"/>
          <w:color w:val="auto"/>
        </w:rPr>
        <w:t xml:space="preserve"> and population rates</w:t>
      </w:r>
      <w:r w:rsidR="0015596A" w:rsidRPr="00C23CE7">
        <w:rPr>
          <w:rFonts w:ascii="Arial" w:hAnsi="Arial" w:cs="Arial"/>
          <w:color w:val="auto"/>
        </w:rPr>
        <w:t xml:space="preserve"> for a</w:t>
      </w:r>
      <w:r w:rsidR="0095568C" w:rsidRPr="00C23CE7">
        <w:rPr>
          <w:rFonts w:ascii="Arial" w:hAnsi="Arial" w:cs="Arial"/>
          <w:color w:val="auto"/>
        </w:rPr>
        <w:t>ll historical months in the trend analyses</w:t>
      </w:r>
      <w:r w:rsidR="00B7492C" w:rsidRPr="00C23CE7">
        <w:rPr>
          <w:rFonts w:ascii="Arial" w:hAnsi="Arial" w:cs="Arial"/>
          <w:color w:val="auto"/>
        </w:rPr>
        <w:t>, and for any performance tiles which express a population rate metric</w:t>
      </w:r>
      <w:r w:rsidR="0095568C" w:rsidRPr="00C23CE7">
        <w:rPr>
          <w:rFonts w:ascii="Arial" w:hAnsi="Arial" w:cs="Arial"/>
          <w:color w:val="auto"/>
        </w:rPr>
        <w:t>.</w:t>
      </w:r>
    </w:p>
    <w:p w14:paraId="33E3D96F" w14:textId="77777777" w:rsidR="006E026A" w:rsidRPr="00C23CE7" w:rsidRDefault="006E026A" w:rsidP="006E026A">
      <w:pPr>
        <w:pStyle w:val="Heading1"/>
      </w:pPr>
      <w:bookmarkStart w:id="14" w:name="_Toc180492658"/>
      <w:r>
        <w:t>Medicines</w:t>
      </w:r>
      <w:r w:rsidRPr="00C23CE7">
        <w:t xml:space="preserve"> included in the comparators</w:t>
      </w:r>
      <w:bookmarkEnd w:id="14"/>
    </w:p>
    <w:p w14:paraId="47193451" w14:textId="77777777" w:rsidR="006E026A" w:rsidRPr="00C23CE7" w:rsidRDefault="006E026A" w:rsidP="006E026A">
      <w:pPr>
        <w:spacing w:before="240"/>
        <w:rPr>
          <w:color w:val="auto"/>
        </w:rPr>
      </w:pPr>
      <w:r w:rsidRPr="00C23CE7">
        <w:rPr>
          <w:rFonts w:ascii="Arial" w:hAnsi="Arial" w:cs="Arial"/>
          <w:color w:val="auto"/>
        </w:rPr>
        <w:t>For information on the medicines included in the comparators, please refer to the detailed Comparator Specifications.</w:t>
      </w:r>
      <w:bookmarkStart w:id="15" w:name="_3o7alnk" w:colFirst="0" w:colLast="0"/>
      <w:bookmarkEnd w:id="15"/>
    </w:p>
    <w:p w14:paraId="40E06B01" w14:textId="77777777" w:rsidR="00AD480B" w:rsidRPr="00C23CE7" w:rsidRDefault="00AD480B" w:rsidP="00E8067C">
      <w:pPr>
        <w:pStyle w:val="Heading1"/>
      </w:pPr>
      <w:bookmarkStart w:id="16" w:name="_Toc26514181"/>
      <w:bookmarkStart w:id="17" w:name="_Toc180492659"/>
      <w:r w:rsidRPr="00C23CE7">
        <w:t>Data quality assurance</w:t>
      </w:r>
      <w:bookmarkEnd w:id="16"/>
      <w:bookmarkEnd w:id="17"/>
    </w:p>
    <w:p w14:paraId="7C75ED6F" w14:textId="12F3FB12" w:rsidR="00AD480B" w:rsidRPr="00C23CE7" w:rsidRDefault="00AD480B" w:rsidP="00AD480B">
      <w:pPr>
        <w:spacing w:before="240" w:after="0"/>
        <w:rPr>
          <w:rFonts w:ascii="Arial" w:eastAsia="Arial" w:hAnsi="Arial" w:cs="Arial"/>
          <w:color w:val="auto"/>
        </w:rPr>
      </w:pPr>
      <w:r w:rsidRPr="00C23CE7">
        <w:rPr>
          <w:rFonts w:ascii="Arial" w:eastAsia="Arial" w:hAnsi="Arial" w:cs="Arial"/>
          <w:color w:val="auto"/>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information which are then reflected in the data, but checks are in place to reduce the chance of issues occurring. The processes operate to a number of key performance </w:t>
      </w:r>
      <w:r w:rsidR="004155E4" w:rsidRPr="00C23CE7">
        <w:rPr>
          <w:rFonts w:ascii="Arial" w:eastAsia="Arial" w:hAnsi="Arial" w:cs="Arial"/>
          <w:color w:val="auto"/>
        </w:rPr>
        <w:t>comparator</w:t>
      </w:r>
      <w:r w:rsidRPr="00C23CE7">
        <w:rPr>
          <w:rFonts w:ascii="Arial" w:eastAsia="Arial" w:hAnsi="Arial" w:cs="Arial"/>
          <w:color w:val="auto"/>
        </w:rPr>
        <w:t>s, one of which is Prescription Information Accuracy, the target being 99.85%</w:t>
      </w:r>
      <w:r w:rsidR="00991A31" w:rsidRPr="00C23CE7">
        <w:rPr>
          <w:rFonts w:ascii="Arial" w:eastAsia="Arial" w:hAnsi="Arial" w:cs="Arial"/>
          <w:color w:val="auto"/>
        </w:rPr>
        <w:t xml:space="preserve"> accuracy</w:t>
      </w:r>
      <w:r w:rsidRPr="00C23CE7">
        <w:rPr>
          <w:rFonts w:ascii="Arial" w:eastAsia="Arial" w:hAnsi="Arial" w:cs="Arial"/>
          <w:color w:val="auto"/>
        </w:rPr>
        <w:t xml:space="preserve">; </w:t>
      </w:r>
      <w:r w:rsidR="00991A31" w:rsidRPr="00C23CE7">
        <w:rPr>
          <w:rFonts w:ascii="Arial" w:eastAsia="Arial" w:hAnsi="Arial" w:cs="Arial"/>
          <w:color w:val="auto"/>
        </w:rPr>
        <w:t>for</w:t>
      </w:r>
      <w:r w:rsidRPr="00C23CE7">
        <w:rPr>
          <w:rFonts w:ascii="Arial" w:eastAsia="Arial" w:hAnsi="Arial" w:cs="Arial"/>
          <w:color w:val="auto"/>
        </w:rPr>
        <w:t xml:space="preserve"> April 202</w:t>
      </w:r>
      <w:r w:rsidR="00991A31" w:rsidRPr="00C23CE7">
        <w:rPr>
          <w:rFonts w:ascii="Arial" w:eastAsia="Arial" w:hAnsi="Arial" w:cs="Arial"/>
          <w:color w:val="auto"/>
        </w:rPr>
        <w:t>4</w:t>
      </w:r>
      <w:r w:rsidRPr="00C23CE7">
        <w:rPr>
          <w:rFonts w:ascii="Arial" w:eastAsia="Arial" w:hAnsi="Arial" w:cs="Arial"/>
          <w:color w:val="auto"/>
        </w:rPr>
        <w:t xml:space="preserve"> prescribing</w:t>
      </w:r>
      <w:r w:rsidR="00991A31" w:rsidRPr="00C23CE7">
        <w:rPr>
          <w:rFonts w:ascii="Arial" w:eastAsia="Arial" w:hAnsi="Arial" w:cs="Arial"/>
          <w:color w:val="auto"/>
        </w:rPr>
        <w:t xml:space="preserve"> (the most recent month </w:t>
      </w:r>
      <w:r w:rsidR="006852FF" w:rsidRPr="00C23CE7">
        <w:rPr>
          <w:rFonts w:ascii="Arial" w:eastAsia="Arial" w:hAnsi="Arial" w:cs="Arial"/>
          <w:color w:val="auto"/>
        </w:rPr>
        <w:t>measured at the time of writing)</w:t>
      </w:r>
      <w:r w:rsidRPr="00C23CE7">
        <w:rPr>
          <w:rFonts w:ascii="Arial" w:eastAsia="Arial" w:hAnsi="Arial" w:cs="Arial"/>
          <w:color w:val="auto"/>
        </w:rPr>
        <w:t>, the accuracy level achieved over the previous 12 month rolling period was 99.</w:t>
      </w:r>
      <w:r w:rsidR="006852FF" w:rsidRPr="00C23CE7">
        <w:rPr>
          <w:rFonts w:ascii="Arial" w:eastAsia="Arial" w:hAnsi="Arial" w:cs="Arial"/>
          <w:color w:val="auto"/>
        </w:rPr>
        <w:t>90</w:t>
      </w:r>
      <w:r w:rsidRPr="00C23CE7">
        <w:rPr>
          <w:rFonts w:ascii="Arial" w:eastAsia="Arial" w:hAnsi="Arial" w:cs="Arial"/>
          <w:color w:val="auto"/>
        </w:rPr>
        <w:t>%</w:t>
      </w:r>
      <w:r w:rsidR="004F12BA" w:rsidRPr="00C23CE7">
        <w:rPr>
          <w:rStyle w:val="FootnoteReference"/>
          <w:rFonts w:ascii="Arial" w:eastAsia="Arial" w:hAnsi="Arial" w:cs="Arial"/>
          <w:color w:val="auto"/>
        </w:rPr>
        <w:footnoteReference w:id="2"/>
      </w:r>
      <w:r w:rsidRPr="00C23CE7">
        <w:rPr>
          <w:rFonts w:ascii="Arial" w:eastAsia="Arial" w:hAnsi="Arial" w:cs="Arial"/>
          <w:color w:val="auto"/>
        </w:rPr>
        <w:t>.</w:t>
      </w:r>
    </w:p>
    <w:p w14:paraId="464F2D7C" w14:textId="00B10D80" w:rsidR="00860008" w:rsidRPr="00C23CE7" w:rsidRDefault="00860008" w:rsidP="00860008">
      <w:pPr>
        <w:spacing w:before="240"/>
        <w:rPr>
          <w:rFonts w:ascii="Arial" w:hAnsi="Arial" w:cs="Arial"/>
          <w:color w:val="auto"/>
        </w:rPr>
      </w:pPr>
      <w:bookmarkStart w:id="18" w:name="_26in1rg" w:colFirst="0" w:colLast="0"/>
      <w:bookmarkEnd w:id="18"/>
      <w:r w:rsidRPr="00C23CE7">
        <w:rPr>
          <w:rFonts w:ascii="Arial" w:hAnsi="Arial" w:cs="Arial"/>
          <w:color w:val="auto"/>
        </w:rPr>
        <w:t xml:space="preserve">For prescribing of the antibiotic medicines included in the dashboard, 97.9% of all prescription items can be associated with an identifiable patient (based on data in the 12-month period September 2023 to August 2024).  </w:t>
      </w:r>
    </w:p>
    <w:p w14:paraId="19D03C85" w14:textId="4A874309" w:rsidR="00A00F2F" w:rsidRPr="00C23CE7" w:rsidRDefault="00860008" w:rsidP="00AD480B">
      <w:pPr>
        <w:rPr>
          <w:rFonts w:ascii="Arial" w:hAnsi="Arial" w:cs="Arial"/>
          <w:color w:val="auto"/>
        </w:rPr>
      </w:pPr>
      <w:r w:rsidRPr="00C23CE7">
        <w:rPr>
          <w:rFonts w:ascii="Arial" w:hAnsi="Arial" w:cs="Arial"/>
          <w:color w:val="auto"/>
        </w:rPr>
        <w:t>Of items that can be associated with an identifiable patient, 99.9% have a valid age recorded, and 99.2% have a known gender.</w:t>
      </w:r>
    </w:p>
    <w:p w14:paraId="711A9FAC" w14:textId="77777777" w:rsidR="00860008" w:rsidRPr="00C23CE7" w:rsidRDefault="00860008" w:rsidP="00860008">
      <w:pPr>
        <w:spacing w:before="240"/>
        <w:rPr>
          <w:rFonts w:ascii="Arial" w:hAnsi="Arial" w:cs="Arial"/>
          <w:color w:val="auto"/>
        </w:rPr>
      </w:pPr>
      <w:r w:rsidRPr="00C23CE7">
        <w:rPr>
          <w:rFonts w:ascii="Arial" w:hAnsi="Arial" w:cs="Arial"/>
          <w:color w:val="auto"/>
        </w:rPr>
        <w:t xml:space="preserve">For information on identifiable prescribing rates for continence devices, please refer to </w:t>
      </w:r>
      <w:hyperlink w:anchor="_Appendix_3:_Data" w:history="1">
        <w:r w:rsidRPr="00C23CE7">
          <w:rPr>
            <w:rStyle w:val="Hyperlink"/>
            <w:rFonts w:ascii="Arial" w:hAnsi="Arial" w:cs="Arial"/>
          </w:rPr>
          <w:t>Appendix 3: Data completeness for continence devices</w:t>
        </w:r>
      </w:hyperlink>
    </w:p>
    <w:p w14:paraId="657B4CCD" w14:textId="77777777" w:rsidR="00B6045E" w:rsidRDefault="00B6045E">
      <w:pPr>
        <w:rPr>
          <w:rFonts w:ascii="Arial" w:eastAsia="Arial" w:hAnsi="Arial" w:cs="Arial"/>
          <w:b/>
          <w:sz w:val="24"/>
          <w:szCs w:val="24"/>
        </w:rPr>
      </w:pPr>
      <w:bookmarkStart w:id="19" w:name="_Toc180492660"/>
      <w:r>
        <w:br w:type="page"/>
      </w:r>
    </w:p>
    <w:p w14:paraId="59D57FDD" w14:textId="409D16AA" w:rsidR="00C75FA5" w:rsidRPr="00C23CE7" w:rsidRDefault="00C75FA5" w:rsidP="003C251E">
      <w:pPr>
        <w:pStyle w:val="Heading1"/>
      </w:pPr>
      <w:r w:rsidRPr="00C23CE7">
        <w:lastRenderedPageBreak/>
        <w:t>Dashboard availability and redaction of small numbers</w:t>
      </w:r>
      <w:bookmarkEnd w:id="19"/>
    </w:p>
    <w:p w14:paraId="179F4E29" w14:textId="77777777" w:rsidR="003C251E" w:rsidRPr="00C23CE7" w:rsidRDefault="003C251E" w:rsidP="003C251E">
      <w:pPr>
        <w:spacing w:after="0"/>
      </w:pPr>
    </w:p>
    <w:p w14:paraId="40B1C866" w14:textId="754FFD51" w:rsidR="00E71615" w:rsidRPr="00C23CE7" w:rsidRDefault="00C75FA5" w:rsidP="00C75FA5">
      <w:pPr>
        <w:rPr>
          <w:rFonts w:ascii="Arial" w:hAnsi="Arial" w:cs="Arial"/>
          <w:color w:val="C00000"/>
        </w:rPr>
      </w:pPr>
      <w:r w:rsidRPr="00C23CE7">
        <w:rPr>
          <w:rFonts w:ascii="Arial" w:hAnsi="Arial" w:cs="Arial"/>
          <w:color w:val="auto"/>
        </w:rPr>
        <w:t xml:space="preserve">The </w:t>
      </w:r>
      <w:r w:rsidR="004155E4" w:rsidRPr="00C23CE7">
        <w:rPr>
          <w:rFonts w:ascii="Arial" w:hAnsi="Arial" w:cs="Arial"/>
          <w:color w:val="auto"/>
        </w:rPr>
        <w:t>comparator</w:t>
      </w:r>
      <w:r w:rsidRPr="00C23CE7">
        <w:rPr>
          <w:rFonts w:ascii="Arial" w:hAnsi="Arial" w:cs="Arial"/>
          <w:color w:val="auto"/>
        </w:rPr>
        <w:t>s are available on ePACT2 (NHS controlled access</w:t>
      </w:r>
      <w:r w:rsidR="000B455B" w:rsidRPr="00C23CE7">
        <w:rPr>
          <w:rFonts w:ascii="Arial" w:hAnsi="Arial" w:cs="Arial"/>
          <w:color w:val="auto"/>
        </w:rPr>
        <w:t xml:space="preserve">), and </w:t>
      </w:r>
      <w:r w:rsidRPr="00C23CE7">
        <w:rPr>
          <w:rFonts w:ascii="Arial" w:hAnsi="Arial" w:cs="Arial"/>
          <w:color w:val="auto"/>
        </w:rPr>
        <w:t>include National, Regional</w:t>
      </w:r>
      <w:r w:rsidR="00385CC3" w:rsidRPr="00C23CE7">
        <w:rPr>
          <w:rFonts w:ascii="Arial" w:hAnsi="Arial" w:cs="Arial"/>
          <w:color w:val="auto"/>
        </w:rPr>
        <w:t>, ICB</w:t>
      </w:r>
      <w:r w:rsidR="00A00F2F" w:rsidRPr="00C23CE7">
        <w:rPr>
          <w:rFonts w:ascii="Arial" w:hAnsi="Arial" w:cs="Arial"/>
          <w:color w:val="auto"/>
        </w:rPr>
        <w:t>,</w:t>
      </w:r>
      <w:r w:rsidRPr="00C23CE7">
        <w:rPr>
          <w:rFonts w:ascii="Arial" w:hAnsi="Arial" w:cs="Arial"/>
          <w:color w:val="auto"/>
        </w:rPr>
        <w:t xml:space="preserve"> </w:t>
      </w:r>
      <w:r w:rsidR="001F60F2" w:rsidRPr="00C23CE7">
        <w:rPr>
          <w:rFonts w:ascii="Arial" w:hAnsi="Arial" w:cs="Arial"/>
          <w:color w:val="auto"/>
        </w:rPr>
        <w:t>SICBL</w:t>
      </w:r>
      <w:r w:rsidR="00A00F2F" w:rsidRPr="00C23CE7">
        <w:rPr>
          <w:rFonts w:ascii="Arial" w:hAnsi="Arial" w:cs="Arial"/>
          <w:color w:val="auto"/>
        </w:rPr>
        <w:t xml:space="preserve">, PCN and GP practice/cost-centre </w:t>
      </w:r>
      <w:r w:rsidR="00C531EB" w:rsidRPr="00C23CE7">
        <w:rPr>
          <w:rFonts w:ascii="Arial" w:hAnsi="Arial" w:cs="Arial"/>
          <w:color w:val="auto"/>
        </w:rPr>
        <w:t>level data</w:t>
      </w:r>
      <w:r w:rsidR="00B6765D" w:rsidRPr="00C23CE7">
        <w:rPr>
          <w:rFonts w:ascii="Arial" w:hAnsi="Arial" w:cs="Arial"/>
          <w:color w:val="auto"/>
        </w:rPr>
        <w:t>,</w:t>
      </w:r>
      <w:r w:rsidR="000B455B" w:rsidRPr="00C23CE7">
        <w:rPr>
          <w:rFonts w:ascii="Arial" w:hAnsi="Arial" w:cs="Arial"/>
          <w:color w:val="auto"/>
        </w:rPr>
        <w:t xml:space="preserve"> other than </w:t>
      </w:r>
      <w:r w:rsidR="00B6765D" w:rsidRPr="00C23CE7">
        <w:rPr>
          <w:rFonts w:ascii="Arial" w:hAnsi="Arial" w:cs="Arial"/>
          <w:color w:val="auto"/>
        </w:rPr>
        <w:t>t</w:t>
      </w:r>
      <w:r w:rsidR="00E71615" w:rsidRPr="00C23CE7">
        <w:rPr>
          <w:rFonts w:ascii="Arial" w:hAnsi="Arial" w:cs="Arial"/>
          <w:color w:val="auto"/>
        </w:rPr>
        <w:t xml:space="preserve">he UTI06 </w:t>
      </w:r>
      <w:r w:rsidR="004155E4" w:rsidRPr="00C23CE7">
        <w:rPr>
          <w:rFonts w:ascii="Arial" w:hAnsi="Arial" w:cs="Arial"/>
          <w:color w:val="auto"/>
        </w:rPr>
        <w:t>comparator</w:t>
      </w:r>
      <w:r w:rsidR="00E71615" w:rsidRPr="00C23CE7">
        <w:rPr>
          <w:rFonts w:ascii="Arial" w:hAnsi="Arial" w:cs="Arial"/>
          <w:color w:val="auto"/>
        </w:rPr>
        <w:t xml:space="preserve">, </w:t>
      </w:r>
      <w:r w:rsidR="00B6765D" w:rsidRPr="00C23CE7">
        <w:rPr>
          <w:rFonts w:ascii="Arial" w:hAnsi="Arial" w:cs="Arial"/>
          <w:color w:val="auto"/>
        </w:rPr>
        <w:t xml:space="preserve">where </w:t>
      </w:r>
      <w:r w:rsidR="00E71615" w:rsidRPr="00C23CE7">
        <w:rPr>
          <w:rFonts w:ascii="Arial" w:hAnsi="Arial" w:cs="Arial"/>
          <w:color w:val="auto"/>
        </w:rPr>
        <w:t xml:space="preserve">the lowest level of granularity </w:t>
      </w:r>
      <w:r w:rsidR="00F60DC4" w:rsidRPr="00C23CE7">
        <w:rPr>
          <w:rFonts w:ascii="Arial" w:hAnsi="Arial" w:cs="Arial"/>
          <w:color w:val="auto"/>
        </w:rPr>
        <w:t>i</w:t>
      </w:r>
      <w:r w:rsidR="00E71615" w:rsidRPr="00C23CE7">
        <w:rPr>
          <w:rFonts w:ascii="Arial" w:hAnsi="Arial" w:cs="Arial"/>
          <w:color w:val="auto"/>
        </w:rPr>
        <w:t xml:space="preserve">s SICBL. </w:t>
      </w:r>
    </w:p>
    <w:p w14:paraId="0E8E8C59" w14:textId="7423F9E0" w:rsidR="00810077" w:rsidRPr="00C23CE7" w:rsidRDefault="00855C24" w:rsidP="00971788">
      <w:pPr>
        <w:pStyle w:val="Heading1"/>
        <w:spacing w:before="0"/>
      </w:pPr>
      <w:bookmarkStart w:id="20" w:name="_Toc180492661"/>
      <w:bookmarkEnd w:id="1"/>
      <w:r w:rsidRPr="00C23CE7">
        <w:t>Data Source</w:t>
      </w:r>
      <w:bookmarkEnd w:id="20"/>
      <w:r w:rsidRPr="00C23CE7">
        <w:t xml:space="preserve"> </w:t>
      </w:r>
    </w:p>
    <w:p w14:paraId="57E791AF" w14:textId="77777777" w:rsidR="000718AD" w:rsidRPr="00C23CE7" w:rsidRDefault="000718AD" w:rsidP="000718AD">
      <w:pPr>
        <w:spacing w:before="240"/>
        <w:rPr>
          <w:rFonts w:ascii="Arial" w:hAnsi="Arial" w:cs="Arial"/>
          <w:color w:val="auto"/>
        </w:rPr>
      </w:pPr>
      <w:r w:rsidRPr="00C23CE7">
        <w:rPr>
          <w:rFonts w:ascii="Arial" w:hAnsi="Arial" w:cs="Arial"/>
          <w:color w:val="auto"/>
        </w:rPr>
        <w:t>This data product is provided by NHS Business Services Authority.  The information contained herein is based on data from the NHSBSA‟s data warehouse system which contains all NHS prescription data, with the exception of prescriptions which are dispensed in prisons, hospitals and private prescriptions.</w:t>
      </w:r>
    </w:p>
    <w:p w14:paraId="4B0D4A48" w14:textId="69CCC522" w:rsidR="000718AD" w:rsidRPr="00C23CE7" w:rsidRDefault="000718AD" w:rsidP="000718AD">
      <w:pPr>
        <w:spacing w:after="0"/>
        <w:rPr>
          <w:rFonts w:ascii="Arial" w:eastAsia="Arial" w:hAnsi="Arial" w:cs="Arial"/>
          <w:color w:val="auto"/>
        </w:rPr>
      </w:pPr>
      <w:r w:rsidRPr="00C23CE7">
        <w:rPr>
          <w:rFonts w:ascii="Arial" w:hAnsi="Arial" w:cs="Arial"/>
          <w:color w:val="auto"/>
        </w:rPr>
        <w:t>Analysis is based on drugs that were reimbursed by the NHSBSA. It excludes items not dispensed and disallowed. If a prescription was issued, but not presented for dispensing or was not submitted to NHS Prescription Services by the dispenser, then it is not included in the data provided.</w:t>
      </w:r>
    </w:p>
    <w:p w14:paraId="0DAAE74F" w14:textId="77777777" w:rsidR="00810077" w:rsidRPr="00C23CE7" w:rsidRDefault="00810077">
      <w:pPr>
        <w:spacing w:after="0"/>
        <w:rPr>
          <w:rFonts w:ascii="Arial" w:eastAsia="Arial" w:hAnsi="Arial" w:cs="Arial"/>
          <w:color w:val="auto"/>
          <w:sz w:val="24"/>
          <w:szCs w:val="24"/>
        </w:rPr>
      </w:pPr>
      <w:bookmarkStart w:id="21" w:name="_2s8eyo1" w:colFirst="0" w:colLast="0"/>
      <w:bookmarkEnd w:id="21"/>
    </w:p>
    <w:p w14:paraId="1D69B6F1" w14:textId="3E456E4D" w:rsidR="00971788" w:rsidRPr="00C23CE7" w:rsidRDefault="00855C24" w:rsidP="00971788">
      <w:pPr>
        <w:pStyle w:val="Heading1"/>
        <w:spacing w:before="0"/>
        <w:rPr>
          <w:color w:val="auto"/>
        </w:rPr>
      </w:pPr>
      <w:bookmarkStart w:id="22" w:name="_17dp8vu" w:colFirst="0" w:colLast="0"/>
      <w:bookmarkStart w:id="23" w:name="_Toc180492662"/>
      <w:bookmarkEnd w:id="22"/>
      <w:r w:rsidRPr="00C23CE7">
        <w:rPr>
          <w:color w:val="auto"/>
        </w:rPr>
        <w:t>Data owner &amp; contact details</w:t>
      </w:r>
      <w:bookmarkEnd w:id="23"/>
      <w:r w:rsidRPr="00C23CE7">
        <w:rPr>
          <w:color w:val="auto"/>
        </w:rPr>
        <w:t xml:space="preserve"> </w:t>
      </w:r>
    </w:p>
    <w:p w14:paraId="6FA9837E" w14:textId="77777777" w:rsidR="00F2453A" w:rsidRPr="00C23CE7" w:rsidRDefault="0093557C">
      <w:pPr>
        <w:spacing w:after="0"/>
        <w:rPr>
          <w:rFonts w:ascii="Arial" w:hAnsi="Arial" w:cs="Arial"/>
          <w:color w:val="auto"/>
        </w:rPr>
      </w:pPr>
      <w:r w:rsidRPr="00C23CE7">
        <w:rPr>
          <w:rFonts w:ascii="Arial" w:hAnsi="Arial" w:cs="Arial"/>
          <w:color w:val="auto"/>
        </w:rPr>
        <w:t xml:space="preserve">This data product is managed by </w:t>
      </w:r>
      <w:r w:rsidR="00971788" w:rsidRPr="00C23CE7">
        <w:rPr>
          <w:rFonts w:ascii="Arial" w:hAnsi="Arial" w:cs="Arial"/>
          <w:color w:val="auto"/>
        </w:rPr>
        <w:t>NHS Business Services Authority Information Services</w:t>
      </w:r>
      <w:r w:rsidR="00F2453A" w:rsidRPr="00C23CE7">
        <w:rPr>
          <w:rFonts w:ascii="Arial" w:hAnsi="Arial" w:cs="Arial"/>
          <w:color w:val="auto"/>
        </w:rPr>
        <w:t xml:space="preserve">. </w:t>
      </w:r>
    </w:p>
    <w:p w14:paraId="3F2FC9AD" w14:textId="77777777" w:rsidR="00F2453A" w:rsidRPr="00C23CE7" w:rsidRDefault="00F2453A">
      <w:pPr>
        <w:spacing w:after="0"/>
        <w:rPr>
          <w:rFonts w:ascii="Arial" w:hAnsi="Arial" w:cs="Arial"/>
          <w:color w:val="auto"/>
        </w:rPr>
      </w:pPr>
    </w:p>
    <w:p w14:paraId="6E3CB1DE" w14:textId="552673A8" w:rsidR="00971788" w:rsidRPr="00C23CE7" w:rsidRDefault="00F2453A">
      <w:pPr>
        <w:spacing w:after="0"/>
        <w:rPr>
          <w:rFonts w:ascii="Arial" w:hAnsi="Arial" w:cs="Arial"/>
          <w:color w:val="auto"/>
        </w:rPr>
      </w:pPr>
      <w:r w:rsidRPr="00C23CE7">
        <w:rPr>
          <w:rFonts w:ascii="Arial" w:hAnsi="Arial" w:cs="Arial"/>
          <w:color w:val="auto"/>
        </w:rPr>
        <w:t>For any queries</w:t>
      </w:r>
      <w:r w:rsidR="00971788" w:rsidRPr="00C23CE7">
        <w:rPr>
          <w:rFonts w:ascii="Arial" w:hAnsi="Arial" w:cs="Arial"/>
          <w:color w:val="auto"/>
        </w:rPr>
        <w:t xml:space="preserve"> email </w:t>
      </w:r>
      <w:hyperlink r:id="rId13" w:history="1">
        <w:r w:rsidRPr="00C23CE7">
          <w:rPr>
            <w:rStyle w:val="Hyperlink"/>
            <w:rFonts w:ascii="Arial" w:hAnsi="Arial" w:cs="Arial"/>
            <w:color w:val="0070C0"/>
          </w:rPr>
          <w:t>DataServicesSupport@nhsbsa.nhs.uk</w:t>
        </w:r>
      </w:hyperlink>
      <w:r w:rsidRPr="00C23CE7">
        <w:rPr>
          <w:rFonts w:ascii="Arial" w:hAnsi="Arial" w:cs="Arial"/>
          <w:color w:val="auto"/>
        </w:rPr>
        <w:t>.</w:t>
      </w:r>
    </w:p>
    <w:p w14:paraId="4F274121" w14:textId="77777777" w:rsidR="00F2453A" w:rsidRPr="00C23CE7" w:rsidRDefault="00F2453A">
      <w:pPr>
        <w:spacing w:after="0"/>
        <w:rPr>
          <w:rFonts w:ascii="Arial" w:eastAsia="Arial" w:hAnsi="Arial" w:cs="Arial"/>
          <w:b/>
          <w:sz w:val="24"/>
          <w:szCs w:val="24"/>
        </w:rPr>
      </w:pPr>
    </w:p>
    <w:p w14:paraId="4A033747" w14:textId="4A5A2744" w:rsidR="0058687D" w:rsidRPr="00C23CE7" w:rsidRDefault="0058687D" w:rsidP="00971788">
      <w:pPr>
        <w:pStyle w:val="Heading1"/>
        <w:spacing w:before="0"/>
      </w:pPr>
      <w:bookmarkStart w:id="24" w:name="_Toc180492663"/>
      <w:r w:rsidRPr="00C23CE7">
        <w:t>Frequency of updates</w:t>
      </w:r>
      <w:bookmarkEnd w:id="24"/>
    </w:p>
    <w:p w14:paraId="5A9E1537" w14:textId="7421C3DC" w:rsidR="00810077" w:rsidRPr="00C23CE7" w:rsidRDefault="00971788" w:rsidP="0058687D">
      <w:pPr>
        <w:rPr>
          <w:rFonts w:ascii="Arial" w:hAnsi="Arial" w:cs="Arial"/>
          <w:color w:val="auto"/>
        </w:rPr>
      </w:pPr>
      <w:r w:rsidRPr="00C23CE7">
        <w:rPr>
          <w:rFonts w:ascii="Arial" w:hAnsi="Arial" w:cs="Arial"/>
          <w:color w:val="auto"/>
        </w:rPr>
        <w:t xml:space="preserve">The data </w:t>
      </w:r>
      <w:r w:rsidR="0058687D" w:rsidRPr="00C23CE7">
        <w:rPr>
          <w:rFonts w:ascii="Arial" w:hAnsi="Arial" w:cs="Arial"/>
          <w:color w:val="auto"/>
        </w:rPr>
        <w:t xml:space="preserve">for this dashboard </w:t>
      </w:r>
      <w:r w:rsidRPr="00C23CE7">
        <w:rPr>
          <w:rFonts w:ascii="Arial" w:hAnsi="Arial" w:cs="Arial"/>
          <w:color w:val="auto"/>
        </w:rPr>
        <w:t>is r</w:t>
      </w:r>
      <w:r w:rsidR="00855C24" w:rsidRPr="00C23CE7">
        <w:rPr>
          <w:rFonts w:ascii="Arial" w:hAnsi="Arial" w:cs="Arial"/>
          <w:color w:val="auto"/>
        </w:rPr>
        <w:t xml:space="preserve">efreshed </w:t>
      </w:r>
      <w:r w:rsidR="00F2453A" w:rsidRPr="00C23CE7">
        <w:rPr>
          <w:rFonts w:ascii="Arial" w:hAnsi="Arial" w:cs="Arial"/>
          <w:color w:val="auto"/>
        </w:rPr>
        <w:t>monthly</w:t>
      </w:r>
      <w:r w:rsidRPr="00C23CE7">
        <w:rPr>
          <w:rFonts w:ascii="Arial" w:hAnsi="Arial" w:cs="Arial"/>
          <w:color w:val="auto"/>
        </w:rPr>
        <w:t>.</w:t>
      </w:r>
    </w:p>
    <w:p w14:paraId="75229D02" w14:textId="59586A40" w:rsidR="003C251E" w:rsidRPr="00C23CE7" w:rsidRDefault="003C251E" w:rsidP="00D500FA">
      <w:pPr>
        <w:rPr>
          <w:rFonts w:ascii="Arial" w:eastAsia="Arial" w:hAnsi="Arial" w:cs="Arial"/>
          <w:b/>
          <w:sz w:val="24"/>
          <w:szCs w:val="24"/>
        </w:rPr>
      </w:pPr>
      <w:bookmarkStart w:id="25" w:name="_3rdcrjn" w:colFirst="0" w:colLast="0"/>
      <w:bookmarkStart w:id="26" w:name="_yh3frtob5kmq" w:colFirst="0" w:colLast="0"/>
      <w:bookmarkStart w:id="27" w:name="_Toc26514182"/>
      <w:bookmarkEnd w:id="25"/>
      <w:bookmarkEnd w:id="26"/>
      <w:r w:rsidRPr="00C23CE7">
        <w:br w:type="page"/>
      </w:r>
    </w:p>
    <w:p w14:paraId="60ACAAE2" w14:textId="54F4459F" w:rsidR="008055BE" w:rsidRPr="00C23CE7" w:rsidRDefault="004155E4" w:rsidP="00F96B0E">
      <w:pPr>
        <w:pStyle w:val="Heading1"/>
      </w:pPr>
      <w:bookmarkStart w:id="28" w:name="_Toc180492664"/>
      <w:r w:rsidRPr="00C23CE7">
        <w:lastRenderedPageBreak/>
        <w:t>Comparator</w:t>
      </w:r>
      <w:r w:rsidR="00855C24" w:rsidRPr="00C23CE7">
        <w:t xml:space="preserve"> Specifications</w:t>
      </w:r>
      <w:bookmarkEnd w:id="27"/>
      <w:bookmarkEnd w:id="28"/>
    </w:p>
    <w:p w14:paraId="2AD8C1BC" w14:textId="4316E71A" w:rsidR="00A067ED" w:rsidRPr="00C23CE7" w:rsidRDefault="00D638F9" w:rsidP="00CC56ED">
      <w:pPr>
        <w:pStyle w:val="Heading2"/>
      </w:pPr>
      <w:bookmarkStart w:id="29" w:name="_Toc180492665"/>
      <w:r w:rsidRPr="00C23CE7">
        <w:t>UTI01 - Lower urinary tract infection - Number of combined antibiotic items prescribed per 1,000 population</w:t>
      </w:r>
      <w:bookmarkEnd w:id="29"/>
    </w:p>
    <w:p w14:paraId="6C554367" w14:textId="77777777" w:rsidR="00971788" w:rsidRPr="00C23CE7" w:rsidRDefault="00971788" w:rsidP="00A067ED"/>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0917B7" w:rsidRPr="00C23CE7" w14:paraId="46AF10B3" w14:textId="77777777" w:rsidTr="007044A0">
        <w:tc>
          <w:tcPr>
            <w:tcW w:w="9889" w:type="dxa"/>
            <w:gridSpan w:val="3"/>
            <w:shd w:val="clear" w:color="auto" w:fill="D9D9D9"/>
          </w:tcPr>
          <w:p w14:paraId="77C47450" w14:textId="77777777" w:rsidR="000917B7" w:rsidRPr="00C23CE7" w:rsidRDefault="000917B7" w:rsidP="007044A0">
            <w:pPr>
              <w:spacing w:line="240" w:lineRule="auto"/>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0917B7" w:rsidRPr="00C23CE7" w14:paraId="749781FB" w14:textId="77777777" w:rsidTr="007044A0">
        <w:trPr>
          <w:trHeight w:val="220"/>
        </w:trPr>
        <w:tc>
          <w:tcPr>
            <w:tcW w:w="534" w:type="dxa"/>
            <w:shd w:val="clear" w:color="auto" w:fill="auto"/>
          </w:tcPr>
          <w:p w14:paraId="45208290"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1.1</w:t>
            </w:r>
          </w:p>
          <w:p w14:paraId="0B3D987F" w14:textId="77777777" w:rsidR="000917B7" w:rsidRPr="00C23CE7" w:rsidRDefault="000917B7"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550FECDE"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5EFEEB58"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UTI01 - Lower urinary tract infection - Number of combined antibiotic items prescribed per 1,000 population</w:t>
            </w:r>
          </w:p>
        </w:tc>
      </w:tr>
      <w:tr w:rsidR="000917B7" w:rsidRPr="00C23CE7" w14:paraId="4548DB80" w14:textId="77777777" w:rsidTr="007044A0">
        <w:tc>
          <w:tcPr>
            <w:tcW w:w="534" w:type="dxa"/>
            <w:shd w:val="clear" w:color="auto" w:fill="auto"/>
          </w:tcPr>
          <w:p w14:paraId="7362736A"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22F2A5D1"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51D00397" w14:textId="5E229FBB" w:rsidR="000917B7" w:rsidRPr="00C23CE7" w:rsidRDefault="000917B7" w:rsidP="007044A0">
            <w:pPr>
              <w:spacing w:after="0" w:line="240" w:lineRule="auto"/>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 xml:space="preserve">This </w:t>
            </w:r>
            <w:r w:rsidR="004155E4" w:rsidRPr="00C23CE7">
              <w:rPr>
                <w:rFonts w:ascii="Arial" w:hAnsi="Arial" w:cs="Arial"/>
                <w:color w:val="auto"/>
                <w:sz w:val="18"/>
                <w:szCs w:val="21"/>
                <w:shd w:val="clear" w:color="auto" w:fill="FFFFFF"/>
              </w:rPr>
              <w:t>comparator</w:t>
            </w:r>
            <w:r w:rsidRPr="00C23CE7">
              <w:rPr>
                <w:rFonts w:ascii="Arial" w:hAnsi="Arial" w:cs="Arial"/>
                <w:color w:val="auto"/>
                <w:sz w:val="18"/>
                <w:szCs w:val="21"/>
                <w:shd w:val="clear" w:color="auto" w:fill="FFFFFF"/>
              </w:rPr>
              <w:t xml:space="preserve"> </w:t>
            </w:r>
            <w:r w:rsidR="00CF6EDE" w:rsidRPr="00C23CE7">
              <w:rPr>
                <w:rFonts w:ascii="Arial" w:hAnsi="Arial" w:cs="Arial"/>
                <w:color w:val="auto"/>
                <w:sz w:val="18"/>
                <w:szCs w:val="21"/>
                <w:shd w:val="clear" w:color="auto" w:fill="FFFFFF"/>
              </w:rPr>
              <w:t>reports</w:t>
            </w:r>
            <w:r w:rsidRPr="00C23CE7">
              <w:rPr>
                <w:rFonts w:ascii="Arial" w:hAnsi="Arial" w:cs="Arial"/>
                <w:color w:val="auto"/>
                <w:sz w:val="18"/>
                <w:szCs w:val="21"/>
                <w:shd w:val="clear" w:color="auto" w:fill="FFFFFF"/>
              </w:rPr>
              <w:t xml:space="preserve"> the number of prescription items for patients by selected gender and age band(s), for the combined list of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w:t>
            </w:r>
            <w:r w:rsidR="002F278B" w:rsidRPr="00C23CE7">
              <w:rPr>
                <w:rFonts w:ascii="Arial" w:hAnsi="Arial" w:cs="Arial"/>
                <w:color w:val="auto"/>
                <w:sz w:val="18"/>
                <w:szCs w:val="21"/>
                <w:shd w:val="clear" w:color="auto" w:fill="FFFFFF"/>
              </w:rPr>
              <w:t xml:space="preserve">listed </w:t>
            </w:r>
            <w:r w:rsidRPr="00C23CE7">
              <w:rPr>
                <w:rFonts w:ascii="Arial" w:hAnsi="Arial" w:cs="Arial"/>
                <w:color w:val="auto"/>
                <w:sz w:val="18"/>
                <w:szCs w:val="21"/>
                <w:shd w:val="clear" w:color="auto" w:fill="FFFFFF"/>
              </w:rPr>
              <w:t>in section 1.7, per 1,000 people based on GP practice list size, for the same selected gender and age band(s).</w:t>
            </w:r>
          </w:p>
          <w:p w14:paraId="34268854" w14:textId="77777777" w:rsidR="000917B7" w:rsidRPr="00C23CE7" w:rsidRDefault="000917B7" w:rsidP="007044A0">
            <w:pPr>
              <w:spacing w:after="0" w:line="240" w:lineRule="auto"/>
              <w:rPr>
                <w:rFonts w:ascii="Arial" w:eastAsia="Arial" w:hAnsi="Arial" w:cs="Arial"/>
                <w:color w:val="auto"/>
                <w:sz w:val="18"/>
                <w:szCs w:val="18"/>
              </w:rPr>
            </w:pPr>
          </w:p>
        </w:tc>
      </w:tr>
      <w:tr w:rsidR="000917B7" w:rsidRPr="00C23CE7" w14:paraId="571CE37D" w14:textId="77777777" w:rsidTr="007044A0">
        <w:trPr>
          <w:trHeight w:val="620"/>
        </w:trPr>
        <w:tc>
          <w:tcPr>
            <w:tcW w:w="534" w:type="dxa"/>
            <w:shd w:val="clear" w:color="auto" w:fill="auto"/>
          </w:tcPr>
          <w:p w14:paraId="1719A74D"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4E33FABB"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3B26B5E5" w14:textId="6863C558" w:rsidR="000917B7" w:rsidRPr="00C23CE7" w:rsidRDefault="009C447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Single-month totals</w:t>
            </w:r>
            <w:r w:rsidR="001A7DBC" w:rsidRPr="00C23CE7">
              <w:rPr>
                <w:rFonts w:ascii="Arial" w:eastAsia="Arial" w:hAnsi="Arial" w:cs="Arial"/>
                <w:color w:val="auto"/>
                <w:sz w:val="18"/>
                <w:szCs w:val="18"/>
              </w:rPr>
              <w:t xml:space="preserve"> (</w:t>
            </w:r>
            <w:r w:rsidR="00F061D0" w:rsidRPr="00C23CE7">
              <w:rPr>
                <w:rFonts w:ascii="Arial" w:eastAsia="Arial" w:hAnsi="Arial" w:cs="Arial"/>
                <w:color w:val="auto"/>
                <w:sz w:val="18"/>
                <w:szCs w:val="18"/>
              </w:rPr>
              <w:t xml:space="preserve">displayed as a </w:t>
            </w:r>
            <w:r w:rsidR="001A7DBC" w:rsidRPr="00C23CE7">
              <w:rPr>
                <w:rFonts w:ascii="Arial" w:eastAsia="Arial" w:hAnsi="Arial" w:cs="Arial"/>
                <w:color w:val="auto"/>
                <w:sz w:val="18"/>
                <w:szCs w:val="18"/>
              </w:rPr>
              <w:t xml:space="preserve">snapshot and </w:t>
            </w:r>
            <w:r w:rsidR="00F061D0" w:rsidRPr="00C23CE7">
              <w:rPr>
                <w:rFonts w:ascii="Arial" w:eastAsia="Arial" w:hAnsi="Arial" w:cs="Arial"/>
                <w:color w:val="auto"/>
                <w:sz w:val="18"/>
                <w:szCs w:val="18"/>
              </w:rPr>
              <w:t>multiple</w:t>
            </w:r>
            <w:r w:rsidR="001A7DBC" w:rsidRPr="00C23CE7">
              <w:rPr>
                <w:rFonts w:ascii="Arial" w:eastAsia="Arial" w:hAnsi="Arial" w:cs="Arial"/>
                <w:color w:val="auto"/>
                <w:sz w:val="18"/>
                <w:szCs w:val="18"/>
              </w:rPr>
              <w:t>-month trend)</w:t>
            </w:r>
            <w:r w:rsidR="000917B7" w:rsidRPr="00C23CE7">
              <w:rPr>
                <w:rFonts w:ascii="Arial" w:eastAsia="Arial" w:hAnsi="Arial" w:cs="Arial"/>
                <w:color w:val="auto"/>
                <w:sz w:val="18"/>
                <w:szCs w:val="18"/>
              </w:rPr>
              <w:t>, calculated at practice, PCN, SICBL, ICB, NHS Region and national levels, depending on the selected dashboard view.</w:t>
            </w:r>
          </w:p>
        </w:tc>
      </w:tr>
      <w:tr w:rsidR="000917B7" w:rsidRPr="00C23CE7" w14:paraId="3348512A" w14:textId="77777777" w:rsidTr="007044A0">
        <w:trPr>
          <w:trHeight w:val="566"/>
        </w:trPr>
        <w:tc>
          <w:tcPr>
            <w:tcW w:w="534" w:type="dxa"/>
            <w:shd w:val="clear" w:color="auto" w:fill="auto"/>
          </w:tcPr>
          <w:p w14:paraId="0A500F53"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3C689F9F"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14C060A5" w14:textId="72991DDC"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Number of prescription items for the </w:t>
            </w:r>
            <w:r w:rsidRPr="00C23CE7">
              <w:rPr>
                <w:rFonts w:ascii="Arial" w:hAnsi="Arial" w:cs="Arial"/>
                <w:color w:val="auto"/>
                <w:sz w:val="18"/>
                <w:szCs w:val="21"/>
                <w:shd w:val="clear" w:color="auto" w:fill="FFFFFF"/>
              </w:rPr>
              <w:t>combined list of</w:t>
            </w:r>
            <w:r w:rsidRPr="00C23CE7">
              <w:rPr>
                <w:rFonts w:ascii="Arial" w:eastAsia="Arial" w:hAnsi="Arial" w:cs="Arial"/>
                <w:color w:val="auto"/>
                <w:sz w:val="18"/>
                <w:szCs w:val="18"/>
              </w:rPr>
              <w:t xml:space="preserve"> antibiotics </w:t>
            </w:r>
            <w:r w:rsidR="002F278B" w:rsidRPr="00C23CE7">
              <w:rPr>
                <w:rFonts w:ascii="Arial" w:eastAsia="Arial" w:hAnsi="Arial" w:cs="Arial"/>
                <w:color w:val="auto"/>
                <w:sz w:val="18"/>
                <w:szCs w:val="18"/>
              </w:rPr>
              <w:t xml:space="preserve">listed </w:t>
            </w:r>
            <w:r w:rsidRPr="00C23CE7">
              <w:rPr>
                <w:rFonts w:ascii="Arial" w:hAnsi="Arial" w:cs="Arial"/>
                <w:color w:val="auto"/>
                <w:sz w:val="18"/>
                <w:szCs w:val="21"/>
                <w:shd w:val="clear" w:color="auto" w:fill="FFFFFF"/>
              </w:rPr>
              <w:t>in section 1.7</w:t>
            </w:r>
            <w:r w:rsidRPr="00C23CE7">
              <w:rPr>
                <w:rFonts w:ascii="Arial" w:eastAsia="Arial" w:hAnsi="Arial" w:cs="Arial"/>
                <w:color w:val="auto"/>
                <w:sz w:val="18"/>
                <w:szCs w:val="18"/>
              </w:rPr>
              <w:t xml:space="preserve">, prescribed and dispensed in the </w:t>
            </w:r>
            <w:r w:rsidR="001A7DBC" w:rsidRPr="00C23CE7">
              <w:rPr>
                <w:rFonts w:ascii="Arial" w:eastAsia="Arial" w:hAnsi="Arial" w:cs="Arial"/>
                <w:color w:val="auto"/>
                <w:sz w:val="18"/>
                <w:szCs w:val="18"/>
              </w:rPr>
              <w:t>selected</w:t>
            </w:r>
            <w:r w:rsidRPr="00C23CE7">
              <w:rPr>
                <w:rFonts w:ascii="Arial" w:eastAsia="Arial" w:hAnsi="Arial" w:cs="Arial"/>
                <w:color w:val="auto"/>
                <w:sz w:val="18"/>
                <w:szCs w:val="18"/>
              </w:rPr>
              <w:t xml:space="preserve"> month, to patients in the selected gender and age band(s).</w:t>
            </w:r>
          </w:p>
        </w:tc>
      </w:tr>
      <w:tr w:rsidR="000917B7" w:rsidRPr="00C23CE7" w14:paraId="4BCE8060" w14:textId="77777777" w:rsidTr="007044A0">
        <w:trPr>
          <w:trHeight w:val="580"/>
        </w:trPr>
        <w:tc>
          <w:tcPr>
            <w:tcW w:w="534" w:type="dxa"/>
            <w:shd w:val="clear" w:color="auto" w:fill="auto"/>
          </w:tcPr>
          <w:p w14:paraId="785E8D13" w14:textId="77777777" w:rsidR="000917B7" w:rsidRPr="00C23CE7" w:rsidRDefault="000917B7" w:rsidP="007044A0">
            <w:pPr>
              <w:spacing w:after="0" w:line="240" w:lineRule="auto"/>
              <w:rPr>
                <w:rFonts w:ascii="Arial" w:eastAsia="Arial" w:hAnsi="Arial" w:cs="Arial"/>
                <w:color w:val="auto"/>
                <w:sz w:val="18"/>
                <w:szCs w:val="18"/>
              </w:rPr>
            </w:pPr>
            <w:r w:rsidRPr="00C23CE7">
              <w:rPr>
                <w:color w:val="auto"/>
              </w:rPr>
              <w:br w:type="page"/>
            </w: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5E57036B"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4B2B00E7"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Practice list size for the selected gender and age band(s), aggregated to the selected organisation view.  </w:t>
            </w:r>
          </w:p>
        </w:tc>
      </w:tr>
      <w:tr w:rsidR="000917B7" w:rsidRPr="00C23CE7" w14:paraId="5CAD15D8" w14:textId="77777777" w:rsidTr="007044A0">
        <w:tc>
          <w:tcPr>
            <w:tcW w:w="534" w:type="dxa"/>
            <w:shd w:val="clear" w:color="auto" w:fill="auto"/>
          </w:tcPr>
          <w:p w14:paraId="4C1FB047"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76BA5F9E"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66F329B5"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Numerator divided by denominator, expressed per 1,000 patients.</w:t>
            </w:r>
          </w:p>
          <w:p w14:paraId="1993E198" w14:textId="77777777" w:rsidR="000917B7" w:rsidRPr="00C23CE7" w:rsidRDefault="000917B7" w:rsidP="007044A0">
            <w:pPr>
              <w:spacing w:after="0" w:line="240" w:lineRule="auto"/>
              <w:rPr>
                <w:rFonts w:ascii="Arial" w:eastAsia="Arial" w:hAnsi="Arial" w:cs="Arial"/>
                <w:color w:val="auto"/>
                <w:sz w:val="18"/>
                <w:szCs w:val="18"/>
              </w:rPr>
            </w:pPr>
          </w:p>
          <w:p w14:paraId="594239B7" w14:textId="77777777" w:rsidR="000917B7" w:rsidRPr="00C23CE7" w:rsidRDefault="000917B7" w:rsidP="007044A0">
            <w:pPr>
              <w:spacing w:after="0" w:line="240" w:lineRule="auto"/>
              <w:rPr>
                <w:rFonts w:ascii="Arial" w:eastAsia="Arial" w:hAnsi="Arial" w:cs="Arial"/>
                <w:color w:val="auto"/>
                <w:sz w:val="18"/>
                <w:szCs w:val="18"/>
              </w:rPr>
            </w:pPr>
          </w:p>
        </w:tc>
      </w:tr>
      <w:tr w:rsidR="000917B7" w:rsidRPr="00C23CE7" w14:paraId="68EBB661" w14:textId="77777777" w:rsidTr="007044A0">
        <w:tc>
          <w:tcPr>
            <w:tcW w:w="534" w:type="dxa"/>
            <w:shd w:val="clear" w:color="auto" w:fill="auto"/>
          </w:tcPr>
          <w:p w14:paraId="772BDCAD"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1.7</w:t>
            </w:r>
          </w:p>
        </w:tc>
        <w:tc>
          <w:tcPr>
            <w:tcW w:w="1417" w:type="dxa"/>
            <w:tcBorders>
              <w:top w:val="single" w:sz="4" w:space="0" w:color="000000"/>
            </w:tcBorders>
            <w:shd w:val="clear" w:color="auto" w:fill="D9D9D9"/>
          </w:tcPr>
          <w:p w14:paraId="68BDD78D" w14:textId="77777777" w:rsidR="000917B7" w:rsidRPr="00C23CE7" w:rsidRDefault="000917B7" w:rsidP="007044A0">
            <w:pPr>
              <w:spacing w:after="0" w:line="240" w:lineRule="auto"/>
              <w:rPr>
                <w:rFonts w:ascii="Arial" w:eastAsia="Arial" w:hAnsi="Arial" w:cs="Arial"/>
                <w:b/>
                <w:color w:val="auto"/>
                <w:sz w:val="18"/>
                <w:szCs w:val="18"/>
              </w:rPr>
            </w:pPr>
            <w:r w:rsidRPr="00C23CE7">
              <w:rPr>
                <w:rFonts w:ascii="Arial" w:eastAsia="Arial" w:hAnsi="Arial" w:cs="Arial"/>
                <w:b/>
                <w:color w:val="auto"/>
                <w:sz w:val="18"/>
                <w:szCs w:val="18"/>
              </w:rPr>
              <w:t>Medicines</w:t>
            </w:r>
          </w:p>
        </w:tc>
        <w:tc>
          <w:tcPr>
            <w:tcW w:w="7938" w:type="dxa"/>
          </w:tcPr>
          <w:p w14:paraId="56031C0E"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Prescription items for the following antibiotics are combined in the numerator:</w:t>
            </w:r>
          </w:p>
          <w:p w14:paraId="50582B23" w14:textId="77777777" w:rsidR="000917B7" w:rsidRPr="00C23CE7" w:rsidRDefault="000917B7" w:rsidP="007044A0">
            <w:pPr>
              <w:spacing w:after="0" w:line="240" w:lineRule="auto"/>
              <w:rPr>
                <w:rFonts w:ascii="Arial" w:eastAsia="Arial" w:hAnsi="Arial" w:cs="Arial"/>
                <w:color w:val="auto"/>
                <w:sz w:val="18"/>
                <w:szCs w:val="18"/>
              </w:rPr>
            </w:pPr>
          </w:p>
          <w:p w14:paraId="54C4A498" w14:textId="77777777" w:rsidR="008D5FD6" w:rsidRPr="00C23CE7" w:rsidRDefault="000917B7"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Calcium</w:t>
            </w:r>
          </w:p>
          <w:p w14:paraId="617BC6B0" w14:textId="335EED7A" w:rsidR="000917B7" w:rsidRPr="00C23CE7" w:rsidRDefault="008D5FD6"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 xml:space="preserve">Fosfomycin </w:t>
            </w:r>
            <w:r w:rsidR="000917B7" w:rsidRPr="00C23CE7">
              <w:rPr>
                <w:rFonts w:ascii="Arial" w:eastAsia="Arial" w:hAnsi="Arial" w:cs="Arial"/>
                <w:sz w:val="18"/>
                <w:szCs w:val="18"/>
              </w:rPr>
              <w:t>Trometamol</w:t>
            </w:r>
          </w:p>
          <w:p w14:paraId="64823A22" w14:textId="77777777" w:rsidR="000917B7" w:rsidRPr="00C23CE7" w:rsidRDefault="000917B7"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Nitrofurantoin</w:t>
            </w:r>
          </w:p>
          <w:p w14:paraId="72FD0F47" w14:textId="77777777" w:rsidR="000917B7" w:rsidRPr="00C23CE7" w:rsidRDefault="000917B7"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Pivmecillinam hydrochloride</w:t>
            </w:r>
          </w:p>
          <w:p w14:paraId="71400A54" w14:textId="77777777" w:rsidR="000917B7" w:rsidRPr="00C23CE7" w:rsidRDefault="000917B7" w:rsidP="000917B7">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Trimethoprim</w:t>
            </w:r>
          </w:p>
          <w:p w14:paraId="40D93C51" w14:textId="77777777" w:rsidR="000917B7" w:rsidRPr="00C23CE7" w:rsidRDefault="000917B7" w:rsidP="007044A0">
            <w:pPr>
              <w:spacing w:after="0" w:line="240" w:lineRule="auto"/>
              <w:rPr>
                <w:rFonts w:ascii="Arial" w:eastAsia="Arial" w:hAnsi="Arial" w:cs="Arial"/>
                <w:color w:val="auto"/>
                <w:sz w:val="18"/>
                <w:szCs w:val="18"/>
              </w:rPr>
            </w:pPr>
          </w:p>
        </w:tc>
      </w:tr>
      <w:tr w:rsidR="000917B7" w:rsidRPr="00C23CE7" w14:paraId="3AF88AD1" w14:textId="77777777" w:rsidTr="007044A0">
        <w:tc>
          <w:tcPr>
            <w:tcW w:w="9889" w:type="dxa"/>
            <w:gridSpan w:val="3"/>
            <w:shd w:val="clear" w:color="auto" w:fill="D9D9D9"/>
          </w:tcPr>
          <w:p w14:paraId="35C0A7F7"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2: Rationale</w:t>
            </w:r>
          </w:p>
        </w:tc>
      </w:tr>
      <w:tr w:rsidR="000917B7" w:rsidRPr="00C23CE7" w14:paraId="493BDD67" w14:textId="77777777" w:rsidTr="007044A0">
        <w:trPr>
          <w:trHeight w:val="1012"/>
        </w:trPr>
        <w:tc>
          <w:tcPr>
            <w:tcW w:w="534" w:type="dxa"/>
            <w:shd w:val="clear" w:color="auto" w:fill="auto"/>
          </w:tcPr>
          <w:p w14:paraId="6BF256D4"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2.1</w:t>
            </w:r>
          </w:p>
          <w:p w14:paraId="4AF9FA3A" w14:textId="77777777" w:rsidR="000917B7" w:rsidRPr="00C23CE7" w:rsidRDefault="000917B7"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73015C9B" w14:textId="77777777" w:rsidR="000917B7" w:rsidRPr="00C23CE7" w:rsidRDefault="000917B7"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7AFED95B" w14:textId="37A22182" w:rsidR="000917B7" w:rsidRPr="00C23CE7" w:rsidRDefault="002F278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allows users to identify the population exposure to antibiotics recommended by </w:t>
            </w:r>
            <w:hyperlink r:id="rId14"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for the treatment of lower urinary tract infection </w:t>
            </w:r>
            <w:r w:rsidR="00F93107" w:rsidRPr="00C23CE7">
              <w:rPr>
                <w:rFonts w:ascii="Arial" w:eastAsia="Arial" w:hAnsi="Arial" w:cs="Arial"/>
                <w:color w:val="auto"/>
                <w:sz w:val="18"/>
                <w:szCs w:val="18"/>
              </w:rPr>
              <w:t>by selected gender and age bands, and identifies variation in prescribing activity by selected organisational level. This may identify opportunities for improvement in the management of lower UTI in selected populations.</w:t>
            </w:r>
          </w:p>
          <w:p w14:paraId="042FD787" w14:textId="77777777" w:rsidR="00F93107" w:rsidRPr="00C23CE7" w:rsidRDefault="00F93107" w:rsidP="007044A0">
            <w:pPr>
              <w:spacing w:after="0" w:line="240" w:lineRule="auto"/>
              <w:rPr>
                <w:rFonts w:ascii="Arial" w:eastAsia="Arial" w:hAnsi="Arial" w:cs="Arial"/>
                <w:color w:val="auto"/>
                <w:sz w:val="18"/>
                <w:szCs w:val="18"/>
              </w:rPr>
            </w:pPr>
          </w:p>
          <w:p w14:paraId="2F4F5DB5" w14:textId="42270B49" w:rsidR="00F93107" w:rsidRPr="00C23CE7" w:rsidRDefault="00F9310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antibiotics included in this comparator are based on </w:t>
            </w:r>
            <w:hyperlink r:id="rId15"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and may not reflect local prescribing guidance. Prescription data does not include a diagnostic code and therefore it is possible the antibiotics in this comparator may have been prescribed for a different purpose.</w:t>
            </w:r>
            <w:r w:rsidR="005D53EC" w:rsidRPr="00C23CE7">
              <w:rPr>
                <w:rFonts w:ascii="Arial" w:eastAsia="Arial" w:hAnsi="Arial" w:cs="Arial"/>
                <w:color w:val="auto"/>
                <w:sz w:val="18"/>
                <w:szCs w:val="18"/>
              </w:rPr>
              <w:t xml:space="preserve"> Comparators UTI02 and UTI03 allow users to select individual antibiotics to reflect local prescribing guidance.</w:t>
            </w:r>
          </w:p>
          <w:p w14:paraId="07531600" w14:textId="77777777" w:rsidR="00F93107" w:rsidRPr="00C23CE7" w:rsidRDefault="00F93107" w:rsidP="007044A0">
            <w:pPr>
              <w:spacing w:after="0" w:line="240" w:lineRule="auto"/>
              <w:rPr>
                <w:rFonts w:ascii="Arial" w:eastAsia="Arial" w:hAnsi="Arial" w:cs="Arial"/>
                <w:color w:val="auto"/>
                <w:sz w:val="18"/>
                <w:szCs w:val="18"/>
              </w:rPr>
            </w:pPr>
          </w:p>
          <w:p w14:paraId="26962668" w14:textId="403F23F6" w:rsidR="00F93107" w:rsidRPr="00C23CE7" w:rsidRDefault="00F93107"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Two of the antibiotics in this comparator are also recommended by </w:t>
            </w:r>
            <w:hyperlink r:id="rId16"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for the </w:t>
            </w:r>
            <w:r w:rsidR="00CF3D1A" w:rsidRPr="00C23CE7">
              <w:rPr>
                <w:rFonts w:ascii="Arial" w:eastAsia="Arial" w:hAnsi="Arial" w:cs="Arial"/>
                <w:color w:val="auto"/>
                <w:sz w:val="18"/>
                <w:szCs w:val="18"/>
              </w:rPr>
              <w:t>prevention</w:t>
            </w:r>
            <w:r w:rsidRPr="00C23CE7">
              <w:rPr>
                <w:rFonts w:ascii="Arial" w:eastAsia="Arial" w:hAnsi="Arial" w:cs="Arial"/>
                <w:color w:val="auto"/>
                <w:sz w:val="18"/>
                <w:szCs w:val="18"/>
              </w:rPr>
              <w:t xml:space="preserve"> of recurrent urinary tract infection </w:t>
            </w:r>
            <w:r w:rsidR="005D53EC" w:rsidRPr="00C23CE7">
              <w:rPr>
                <w:rFonts w:ascii="Arial" w:eastAsia="Arial" w:hAnsi="Arial" w:cs="Arial"/>
                <w:color w:val="auto"/>
                <w:sz w:val="18"/>
                <w:szCs w:val="18"/>
              </w:rPr>
              <w:t xml:space="preserve">and consideration should be given to this when using the data to identify opportunities for improvement. Comparators UTI04 and UTI05 report a count of people who have been prescribed trimethoprim or nitrofurantoin more than once in a </w:t>
            </w:r>
            <w:r w:rsidR="006E026A" w:rsidRPr="00C23CE7">
              <w:rPr>
                <w:rFonts w:ascii="Arial" w:eastAsia="Arial" w:hAnsi="Arial" w:cs="Arial"/>
                <w:color w:val="auto"/>
                <w:sz w:val="18"/>
                <w:szCs w:val="18"/>
              </w:rPr>
              <w:t>three-month</w:t>
            </w:r>
            <w:r w:rsidR="005D53EC" w:rsidRPr="00C23CE7">
              <w:rPr>
                <w:rFonts w:ascii="Arial" w:eastAsia="Arial" w:hAnsi="Arial" w:cs="Arial"/>
                <w:color w:val="auto"/>
                <w:sz w:val="18"/>
                <w:szCs w:val="18"/>
              </w:rPr>
              <w:t xml:space="preserve"> period, and this may reflect </w:t>
            </w:r>
            <w:r w:rsidR="00CF3D1A" w:rsidRPr="00C23CE7">
              <w:rPr>
                <w:rFonts w:ascii="Arial" w:eastAsia="Arial" w:hAnsi="Arial" w:cs="Arial"/>
                <w:color w:val="auto"/>
                <w:sz w:val="18"/>
                <w:szCs w:val="18"/>
              </w:rPr>
              <w:t>prevention</w:t>
            </w:r>
            <w:r w:rsidR="005D53EC" w:rsidRPr="00C23CE7">
              <w:rPr>
                <w:rFonts w:ascii="Arial" w:eastAsia="Arial" w:hAnsi="Arial" w:cs="Arial"/>
                <w:color w:val="auto"/>
                <w:sz w:val="18"/>
                <w:szCs w:val="18"/>
              </w:rPr>
              <w:t xml:space="preserve"> of recurrent urinary tract infection.</w:t>
            </w:r>
          </w:p>
          <w:p w14:paraId="6E2F80DC" w14:textId="77777777" w:rsidR="007D3866" w:rsidRPr="00C23CE7" w:rsidRDefault="007D3866" w:rsidP="007044A0">
            <w:pPr>
              <w:spacing w:after="0" w:line="240" w:lineRule="auto"/>
              <w:rPr>
                <w:rFonts w:ascii="Arial" w:eastAsia="Arial" w:hAnsi="Arial" w:cs="Arial"/>
                <w:color w:val="auto"/>
                <w:sz w:val="18"/>
                <w:szCs w:val="18"/>
              </w:rPr>
            </w:pPr>
          </w:p>
          <w:p w14:paraId="737331C2" w14:textId="77777777" w:rsidR="007D3866" w:rsidRPr="00C23CE7" w:rsidRDefault="007D3866" w:rsidP="007D386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17"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primary care prescribing of antibiotics to treat lower urinary tract infection  and prevent recurrent urinary tract infection in adults aged 70+ years.</w:t>
            </w:r>
          </w:p>
          <w:p w14:paraId="2BC55B5E" w14:textId="77777777" w:rsidR="00E447DA" w:rsidRPr="00C23CE7" w:rsidRDefault="00E447DA" w:rsidP="007044A0">
            <w:pPr>
              <w:spacing w:after="0" w:line="240" w:lineRule="auto"/>
              <w:rPr>
                <w:rFonts w:ascii="Arial" w:eastAsia="Arial" w:hAnsi="Arial" w:cs="Arial"/>
                <w:color w:val="auto"/>
                <w:sz w:val="18"/>
                <w:szCs w:val="18"/>
              </w:rPr>
            </w:pPr>
          </w:p>
          <w:p w14:paraId="164AA8D6" w14:textId="690C536D" w:rsidR="00E447DA" w:rsidRPr="00C23CE7" w:rsidRDefault="00E447DA"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18"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 </w:t>
            </w:r>
          </w:p>
        </w:tc>
      </w:tr>
    </w:tbl>
    <w:p w14:paraId="01A6D19F" w14:textId="77777777" w:rsidR="000917B7" w:rsidRPr="00C23CE7" w:rsidRDefault="000917B7" w:rsidP="00A067ED"/>
    <w:p w14:paraId="2767C108" w14:textId="77777777" w:rsidR="00971788" w:rsidRPr="00C23CE7" w:rsidRDefault="00971788" w:rsidP="00A067ED">
      <w:pPr>
        <w:rPr>
          <w:rFonts w:ascii="Arial" w:eastAsia="Arial" w:hAnsi="Arial" w:cs="Arial"/>
          <w:b/>
          <w:bCs/>
          <w:sz w:val="20"/>
          <w:szCs w:val="20"/>
        </w:rPr>
      </w:pPr>
      <w:r w:rsidRPr="00C23CE7">
        <w:rPr>
          <w:bCs/>
        </w:rPr>
        <w:br w:type="page"/>
      </w:r>
    </w:p>
    <w:p w14:paraId="0233AB3A" w14:textId="2235A1DC" w:rsidR="00956E6C" w:rsidRPr="00C23CE7" w:rsidRDefault="00C80CB6" w:rsidP="00CC56ED">
      <w:pPr>
        <w:pStyle w:val="Heading2"/>
      </w:pPr>
      <w:bookmarkStart w:id="30" w:name="_Toc180492666"/>
      <w:r w:rsidRPr="00C23CE7">
        <w:lastRenderedPageBreak/>
        <w:t>UTI02 - Number of selected antibiotic items per 1,000 population</w:t>
      </w:r>
      <w:bookmarkEnd w:id="30"/>
    </w:p>
    <w:p w14:paraId="735DC75B" w14:textId="77777777" w:rsidR="008D5FD6" w:rsidRPr="00C23CE7" w:rsidRDefault="008D5FD6" w:rsidP="008D5FD6"/>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D1135D" w:rsidRPr="00C23CE7" w14:paraId="5C001692" w14:textId="77777777" w:rsidTr="007044A0">
        <w:tc>
          <w:tcPr>
            <w:tcW w:w="9889" w:type="dxa"/>
            <w:gridSpan w:val="3"/>
            <w:shd w:val="clear" w:color="auto" w:fill="D9D9D9"/>
          </w:tcPr>
          <w:p w14:paraId="5209C60F" w14:textId="77777777" w:rsidR="00D1135D" w:rsidRPr="00C23CE7" w:rsidRDefault="00D1135D" w:rsidP="007044A0">
            <w:pPr>
              <w:spacing w:line="240" w:lineRule="auto"/>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D1135D" w:rsidRPr="00C23CE7" w14:paraId="05B4A764" w14:textId="77777777" w:rsidTr="007044A0">
        <w:trPr>
          <w:trHeight w:val="312"/>
        </w:trPr>
        <w:tc>
          <w:tcPr>
            <w:tcW w:w="534" w:type="dxa"/>
            <w:shd w:val="clear" w:color="auto" w:fill="auto"/>
          </w:tcPr>
          <w:p w14:paraId="0A6ED92D"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1.1</w:t>
            </w:r>
          </w:p>
        </w:tc>
        <w:tc>
          <w:tcPr>
            <w:tcW w:w="1417" w:type="dxa"/>
            <w:tcBorders>
              <w:bottom w:val="single" w:sz="4" w:space="0" w:color="000000"/>
            </w:tcBorders>
            <w:shd w:val="clear" w:color="auto" w:fill="D9D9D9"/>
          </w:tcPr>
          <w:p w14:paraId="598E49AB"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42AD1969"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UTI02 - Number of selected antibiotic items per 1,000 population</w:t>
            </w:r>
          </w:p>
        </w:tc>
      </w:tr>
      <w:tr w:rsidR="00D1135D" w:rsidRPr="00C23CE7" w14:paraId="61912EAE" w14:textId="77777777" w:rsidTr="007044A0">
        <w:trPr>
          <w:trHeight w:val="544"/>
        </w:trPr>
        <w:tc>
          <w:tcPr>
            <w:tcW w:w="534" w:type="dxa"/>
            <w:shd w:val="clear" w:color="auto" w:fill="auto"/>
          </w:tcPr>
          <w:p w14:paraId="7E865D6C"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03BAFDFC"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37AE68DD" w14:textId="3769D0A8" w:rsidR="00D1135D" w:rsidRPr="00C23CE7" w:rsidRDefault="00D1135D" w:rsidP="007044A0">
            <w:pPr>
              <w:spacing w:after="0" w:line="240" w:lineRule="auto"/>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 xml:space="preserve">This </w:t>
            </w:r>
            <w:r w:rsidR="004155E4" w:rsidRPr="00C23CE7">
              <w:rPr>
                <w:rFonts w:ascii="Arial" w:hAnsi="Arial" w:cs="Arial"/>
                <w:color w:val="auto"/>
                <w:sz w:val="18"/>
                <w:szCs w:val="21"/>
                <w:shd w:val="clear" w:color="auto" w:fill="FFFFFF"/>
              </w:rPr>
              <w:t>comparator</w:t>
            </w:r>
            <w:r w:rsidRPr="00C23CE7">
              <w:rPr>
                <w:rFonts w:ascii="Arial" w:hAnsi="Arial" w:cs="Arial"/>
                <w:color w:val="auto"/>
                <w:sz w:val="18"/>
                <w:szCs w:val="21"/>
                <w:shd w:val="clear" w:color="auto" w:fill="FFFFFF"/>
              </w:rPr>
              <w:t xml:space="preserve"> </w:t>
            </w:r>
            <w:r w:rsidR="00CF6EDE" w:rsidRPr="00C23CE7">
              <w:rPr>
                <w:rFonts w:ascii="Arial" w:hAnsi="Arial" w:cs="Arial"/>
                <w:color w:val="auto"/>
                <w:sz w:val="18"/>
                <w:szCs w:val="21"/>
                <w:shd w:val="clear" w:color="auto" w:fill="FFFFFF"/>
              </w:rPr>
              <w:t xml:space="preserve">reports </w:t>
            </w:r>
            <w:r w:rsidRPr="00C23CE7">
              <w:rPr>
                <w:rFonts w:ascii="Arial" w:hAnsi="Arial" w:cs="Arial"/>
                <w:color w:val="auto"/>
                <w:sz w:val="18"/>
                <w:szCs w:val="21"/>
                <w:shd w:val="clear" w:color="auto" w:fill="FFFFFF"/>
              </w:rPr>
              <w:t xml:space="preserve">the number of prescription items for patients by selected gender and age band(s), and for selected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as listed in section 1.7, per 1,000 people based on GP practice list size, for the same selected gender and age band(s).</w:t>
            </w:r>
          </w:p>
          <w:p w14:paraId="38F9C898" w14:textId="77777777" w:rsidR="00D1135D" w:rsidRPr="00C23CE7" w:rsidRDefault="00D1135D" w:rsidP="007044A0">
            <w:pPr>
              <w:spacing w:after="0" w:line="240" w:lineRule="auto"/>
              <w:jc w:val="both"/>
              <w:rPr>
                <w:rFonts w:ascii="Arial" w:eastAsia="Arial" w:hAnsi="Arial" w:cs="Arial"/>
                <w:color w:val="FF0000"/>
                <w:sz w:val="18"/>
                <w:szCs w:val="18"/>
              </w:rPr>
            </w:pPr>
          </w:p>
        </w:tc>
      </w:tr>
      <w:tr w:rsidR="00D1135D" w:rsidRPr="00C23CE7" w14:paraId="308DDB0F" w14:textId="77777777" w:rsidTr="007044A0">
        <w:trPr>
          <w:trHeight w:val="566"/>
        </w:trPr>
        <w:tc>
          <w:tcPr>
            <w:tcW w:w="534" w:type="dxa"/>
            <w:shd w:val="clear" w:color="auto" w:fill="auto"/>
          </w:tcPr>
          <w:p w14:paraId="19B8C3A5"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60366323"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21861986" w14:textId="467C4DFF" w:rsidR="00D1135D" w:rsidRPr="00C23CE7" w:rsidRDefault="00F061D0"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Single-month totals (displayed as a snapshot and multiple-month trend)</w:t>
            </w:r>
            <w:r w:rsidR="00D1135D" w:rsidRPr="00C23CE7">
              <w:rPr>
                <w:rFonts w:ascii="Arial" w:eastAsia="Arial" w:hAnsi="Arial" w:cs="Arial"/>
                <w:color w:val="auto"/>
                <w:sz w:val="18"/>
                <w:szCs w:val="18"/>
              </w:rPr>
              <w:t>, calculated at practice, PCN, SICBL, ICB, NHS Region and national levels, depending on the selected dashboard view.</w:t>
            </w:r>
          </w:p>
        </w:tc>
      </w:tr>
      <w:tr w:rsidR="00D1135D" w:rsidRPr="00C23CE7" w14:paraId="7CE11CD3" w14:textId="77777777" w:rsidTr="007044A0">
        <w:trPr>
          <w:trHeight w:hRule="exact" w:val="774"/>
        </w:trPr>
        <w:tc>
          <w:tcPr>
            <w:tcW w:w="534" w:type="dxa"/>
            <w:shd w:val="clear" w:color="auto" w:fill="auto"/>
          </w:tcPr>
          <w:p w14:paraId="4D199CD3"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6AA22457"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695907B4" w14:textId="26470247" w:rsidR="00D1135D" w:rsidRPr="00C23CE7" w:rsidRDefault="00D1135D"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 xml:space="preserve">Number of prescription items </w:t>
            </w:r>
            <w:r w:rsidRPr="00C23CE7">
              <w:rPr>
                <w:rFonts w:ascii="Arial" w:hAnsi="Arial" w:cs="Arial"/>
                <w:color w:val="auto"/>
                <w:sz w:val="18"/>
                <w:szCs w:val="21"/>
                <w:shd w:val="clear" w:color="auto" w:fill="FFFFFF"/>
              </w:rPr>
              <w:t xml:space="preserve">for selected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as listed in section 1.7</w:t>
            </w:r>
            <w:r w:rsidRPr="00C23CE7">
              <w:rPr>
                <w:rFonts w:ascii="Arial" w:eastAsia="Arial" w:hAnsi="Arial" w:cs="Arial"/>
                <w:color w:val="auto"/>
                <w:sz w:val="18"/>
                <w:szCs w:val="18"/>
              </w:rPr>
              <w:t xml:space="preserve">, prescribed and dispensed in the </w:t>
            </w:r>
            <w:r w:rsidR="00F63B09" w:rsidRPr="00C23CE7">
              <w:rPr>
                <w:rFonts w:ascii="Arial" w:eastAsia="Arial" w:hAnsi="Arial" w:cs="Arial"/>
                <w:color w:val="auto"/>
                <w:sz w:val="18"/>
                <w:szCs w:val="18"/>
              </w:rPr>
              <w:t>selected month</w:t>
            </w:r>
            <w:r w:rsidRPr="00C23CE7">
              <w:rPr>
                <w:rFonts w:ascii="Arial" w:eastAsia="Arial" w:hAnsi="Arial" w:cs="Arial"/>
                <w:color w:val="auto"/>
                <w:sz w:val="18"/>
                <w:szCs w:val="18"/>
              </w:rPr>
              <w:t>, to patients in the selected gender and age band(s).</w:t>
            </w:r>
          </w:p>
          <w:p w14:paraId="17896606" w14:textId="77777777" w:rsidR="00D1135D" w:rsidRPr="00C23CE7" w:rsidRDefault="00D1135D" w:rsidP="007044A0">
            <w:pPr>
              <w:spacing w:after="0" w:line="240" w:lineRule="auto"/>
              <w:rPr>
                <w:rFonts w:ascii="Arial" w:eastAsia="Arial" w:hAnsi="Arial" w:cs="Arial"/>
                <w:color w:val="FF0000"/>
                <w:sz w:val="18"/>
                <w:szCs w:val="18"/>
              </w:rPr>
            </w:pPr>
          </w:p>
          <w:p w14:paraId="0D1BC1A9" w14:textId="77777777" w:rsidR="00D1135D" w:rsidRPr="00C23CE7" w:rsidRDefault="00D1135D" w:rsidP="007044A0">
            <w:pPr>
              <w:spacing w:after="0" w:line="240" w:lineRule="auto"/>
              <w:rPr>
                <w:rFonts w:ascii="Arial" w:eastAsia="Arial" w:hAnsi="Arial" w:cs="Arial"/>
                <w:color w:val="FF0000"/>
                <w:sz w:val="18"/>
                <w:szCs w:val="18"/>
              </w:rPr>
            </w:pPr>
          </w:p>
        </w:tc>
      </w:tr>
      <w:tr w:rsidR="00D1135D" w:rsidRPr="00C23CE7" w14:paraId="0DE23C13" w14:textId="77777777" w:rsidTr="007044A0">
        <w:trPr>
          <w:trHeight w:val="460"/>
        </w:trPr>
        <w:tc>
          <w:tcPr>
            <w:tcW w:w="534" w:type="dxa"/>
            <w:shd w:val="clear" w:color="auto" w:fill="auto"/>
          </w:tcPr>
          <w:p w14:paraId="631BBFD7"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3A9B783E"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7960B3E4" w14:textId="77777777" w:rsidR="00D1135D" w:rsidRPr="00C23CE7" w:rsidRDefault="00D1135D"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 xml:space="preserve">Practice list size for the selected gender and age band(s), aggregated to the selected organisation view.  </w:t>
            </w:r>
          </w:p>
        </w:tc>
      </w:tr>
      <w:tr w:rsidR="00D1135D" w:rsidRPr="00C23CE7" w14:paraId="4A1CE31D" w14:textId="77777777" w:rsidTr="007044A0">
        <w:tc>
          <w:tcPr>
            <w:tcW w:w="534" w:type="dxa"/>
            <w:shd w:val="clear" w:color="auto" w:fill="auto"/>
          </w:tcPr>
          <w:p w14:paraId="3B275D53"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70340A5F"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177EDAD2"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Numerator divided by denominator, expressed per 1,000 patients.</w:t>
            </w:r>
          </w:p>
          <w:p w14:paraId="789D6AF3" w14:textId="77777777" w:rsidR="00D1135D" w:rsidRPr="00C23CE7" w:rsidRDefault="00D1135D" w:rsidP="007044A0">
            <w:pPr>
              <w:spacing w:after="0" w:line="240" w:lineRule="auto"/>
              <w:rPr>
                <w:rFonts w:ascii="Arial" w:eastAsia="Arial" w:hAnsi="Arial" w:cs="Arial"/>
                <w:color w:val="auto"/>
                <w:sz w:val="18"/>
                <w:szCs w:val="18"/>
              </w:rPr>
            </w:pPr>
          </w:p>
        </w:tc>
      </w:tr>
      <w:tr w:rsidR="00D1135D" w:rsidRPr="00C23CE7" w14:paraId="32AEBF7F" w14:textId="77777777" w:rsidTr="007044A0">
        <w:tc>
          <w:tcPr>
            <w:tcW w:w="534" w:type="dxa"/>
            <w:shd w:val="clear" w:color="auto" w:fill="auto"/>
          </w:tcPr>
          <w:p w14:paraId="5141ACAC"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1.7</w:t>
            </w:r>
          </w:p>
        </w:tc>
        <w:tc>
          <w:tcPr>
            <w:tcW w:w="1417" w:type="dxa"/>
            <w:tcBorders>
              <w:top w:val="single" w:sz="4" w:space="0" w:color="000000"/>
            </w:tcBorders>
            <w:shd w:val="clear" w:color="auto" w:fill="D9D9D9"/>
          </w:tcPr>
          <w:p w14:paraId="5F8A13DB" w14:textId="77777777" w:rsidR="00D1135D" w:rsidRPr="00C23CE7" w:rsidRDefault="00D1135D" w:rsidP="007044A0">
            <w:pPr>
              <w:spacing w:after="0" w:line="240" w:lineRule="auto"/>
              <w:rPr>
                <w:rFonts w:ascii="Arial" w:eastAsia="Arial" w:hAnsi="Arial" w:cs="Arial"/>
                <w:b/>
                <w:color w:val="auto"/>
                <w:sz w:val="18"/>
                <w:szCs w:val="18"/>
              </w:rPr>
            </w:pPr>
            <w:r w:rsidRPr="00C23CE7">
              <w:rPr>
                <w:rFonts w:ascii="Arial" w:eastAsia="Arial" w:hAnsi="Arial" w:cs="Arial"/>
                <w:b/>
                <w:color w:val="auto"/>
                <w:sz w:val="18"/>
                <w:szCs w:val="18"/>
              </w:rPr>
              <w:t>Medicines</w:t>
            </w:r>
          </w:p>
        </w:tc>
        <w:tc>
          <w:tcPr>
            <w:tcW w:w="7938" w:type="dxa"/>
          </w:tcPr>
          <w:p w14:paraId="4F289C70"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Users can select one of more of the following antibiotics:</w:t>
            </w:r>
          </w:p>
          <w:p w14:paraId="64065365" w14:textId="77777777" w:rsidR="00D1135D" w:rsidRPr="00C23CE7" w:rsidRDefault="00D1135D" w:rsidP="007044A0">
            <w:pPr>
              <w:spacing w:after="0" w:line="240" w:lineRule="auto"/>
              <w:rPr>
                <w:rFonts w:ascii="Arial" w:eastAsia="Arial" w:hAnsi="Arial" w:cs="Arial"/>
                <w:color w:val="auto"/>
                <w:sz w:val="18"/>
                <w:szCs w:val="18"/>
              </w:rPr>
            </w:pPr>
          </w:p>
          <w:p w14:paraId="61BA3A4F"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Cefalexin</w:t>
            </w:r>
          </w:p>
          <w:p w14:paraId="60313AFE" w14:textId="77777777" w:rsidR="008D5FD6" w:rsidRPr="00C23CE7" w:rsidRDefault="008D5FD6" w:rsidP="008D5FD6">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Calcium</w:t>
            </w:r>
          </w:p>
          <w:p w14:paraId="5BB11570" w14:textId="77777777" w:rsidR="008D5FD6" w:rsidRPr="00C23CE7" w:rsidRDefault="008D5FD6" w:rsidP="008D5FD6">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Trometamol</w:t>
            </w:r>
          </w:p>
          <w:p w14:paraId="1B4B996B"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Methenamine hippurate</w:t>
            </w:r>
          </w:p>
          <w:p w14:paraId="3E496AE6"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Nitrofurantoin</w:t>
            </w:r>
          </w:p>
          <w:p w14:paraId="2196C8E8"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Pivmecillinam hydrochloride</w:t>
            </w:r>
          </w:p>
          <w:p w14:paraId="30A62D78" w14:textId="77777777" w:rsidR="00D1135D" w:rsidRPr="00C23CE7" w:rsidRDefault="00D1135D" w:rsidP="00D1135D">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Trimethoprim</w:t>
            </w:r>
          </w:p>
          <w:p w14:paraId="722B2F7B" w14:textId="77777777" w:rsidR="00D1135D" w:rsidRPr="00C23CE7" w:rsidRDefault="00D1135D" w:rsidP="007044A0">
            <w:pPr>
              <w:spacing w:after="0" w:line="240" w:lineRule="auto"/>
              <w:rPr>
                <w:rFonts w:ascii="Arial" w:eastAsia="Arial" w:hAnsi="Arial" w:cs="Arial"/>
                <w:color w:val="auto"/>
                <w:sz w:val="18"/>
                <w:szCs w:val="18"/>
              </w:rPr>
            </w:pPr>
          </w:p>
          <w:p w14:paraId="7DC9682F" w14:textId="77777777" w:rsidR="00D1135D" w:rsidRPr="00C23CE7" w:rsidRDefault="00D1135D" w:rsidP="007044A0">
            <w:pPr>
              <w:spacing w:after="0" w:line="240" w:lineRule="auto"/>
              <w:rPr>
                <w:rFonts w:ascii="Arial" w:eastAsia="Arial" w:hAnsi="Arial" w:cs="Arial"/>
                <w:color w:val="auto"/>
                <w:sz w:val="18"/>
                <w:szCs w:val="18"/>
              </w:rPr>
            </w:pPr>
          </w:p>
        </w:tc>
      </w:tr>
      <w:tr w:rsidR="00D1135D" w:rsidRPr="00C23CE7" w14:paraId="7F72875A" w14:textId="77777777" w:rsidTr="007044A0">
        <w:tc>
          <w:tcPr>
            <w:tcW w:w="9889" w:type="dxa"/>
            <w:gridSpan w:val="3"/>
            <w:shd w:val="clear" w:color="auto" w:fill="D9D9D9"/>
          </w:tcPr>
          <w:p w14:paraId="74F53EAE"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2: Rationale</w:t>
            </w:r>
          </w:p>
        </w:tc>
      </w:tr>
      <w:tr w:rsidR="00D1135D" w:rsidRPr="00C23CE7" w14:paraId="1FA09B8F" w14:textId="77777777" w:rsidTr="007044A0">
        <w:trPr>
          <w:trHeight w:val="1220"/>
        </w:trPr>
        <w:tc>
          <w:tcPr>
            <w:tcW w:w="534" w:type="dxa"/>
            <w:shd w:val="clear" w:color="auto" w:fill="auto"/>
          </w:tcPr>
          <w:p w14:paraId="67BF887F"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2.1</w:t>
            </w:r>
          </w:p>
          <w:p w14:paraId="39E45344" w14:textId="77777777" w:rsidR="00D1135D" w:rsidRPr="00C23CE7" w:rsidRDefault="00D1135D"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075B3D76" w14:textId="77777777" w:rsidR="00D1135D" w:rsidRPr="00C23CE7" w:rsidRDefault="00D1135D"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39FFAC12" w14:textId="42EA8804" w:rsidR="00B40D96" w:rsidRPr="00C23CE7" w:rsidRDefault="00B40D96"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allows users to identify the population exposure to antibiotics recommended by </w:t>
            </w:r>
            <w:hyperlink r:id="rId19"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for the treatment of lower urinary tract infection and/or </w:t>
            </w:r>
            <w:hyperlink r:id="rId20"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for the </w:t>
            </w:r>
            <w:r w:rsidR="00CF3D1A" w:rsidRPr="00C23CE7">
              <w:rPr>
                <w:rFonts w:ascii="Arial" w:eastAsia="Arial" w:hAnsi="Arial" w:cs="Arial"/>
                <w:color w:val="auto"/>
                <w:sz w:val="18"/>
                <w:szCs w:val="18"/>
              </w:rPr>
              <w:t>prevention</w:t>
            </w:r>
            <w:r w:rsidRPr="00C23CE7">
              <w:rPr>
                <w:rFonts w:ascii="Arial" w:eastAsia="Arial" w:hAnsi="Arial" w:cs="Arial"/>
                <w:color w:val="auto"/>
                <w:sz w:val="18"/>
                <w:szCs w:val="18"/>
              </w:rPr>
              <w:t xml:space="preserve"> of recurrent urinary tract infection by selected gender and age bands, and identifies variation in prescribing activity by selected antibiotic. This may identify opportunities for improvement in the management of lower UTI</w:t>
            </w:r>
            <w:r w:rsidR="00CF3D1A" w:rsidRPr="00C23CE7">
              <w:rPr>
                <w:rFonts w:ascii="Arial" w:eastAsia="Arial" w:hAnsi="Arial" w:cs="Arial"/>
                <w:color w:val="auto"/>
                <w:sz w:val="18"/>
                <w:szCs w:val="18"/>
              </w:rPr>
              <w:t xml:space="preserve"> and recurrent UTI</w:t>
            </w:r>
            <w:r w:rsidRPr="00C23CE7">
              <w:rPr>
                <w:rFonts w:ascii="Arial" w:eastAsia="Arial" w:hAnsi="Arial" w:cs="Arial"/>
                <w:color w:val="auto"/>
                <w:sz w:val="18"/>
                <w:szCs w:val="18"/>
              </w:rPr>
              <w:t xml:space="preserve"> in selected </w:t>
            </w:r>
            <w:r w:rsidR="00CF3D1A" w:rsidRPr="00C23CE7">
              <w:rPr>
                <w:rFonts w:ascii="Arial" w:eastAsia="Arial" w:hAnsi="Arial" w:cs="Arial"/>
                <w:color w:val="auto"/>
                <w:sz w:val="18"/>
                <w:szCs w:val="18"/>
              </w:rPr>
              <w:t>populations and may</w:t>
            </w:r>
            <w:r w:rsidRPr="00C23CE7">
              <w:rPr>
                <w:rFonts w:ascii="Arial" w:eastAsia="Arial" w:hAnsi="Arial" w:cs="Arial"/>
                <w:color w:val="auto"/>
                <w:sz w:val="18"/>
                <w:szCs w:val="18"/>
              </w:rPr>
              <w:t xml:space="preserve"> identify compliance with local prescribing guid</w:t>
            </w:r>
            <w:r w:rsidR="00CF3D1A" w:rsidRPr="00C23CE7">
              <w:rPr>
                <w:rFonts w:ascii="Arial" w:eastAsia="Arial" w:hAnsi="Arial" w:cs="Arial"/>
                <w:color w:val="auto"/>
                <w:sz w:val="18"/>
                <w:szCs w:val="18"/>
              </w:rPr>
              <w:t>elines.</w:t>
            </w:r>
          </w:p>
          <w:p w14:paraId="26B63432" w14:textId="77777777" w:rsidR="004220E6" w:rsidRPr="00C23CE7" w:rsidRDefault="004220E6" w:rsidP="00B40D96">
            <w:pPr>
              <w:spacing w:after="0" w:line="240" w:lineRule="auto"/>
              <w:rPr>
                <w:rFonts w:ascii="Arial" w:eastAsia="Arial" w:hAnsi="Arial" w:cs="Arial"/>
                <w:color w:val="auto"/>
                <w:sz w:val="18"/>
                <w:szCs w:val="18"/>
              </w:rPr>
            </w:pPr>
          </w:p>
          <w:p w14:paraId="28EE86D3" w14:textId="67ABAAAA" w:rsidR="004220E6" w:rsidRPr="00C23CE7" w:rsidRDefault="004220E6"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Use of tiles allows the user to identify the prescription item rate for all 6 individual antibiotics in scope independent of the antibiotic/s selected. </w:t>
            </w:r>
          </w:p>
          <w:p w14:paraId="2078F426" w14:textId="77777777" w:rsidR="00B40D96" w:rsidRPr="00C23CE7" w:rsidRDefault="00B40D96" w:rsidP="00B40D96">
            <w:pPr>
              <w:spacing w:after="0" w:line="240" w:lineRule="auto"/>
              <w:rPr>
                <w:rFonts w:ascii="Arial" w:eastAsia="Arial" w:hAnsi="Arial" w:cs="Arial"/>
                <w:color w:val="auto"/>
                <w:sz w:val="18"/>
                <w:szCs w:val="18"/>
              </w:rPr>
            </w:pPr>
          </w:p>
          <w:p w14:paraId="5B3B25D4" w14:textId="769780E3" w:rsidR="00B40D96" w:rsidRPr="00C23CE7" w:rsidRDefault="00B40D96"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antibiotics included in this comparator are based on </w:t>
            </w:r>
            <w:hyperlink r:id="rId21"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w:t>
            </w:r>
            <w:r w:rsidR="00CF3D1A" w:rsidRPr="00C23CE7">
              <w:rPr>
                <w:rFonts w:ascii="Arial" w:eastAsia="Arial" w:hAnsi="Arial" w:cs="Arial"/>
                <w:color w:val="auto"/>
                <w:sz w:val="18"/>
                <w:szCs w:val="18"/>
              </w:rPr>
              <w:t xml:space="preserve">and </w:t>
            </w:r>
            <w:hyperlink r:id="rId22" w:history="1">
              <w:r w:rsidR="00CF3D1A" w:rsidRPr="00C23CE7">
                <w:rPr>
                  <w:rStyle w:val="Hyperlink"/>
                  <w:rFonts w:ascii="Arial" w:eastAsia="Arial" w:hAnsi="Arial" w:cs="Arial"/>
                  <w:sz w:val="18"/>
                  <w:szCs w:val="18"/>
                </w:rPr>
                <w:t>NICE NG112</w:t>
              </w:r>
            </w:hyperlink>
            <w:r w:rsidR="00CF3D1A" w:rsidRPr="00C23CE7">
              <w:rPr>
                <w:rFonts w:ascii="Arial" w:eastAsia="Arial" w:hAnsi="Arial" w:cs="Arial"/>
                <w:color w:val="auto"/>
                <w:sz w:val="18"/>
                <w:szCs w:val="18"/>
              </w:rPr>
              <w:t xml:space="preserve"> </w:t>
            </w:r>
            <w:r w:rsidRPr="00C23CE7">
              <w:rPr>
                <w:rFonts w:ascii="Arial" w:eastAsia="Arial" w:hAnsi="Arial" w:cs="Arial"/>
                <w:color w:val="auto"/>
                <w:sz w:val="18"/>
                <w:szCs w:val="18"/>
              </w:rPr>
              <w:t>and may not reflect local prescribing guidance. Prescription data does not include a diagnostic code and therefore it is possible the antibiotics in this comparator may have been prescribed for a different purpose. Comparators UTI02 and UTI03 allow users to select individual antibiotics to reflect local prescribing guidance.</w:t>
            </w:r>
          </w:p>
          <w:p w14:paraId="07270F8F" w14:textId="77777777" w:rsidR="00B40D96" w:rsidRPr="00C23CE7" w:rsidRDefault="00B40D96" w:rsidP="00B40D96">
            <w:pPr>
              <w:spacing w:after="0" w:line="240" w:lineRule="auto"/>
              <w:rPr>
                <w:rFonts w:ascii="Arial" w:eastAsia="Arial" w:hAnsi="Arial" w:cs="Arial"/>
                <w:color w:val="auto"/>
                <w:sz w:val="18"/>
                <w:szCs w:val="18"/>
              </w:rPr>
            </w:pPr>
          </w:p>
          <w:p w14:paraId="549B0EA0" w14:textId="078706A3" w:rsidR="00D1135D" w:rsidRPr="00C23CE7" w:rsidRDefault="00CF3D1A"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Three</w:t>
            </w:r>
            <w:r w:rsidR="00B40D96" w:rsidRPr="00C23CE7">
              <w:rPr>
                <w:rFonts w:ascii="Arial" w:eastAsia="Arial" w:hAnsi="Arial" w:cs="Arial"/>
                <w:color w:val="auto"/>
                <w:sz w:val="18"/>
                <w:szCs w:val="18"/>
              </w:rPr>
              <w:t xml:space="preserve"> of the antibiotics in this comparator are also recommended by </w:t>
            </w:r>
            <w:hyperlink r:id="rId23" w:history="1">
              <w:r w:rsidR="00B40D96" w:rsidRPr="00C23CE7">
                <w:rPr>
                  <w:rStyle w:val="Hyperlink"/>
                  <w:rFonts w:ascii="Arial" w:eastAsia="Arial" w:hAnsi="Arial" w:cs="Arial"/>
                  <w:sz w:val="18"/>
                  <w:szCs w:val="18"/>
                </w:rPr>
                <w:t>NICE NG112</w:t>
              </w:r>
            </w:hyperlink>
            <w:r w:rsidR="00B40D96" w:rsidRPr="00C23CE7">
              <w:rPr>
                <w:rFonts w:ascii="Arial" w:eastAsia="Arial" w:hAnsi="Arial" w:cs="Arial"/>
                <w:color w:val="auto"/>
                <w:sz w:val="18"/>
                <w:szCs w:val="18"/>
              </w:rPr>
              <w:t xml:space="preserve"> for the </w:t>
            </w:r>
            <w:r w:rsidRPr="00C23CE7">
              <w:rPr>
                <w:rFonts w:ascii="Arial" w:eastAsia="Arial" w:hAnsi="Arial" w:cs="Arial"/>
                <w:color w:val="auto"/>
                <w:sz w:val="18"/>
                <w:szCs w:val="18"/>
              </w:rPr>
              <w:t>prevention</w:t>
            </w:r>
            <w:r w:rsidR="00B40D96" w:rsidRPr="00C23CE7">
              <w:rPr>
                <w:rFonts w:ascii="Arial" w:eastAsia="Arial" w:hAnsi="Arial" w:cs="Arial"/>
                <w:color w:val="auto"/>
                <w:sz w:val="18"/>
                <w:szCs w:val="18"/>
              </w:rPr>
              <w:t xml:space="preserve"> of recurrent urinary tract infection and consideration should be given to this when using the data to identify opportunities for improvement. Comparators UTI04 and UTI05 report a count of people who have been prescribed trimethoprim or nitrofurantoin more than once in a </w:t>
            </w:r>
            <w:r w:rsidR="006E026A" w:rsidRPr="00C23CE7">
              <w:rPr>
                <w:rFonts w:ascii="Arial" w:eastAsia="Arial" w:hAnsi="Arial" w:cs="Arial"/>
                <w:color w:val="auto"/>
                <w:sz w:val="18"/>
                <w:szCs w:val="18"/>
              </w:rPr>
              <w:t>three-month</w:t>
            </w:r>
            <w:r w:rsidR="00B40D96" w:rsidRPr="00C23CE7">
              <w:rPr>
                <w:rFonts w:ascii="Arial" w:eastAsia="Arial" w:hAnsi="Arial" w:cs="Arial"/>
                <w:color w:val="auto"/>
                <w:sz w:val="18"/>
                <w:szCs w:val="18"/>
              </w:rPr>
              <w:t xml:space="preserve"> period, and this may reflect </w:t>
            </w:r>
            <w:r w:rsidRPr="00C23CE7">
              <w:rPr>
                <w:rFonts w:ascii="Arial" w:eastAsia="Arial" w:hAnsi="Arial" w:cs="Arial"/>
                <w:color w:val="auto"/>
                <w:sz w:val="18"/>
                <w:szCs w:val="18"/>
              </w:rPr>
              <w:t>prevention</w:t>
            </w:r>
            <w:r w:rsidR="00B40D96" w:rsidRPr="00C23CE7">
              <w:rPr>
                <w:rFonts w:ascii="Arial" w:eastAsia="Arial" w:hAnsi="Arial" w:cs="Arial"/>
                <w:color w:val="auto"/>
                <w:sz w:val="18"/>
                <w:szCs w:val="18"/>
              </w:rPr>
              <w:t xml:space="preserve"> of recurrent urinary tract infection.</w:t>
            </w:r>
          </w:p>
          <w:p w14:paraId="2E27C8DE" w14:textId="77777777" w:rsidR="007D3866" w:rsidRPr="00C23CE7" w:rsidRDefault="007D3866" w:rsidP="00B40D96">
            <w:pPr>
              <w:spacing w:after="0" w:line="240" w:lineRule="auto"/>
              <w:rPr>
                <w:rFonts w:ascii="Arial" w:eastAsia="Arial" w:hAnsi="Arial" w:cs="Arial"/>
                <w:color w:val="auto"/>
                <w:sz w:val="18"/>
                <w:szCs w:val="18"/>
              </w:rPr>
            </w:pPr>
          </w:p>
          <w:p w14:paraId="588F2CE0" w14:textId="77777777" w:rsidR="007D3866" w:rsidRPr="00C23CE7" w:rsidRDefault="007D3866" w:rsidP="007D386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24"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primary care prescribing of antibiotics to treat lower urinary tract infection  and prevent recurrent urinary tract infection in adults aged 70+ years.</w:t>
            </w:r>
          </w:p>
          <w:p w14:paraId="4AA49B9F" w14:textId="77777777" w:rsidR="00E447DA" w:rsidRPr="00C23CE7" w:rsidRDefault="00E447DA" w:rsidP="00B40D96">
            <w:pPr>
              <w:spacing w:after="0" w:line="240" w:lineRule="auto"/>
              <w:rPr>
                <w:rFonts w:ascii="Arial" w:eastAsia="Arial" w:hAnsi="Arial" w:cs="Arial"/>
                <w:color w:val="auto"/>
                <w:sz w:val="18"/>
                <w:szCs w:val="18"/>
              </w:rPr>
            </w:pPr>
          </w:p>
          <w:p w14:paraId="1B72D6A1" w14:textId="323E55AF" w:rsidR="00E447DA" w:rsidRPr="00C23CE7" w:rsidRDefault="00E447DA" w:rsidP="00B40D9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25"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 </w:t>
            </w:r>
          </w:p>
        </w:tc>
      </w:tr>
    </w:tbl>
    <w:p w14:paraId="56FEEC5A" w14:textId="77777777" w:rsidR="00C80CB6" w:rsidRPr="00C23CE7" w:rsidRDefault="00C80CB6" w:rsidP="00956E6C"/>
    <w:p w14:paraId="02974ECA" w14:textId="77777777" w:rsidR="003C251E" w:rsidRPr="00C23CE7" w:rsidRDefault="003C251E" w:rsidP="00956E6C">
      <w:bookmarkStart w:id="31" w:name="_35nkun2" w:colFirst="0" w:colLast="0"/>
      <w:bookmarkEnd w:id="31"/>
    </w:p>
    <w:p w14:paraId="531C0836" w14:textId="7FB8B0B0" w:rsidR="00545C0A" w:rsidRPr="00C23CE7" w:rsidRDefault="00BD446A" w:rsidP="00CC56ED">
      <w:pPr>
        <w:pStyle w:val="Heading2"/>
      </w:pPr>
      <w:bookmarkStart w:id="32" w:name="_Toc180492667"/>
      <w:r w:rsidRPr="00C23CE7">
        <w:lastRenderedPageBreak/>
        <w:t>UTI03 - Number of people prescribed selected antibiotics per 1,000 population</w:t>
      </w:r>
      <w:bookmarkEnd w:id="32"/>
    </w:p>
    <w:p w14:paraId="699A5E5A" w14:textId="77777777" w:rsidR="008D5FD6" w:rsidRPr="00C23CE7" w:rsidRDefault="008D5FD6" w:rsidP="008D5FD6"/>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40431B" w:rsidRPr="00C23CE7" w14:paraId="6DA666A1" w14:textId="77777777" w:rsidTr="007044A0">
        <w:tc>
          <w:tcPr>
            <w:tcW w:w="9889" w:type="dxa"/>
            <w:gridSpan w:val="3"/>
            <w:shd w:val="clear" w:color="auto" w:fill="D9D9D9"/>
          </w:tcPr>
          <w:p w14:paraId="79A5EDF2" w14:textId="77777777" w:rsidR="0040431B" w:rsidRPr="00C23CE7" w:rsidRDefault="0040431B" w:rsidP="007044A0">
            <w:pPr>
              <w:spacing w:line="240" w:lineRule="auto"/>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40431B" w:rsidRPr="00C23CE7" w14:paraId="706F61D6" w14:textId="77777777" w:rsidTr="007044A0">
        <w:tc>
          <w:tcPr>
            <w:tcW w:w="534" w:type="dxa"/>
            <w:shd w:val="clear" w:color="auto" w:fill="auto"/>
          </w:tcPr>
          <w:p w14:paraId="23BC294C"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1.1</w:t>
            </w:r>
          </w:p>
          <w:p w14:paraId="0489175D" w14:textId="77777777" w:rsidR="0040431B" w:rsidRPr="00C23CE7" w:rsidRDefault="0040431B"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1A51FA9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5607485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UTI03 - Number of people prescribed selected antibiotics per 1,000 population</w:t>
            </w:r>
          </w:p>
        </w:tc>
      </w:tr>
      <w:tr w:rsidR="0040431B" w:rsidRPr="00C23CE7" w14:paraId="403356EA" w14:textId="77777777" w:rsidTr="007044A0">
        <w:tc>
          <w:tcPr>
            <w:tcW w:w="534" w:type="dxa"/>
            <w:shd w:val="clear" w:color="auto" w:fill="auto"/>
          </w:tcPr>
          <w:p w14:paraId="7C0930F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07A89F65"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6AF79E8F" w14:textId="37429000" w:rsidR="0040431B" w:rsidRPr="00C23CE7" w:rsidRDefault="0040431B" w:rsidP="007044A0">
            <w:pPr>
              <w:spacing w:after="0" w:line="240" w:lineRule="auto"/>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 xml:space="preserve">This </w:t>
            </w:r>
            <w:r w:rsidR="004155E4" w:rsidRPr="00C23CE7">
              <w:rPr>
                <w:rFonts w:ascii="Arial" w:hAnsi="Arial" w:cs="Arial"/>
                <w:color w:val="auto"/>
                <w:sz w:val="18"/>
                <w:szCs w:val="21"/>
                <w:shd w:val="clear" w:color="auto" w:fill="FFFFFF"/>
              </w:rPr>
              <w:t>comparator</w:t>
            </w:r>
            <w:r w:rsidRPr="00C23CE7">
              <w:rPr>
                <w:rFonts w:ascii="Arial" w:hAnsi="Arial" w:cs="Arial"/>
                <w:color w:val="auto"/>
                <w:sz w:val="18"/>
                <w:szCs w:val="21"/>
                <w:shd w:val="clear" w:color="auto" w:fill="FFFFFF"/>
              </w:rPr>
              <w:t xml:space="preserve"> </w:t>
            </w:r>
            <w:r w:rsidR="00CF6EDE" w:rsidRPr="00C23CE7">
              <w:rPr>
                <w:rFonts w:ascii="Arial" w:hAnsi="Arial" w:cs="Arial"/>
                <w:color w:val="auto"/>
                <w:sz w:val="18"/>
                <w:szCs w:val="21"/>
                <w:shd w:val="clear" w:color="auto" w:fill="FFFFFF"/>
              </w:rPr>
              <w:t xml:space="preserve">reports </w:t>
            </w:r>
            <w:r w:rsidRPr="00C23CE7">
              <w:rPr>
                <w:rFonts w:ascii="Arial" w:hAnsi="Arial" w:cs="Arial"/>
                <w:color w:val="auto"/>
                <w:sz w:val="18"/>
                <w:szCs w:val="21"/>
                <w:shd w:val="clear" w:color="auto" w:fill="FFFFFF"/>
              </w:rPr>
              <w:t xml:space="preserve">the number of unique people prescribed selected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as listed in section 1.7, by selected gender and age band(s), per 1,000 people based on GP practice list size, for the same selected gender and age band(s).</w:t>
            </w:r>
          </w:p>
          <w:p w14:paraId="388ACEFB" w14:textId="77777777" w:rsidR="0040431B" w:rsidRPr="00C23CE7" w:rsidRDefault="0040431B" w:rsidP="007044A0">
            <w:pPr>
              <w:spacing w:after="0" w:line="240" w:lineRule="auto"/>
              <w:rPr>
                <w:rFonts w:ascii="Arial" w:eastAsia="Arial" w:hAnsi="Arial" w:cs="Arial"/>
                <w:color w:val="FF0000"/>
                <w:sz w:val="18"/>
                <w:szCs w:val="18"/>
              </w:rPr>
            </w:pPr>
          </w:p>
        </w:tc>
      </w:tr>
      <w:tr w:rsidR="0040431B" w:rsidRPr="00C23CE7" w14:paraId="4CE2A74E" w14:textId="77777777" w:rsidTr="007044A0">
        <w:trPr>
          <w:trHeight w:val="542"/>
        </w:trPr>
        <w:tc>
          <w:tcPr>
            <w:tcW w:w="534" w:type="dxa"/>
            <w:shd w:val="clear" w:color="auto" w:fill="auto"/>
          </w:tcPr>
          <w:p w14:paraId="0C9A1FC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0FC20E2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22A5C77C" w14:textId="61CAFDF5" w:rsidR="0040431B" w:rsidRPr="00C23CE7" w:rsidRDefault="00FC084D" w:rsidP="007044A0">
            <w:pPr>
              <w:spacing w:after="0" w:line="240" w:lineRule="auto"/>
              <w:jc w:val="both"/>
              <w:rPr>
                <w:rFonts w:ascii="Arial" w:eastAsia="Arial" w:hAnsi="Arial" w:cs="Arial"/>
                <w:color w:val="FF0000"/>
                <w:sz w:val="18"/>
                <w:szCs w:val="18"/>
              </w:rPr>
            </w:pPr>
            <w:r w:rsidRPr="00C23CE7">
              <w:rPr>
                <w:rFonts w:ascii="Arial" w:eastAsia="Arial" w:hAnsi="Arial" w:cs="Arial"/>
                <w:color w:val="auto"/>
                <w:sz w:val="18"/>
                <w:szCs w:val="18"/>
              </w:rPr>
              <w:t xml:space="preserve">Single-month totals (displayed as a snapshot and multiple-month trend), </w:t>
            </w:r>
            <w:r w:rsidR="0040431B" w:rsidRPr="00C23CE7">
              <w:rPr>
                <w:rFonts w:ascii="Arial" w:eastAsia="Arial" w:hAnsi="Arial" w:cs="Arial"/>
                <w:color w:val="auto"/>
                <w:sz w:val="18"/>
                <w:szCs w:val="18"/>
              </w:rPr>
              <w:t>calculated at practice, PCN, SICBL, ICB, NHS Region and national levels, depending on the selected dashboard view.</w:t>
            </w:r>
          </w:p>
        </w:tc>
      </w:tr>
      <w:tr w:rsidR="0040431B" w:rsidRPr="00C23CE7" w14:paraId="1FD4791C" w14:textId="77777777" w:rsidTr="007044A0">
        <w:trPr>
          <w:trHeight w:val="780"/>
        </w:trPr>
        <w:tc>
          <w:tcPr>
            <w:tcW w:w="534" w:type="dxa"/>
            <w:shd w:val="clear" w:color="auto" w:fill="auto"/>
          </w:tcPr>
          <w:p w14:paraId="2E392B36"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623B823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63FDEF5C" w14:textId="16119953" w:rsidR="0040431B" w:rsidRPr="00C23CE7" w:rsidRDefault="0040431B"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 xml:space="preserve">Number of </w:t>
            </w:r>
            <w:r w:rsidRPr="00C23CE7">
              <w:rPr>
                <w:rFonts w:ascii="Arial" w:hAnsi="Arial" w:cs="Arial"/>
                <w:color w:val="auto"/>
                <w:sz w:val="18"/>
                <w:szCs w:val="21"/>
                <w:shd w:val="clear" w:color="auto" w:fill="FFFFFF"/>
              </w:rPr>
              <w:t>unique people</w:t>
            </w:r>
            <w:r w:rsidRPr="00C23CE7">
              <w:rPr>
                <w:rFonts w:ascii="Arial" w:eastAsia="Arial" w:hAnsi="Arial" w:cs="Arial"/>
                <w:color w:val="auto"/>
                <w:sz w:val="18"/>
                <w:szCs w:val="18"/>
              </w:rPr>
              <w:t xml:space="preserve"> </w:t>
            </w:r>
            <w:r w:rsidRPr="00C23CE7">
              <w:rPr>
                <w:rFonts w:ascii="Arial" w:hAnsi="Arial" w:cs="Arial"/>
                <w:color w:val="auto"/>
                <w:sz w:val="18"/>
                <w:szCs w:val="21"/>
                <w:shd w:val="clear" w:color="auto" w:fill="FFFFFF"/>
              </w:rPr>
              <w:t xml:space="preserve">prescribed selected </w:t>
            </w:r>
            <w:r w:rsidRPr="00C23CE7">
              <w:rPr>
                <w:rFonts w:ascii="Arial" w:eastAsia="Arial" w:hAnsi="Arial" w:cs="Arial"/>
                <w:color w:val="auto"/>
                <w:sz w:val="18"/>
                <w:szCs w:val="18"/>
              </w:rPr>
              <w:t>antibiotic(s)</w:t>
            </w:r>
            <w:r w:rsidRPr="00C23CE7">
              <w:rPr>
                <w:rFonts w:ascii="Arial" w:hAnsi="Arial" w:cs="Arial"/>
                <w:color w:val="auto"/>
                <w:sz w:val="18"/>
                <w:szCs w:val="21"/>
                <w:shd w:val="clear" w:color="auto" w:fill="FFFFFF"/>
              </w:rPr>
              <w:t xml:space="preserve"> as listed in section 1.7</w:t>
            </w:r>
            <w:r w:rsidRPr="00C23CE7">
              <w:rPr>
                <w:rFonts w:ascii="Arial" w:eastAsia="Arial" w:hAnsi="Arial" w:cs="Arial"/>
                <w:color w:val="auto"/>
                <w:sz w:val="18"/>
                <w:szCs w:val="18"/>
              </w:rPr>
              <w:t xml:space="preserve">, prescribed and dispensed in the </w:t>
            </w:r>
            <w:r w:rsidR="00FC084D" w:rsidRPr="00C23CE7">
              <w:rPr>
                <w:rFonts w:ascii="Arial" w:eastAsia="Arial" w:hAnsi="Arial" w:cs="Arial"/>
                <w:color w:val="auto"/>
                <w:sz w:val="18"/>
                <w:szCs w:val="18"/>
              </w:rPr>
              <w:t>selected month</w:t>
            </w:r>
            <w:r w:rsidRPr="00C23CE7">
              <w:rPr>
                <w:rFonts w:ascii="Arial" w:eastAsia="Arial" w:hAnsi="Arial" w:cs="Arial"/>
                <w:color w:val="auto"/>
                <w:sz w:val="18"/>
                <w:szCs w:val="18"/>
              </w:rPr>
              <w:t>, to patients in the selected gender and age band(s).</w:t>
            </w:r>
          </w:p>
        </w:tc>
      </w:tr>
      <w:tr w:rsidR="0040431B" w:rsidRPr="00C23CE7" w14:paraId="461DC86B" w14:textId="77777777" w:rsidTr="007044A0">
        <w:trPr>
          <w:trHeight w:val="820"/>
        </w:trPr>
        <w:tc>
          <w:tcPr>
            <w:tcW w:w="534" w:type="dxa"/>
            <w:shd w:val="clear" w:color="auto" w:fill="auto"/>
          </w:tcPr>
          <w:p w14:paraId="3536F51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18659654"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0C44CA9E" w14:textId="77777777" w:rsidR="0040431B" w:rsidRPr="00C23CE7" w:rsidRDefault="0040431B" w:rsidP="007044A0">
            <w:pPr>
              <w:spacing w:after="0" w:line="240" w:lineRule="auto"/>
              <w:rPr>
                <w:rFonts w:ascii="Arial" w:eastAsia="Arial" w:hAnsi="Arial" w:cs="Arial"/>
                <w:color w:val="FF0000"/>
                <w:sz w:val="18"/>
                <w:szCs w:val="18"/>
              </w:rPr>
            </w:pPr>
            <w:r w:rsidRPr="00C23CE7">
              <w:rPr>
                <w:rFonts w:ascii="Arial" w:eastAsia="Arial" w:hAnsi="Arial" w:cs="Arial"/>
                <w:color w:val="auto"/>
                <w:sz w:val="18"/>
                <w:szCs w:val="18"/>
              </w:rPr>
              <w:t xml:space="preserve">Practice list size for the selected gender and age band(s), aggregated to the selected organisation view.  </w:t>
            </w:r>
          </w:p>
        </w:tc>
      </w:tr>
      <w:tr w:rsidR="0040431B" w:rsidRPr="00C23CE7" w14:paraId="521BAAD9" w14:textId="77777777" w:rsidTr="007044A0">
        <w:tc>
          <w:tcPr>
            <w:tcW w:w="534" w:type="dxa"/>
            <w:shd w:val="clear" w:color="auto" w:fill="auto"/>
          </w:tcPr>
          <w:p w14:paraId="7F9E937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018C8AA9"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07B0390F"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Numerator divided by denominator, expressed per 1,000 patients.</w:t>
            </w:r>
          </w:p>
          <w:p w14:paraId="0E89A8C1" w14:textId="77777777" w:rsidR="0040431B" w:rsidRPr="00C23CE7" w:rsidRDefault="0040431B" w:rsidP="007044A0">
            <w:pPr>
              <w:spacing w:after="0" w:line="240" w:lineRule="auto"/>
              <w:rPr>
                <w:rFonts w:ascii="Arial" w:eastAsia="Arial" w:hAnsi="Arial" w:cs="Arial"/>
                <w:color w:val="FF0000"/>
                <w:sz w:val="18"/>
                <w:szCs w:val="18"/>
              </w:rPr>
            </w:pPr>
          </w:p>
        </w:tc>
      </w:tr>
      <w:tr w:rsidR="0040431B" w:rsidRPr="00C23CE7" w14:paraId="462F3EE1" w14:textId="77777777" w:rsidTr="007044A0">
        <w:tc>
          <w:tcPr>
            <w:tcW w:w="534" w:type="dxa"/>
            <w:shd w:val="clear" w:color="auto" w:fill="auto"/>
          </w:tcPr>
          <w:p w14:paraId="0A7627E8"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1.7</w:t>
            </w:r>
          </w:p>
        </w:tc>
        <w:tc>
          <w:tcPr>
            <w:tcW w:w="1417" w:type="dxa"/>
            <w:tcBorders>
              <w:top w:val="single" w:sz="4" w:space="0" w:color="000000"/>
            </w:tcBorders>
            <w:shd w:val="clear" w:color="auto" w:fill="D9D9D9"/>
          </w:tcPr>
          <w:p w14:paraId="71E59BA3" w14:textId="77777777" w:rsidR="0040431B" w:rsidRPr="00C23CE7" w:rsidRDefault="0040431B" w:rsidP="007044A0">
            <w:pPr>
              <w:spacing w:after="0" w:line="240" w:lineRule="auto"/>
              <w:rPr>
                <w:rFonts w:ascii="Arial" w:eastAsia="Arial" w:hAnsi="Arial" w:cs="Arial"/>
                <w:b/>
                <w:color w:val="auto"/>
                <w:sz w:val="18"/>
                <w:szCs w:val="18"/>
              </w:rPr>
            </w:pPr>
            <w:r w:rsidRPr="00C23CE7">
              <w:rPr>
                <w:rFonts w:ascii="Arial" w:eastAsia="Arial" w:hAnsi="Arial" w:cs="Arial"/>
                <w:b/>
                <w:color w:val="auto"/>
                <w:sz w:val="18"/>
                <w:szCs w:val="18"/>
              </w:rPr>
              <w:t>Medicines</w:t>
            </w:r>
          </w:p>
        </w:tc>
        <w:tc>
          <w:tcPr>
            <w:tcW w:w="7938" w:type="dxa"/>
          </w:tcPr>
          <w:p w14:paraId="1090AA70"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Users can select one of more of the following antibiotics:</w:t>
            </w:r>
          </w:p>
          <w:p w14:paraId="18E745A9" w14:textId="77777777" w:rsidR="0040431B" w:rsidRPr="00C23CE7" w:rsidRDefault="0040431B" w:rsidP="007044A0">
            <w:pPr>
              <w:spacing w:after="0" w:line="240" w:lineRule="auto"/>
              <w:rPr>
                <w:rFonts w:ascii="Arial" w:eastAsia="Arial" w:hAnsi="Arial" w:cs="Arial"/>
                <w:color w:val="auto"/>
                <w:sz w:val="18"/>
                <w:szCs w:val="18"/>
              </w:rPr>
            </w:pPr>
          </w:p>
          <w:p w14:paraId="7B6815FE"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Cefalexin</w:t>
            </w:r>
          </w:p>
          <w:p w14:paraId="580C278F" w14:textId="77777777" w:rsidR="008D5FD6" w:rsidRPr="00C23CE7" w:rsidRDefault="008D5FD6" w:rsidP="008D5FD6">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Calcium</w:t>
            </w:r>
          </w:p>
          <w:p w14:paraId="65568E5C" w14:textId="77777777" w:rsidR="008D5FD6" w:rsidRPr="00C23CE7" w:rsidRDefault="008D5FD6" w:rsidP="008D5FD6">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Fosfomycin Trometamol</w:t>
            </w:r>
          </w:p>
          <w:p w14:paraId="79AF96C5"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Methenamine hippurate</w:t>
            </w:r>
          </w:p>
          <w:p w14:paraId="6037F5C1"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Nitrofurantoin</w:t>
            </w:r>
          </w:p>
          <w:p w14:paraId="5DDBE66C"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Pivmecillinam hydrochloride</w:t>
            </w:r>
          </w:p>
          <w:p w14:paraId="582399FF" w14:textId="77777777" w:rsidR="0040431B" w:rsidRPr="00C23CE7" w:rsidRDefault="0040431B" w:rsidP="0040431B">
            <w:pPr>
              <w:pStyle w:val="ListParagraph"/>
              <w:numPr>
                <w:ilvl w:val="0"/>
                <w:numId w:val="13"/>
              </w:numPr>
              <w:spacing w:after="0" w:line="240" w:lineRule="auto"/>
              <w:rPr>
                <w:rFonts w:ascii="Arial" w:eastAsia="Arial" w:hAnsi="Arial" w:cs="Arial"/>
                <w:sz w:val="18"/>
                <w:szCs w:val="18"/>
              </w:rPr>
            </w:pPr>
            <w:r w:rsidRPr="00C23CE7">
              <w:rPr>
                <w:rFonts w:ascii="Arial" w:eastAsia="Arial" w:hAnsi="Arial" w:cs="Arial"/>
                <w:sz w:val="18"/>
                <w:szCs w:val="18"/>
              </w:rPr>
              <w:t>Trimethoprim</w:t>
            </w:r>
          </w:p>
          <w:p w14:paraId="68D7A087" w14:textId="77777777" w:rsidR="0040431B" w:rsidRPr="00C23CE7" w:rsidRDefault="0040431B" w:rsidP="007044A0">
            <w:pPr>
              <w:spacing w:after="0" w:line="240" w:lineRule="auto"/>
              <w:rPr>
                <w:rFonts w:ascii="Arial" w:eastAsia="Arial" w:hAnsi="Arial" w:cs="Arial"/>
                <w:color w:val="auto"/>
                <w:sz w:val="18"/>
                <w:szCs w:val="18"/>
              </w:rPr>
            </w:pPr>
          </w:p>
          <w:p w14:paraId="33365387" w14:textId="77777777" w:rsidR="0040431B" w:rsidRPr="00C23CE7" w:rsidRDefault="0040431B" w:rsidP="007044A0">
            <w:pPr>
              <w:spacing w:after="0" w:line="240" w:lineRule="auto"/>
              <w:rPr>
                <w:rFonts w:ascii="Arial" w:eastAsia="Arial" w:hAnsi="Arial" w:cs="Arial"/>
                <w:color w:val="FF0000"/>
                <w:sz w:val="18"/>
                <w:szCs w:val="18"/>
              </w:rPr>
            </w:pPr>
          </w:p>
        </w:tc>
      </w:tr>
      <w:tr w:rsidR="0040431B" w:rsidRPr="00C23CE7" w14:paraId="22BEF6F3" w14:textId="77777777" w:rsidTr="007044A0">
        <w:tc>
          <w:tcPr>
            <w:tcW w:w="9889" w:type="dxa"/>
            <w:gridSpan w:val="3"/>
            <w:shd w:val="clear" w:color="auto" w:fill="D9D9D9"/>
          </w:tcPr>
          <w:p w14:paraId="1D8C199A"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2: Rationale</w:t>
            </w:r>
          </w:p>
        </w:tc>
      </w:tr>
      <w:tr w:rsidR="0040431B" w:rsidRPr="00C23CE7" w14:paraId="0CBDD9F3" w14:textId="77777777" w:rsidTr="007044A0">
        <w:trPr>
          <w:trHeight w:val="993"/>
        </w:trPr>
        <w:tc>
          <w:tcPr>
            <w:tcW w:w="534" w:type="dxa"/>
            <w:shd w:val="clear" w:color="auto" w:fill="auto"/>
          </w:tcPr>
          <w:p w14:paraId="13147F21"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2.1</w:t>
            </w:r>
          </w:p>
          <w:p w14:paraId="145DC6F8" w14:textId="77777777" w:rsidR="0040431B" w:rsidRPr="00C23CE7" w:rsidRDefault="0040431B" w:rsidP="007044A0">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6CA6D17D" w14:textId="77777777" w:rsidR="0040431B" w:rsidRPr="00C23CE7" w:rsidRDefault="0040431B" w:rsidP="007044A0">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5A20921A" w14:textId="77777777" w:rsidR="00643D4A" w:rsidRPr="00C23CE7" w:rsidRDefault="00643D4A" w:rsidP="00643D4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allows users to identify the population exposure to antibiotics recommended by </w:t>
            </w:r>
            <w:hyperlink r:id="rId26"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for the treatment of lower urinary tract infection and/or </w:t>
            </w:r>
            <w:hyperlink r:id="rId27"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for the prevention of recurrent urinary tract infection by selected gender and age bands, and identifies variation in prescribing activity by selected antibiotic. This may identify opportunities for improvement in the management of lower UTI and recurrent UTI in selected populations and may identify compliance with local prescribing guidelines.</w:t>
            </w:r>
          </w:p>
          <w:p w14:paraId="5D7C04AD" w14:textId="77777777" w:rsidR="004220E6" w:rsidRPr="00C23CE7" w:rsidRDefault="004220E6" w:rsidP="00643D4A">
            <w:pPr>
              <w:spacing w:after="0" w:line="240" w:lineRule="auto"/>
              <w:rPr>
                <w:rFonts w:ascii="Arial" w:eastAsia="Arial" w:hAnsi="Arial" w:cs="Arial"/>
                <w:color w:val="auto"/>
                <w:sz w:val="18"/>
                <w:szCs w:val="18"/>
              </w:rPr>
            </w:pPr>
          </w:p>
          <w:p w14:paraId="16FB80BA" w14:textId="20EF364C" w:rsidR="004220E6" w:rsidRPr="00C23CE7" w:rsidRDefault="004220E6" w:rsidP="004220E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Use of tiles allows the user to identify the number of people exposed to all 6 individual antibiotics in scope, as a population rate, independent of the antibiotic/s selected. </w:t>
            </w:r>
          </w:p>
          <w:p w14:paraId="2521AED2" w14:textId="77777777" w:rsidR="00643D4A" w:rsidRPr="00C23CE7" w:rsidRDefault="00643D4A" w:rsidP="00643D4A">
            <w:pPr>
              <w:spacing w:after="0" w:line="240" w:lineRule="auto"/>
              <w:rPr>
                <w:rFonts w:ascii="Arial" w:eastAsia="Arial" w:hAnsi="Arial" w:cs="Arial"/>
                <w:color w:val="auto"/>
                <w:sz w:val="18"/>
                <w:szCs w:val="18"/>
              </w:rPr>
            </w:pPr>
          </w:p>
          <w:p w14:paraId="60C15F64" w14:textId="37F89B78" w:rsidR="00643D4A" w:rsidRPr="00C23CE7" w:rsidRDefault="00643D4A" w:rsidP="00643D4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reports unique people prescribed selected antibiotics and where a person has been prescribed more than one of the selected antibiotics </w:t>
            </w:r>
            <w:r w:rsidR="003C60BA" w:rsidRPr="00C23CE7">
              <w:rPr>
                <w:rFonts w:ascii="Arial" w:eastAsia="Arial" w:hAnsi="Arial" w:cs="Arial"/>
                <w:color w:val="auto"/>
                <w:sz w:val="18"/>
                <w:szCs w:val="18"/>
              </w:rPr>
              <w:t xml:space="preserve">in the same month </w:t>
            </w:r>
            <w:r w:rsidRPr="00C23CE7">
              <w:rPr>
                <w:rFonts w:ascii="Arial" w:eastAsia="Arial" w:hAnsi="Arial" w:cs="Arial"/>
                <w:color w:val="auto"/>
                <w:sz w:val="18"/>
                <w:szCs w:val="18"/>
              </w:rPr>
              <w:t xml:space="preserve">they are reported only once. </w:t>
            </w:r>
            <w:r w:rsidR="00B25259" w:rsidRPr="00C23CE7">
              <w:rPr>
                <w:rFonts w:ascii="Arial" w:eastAsia="Arial" w:hAnsi="Arial" w:cs="Arial"/>
                <w:color w:val="auto"/>
                <w:sz w:val="18"/>
                <w:szCs w:val="18"/>
              </w:rPr>
              <w:t xml:space="preserve">To identify population exposure to a specific antibiotic, use the selector to select the antibiotic of choice. </w:t>
            </w:r>
          </w:p>
          <w:p w14:paraId="2E91DF17" w14:textId="77777777" w:rsidR="00643D4A" w:rsidRPr="00C23CE7" w:rsidRDefault="00643D4A" w:rsidP="00643D4A">
            <w:pPr>
              <w:spacing w:after="0" w:line="240" w:lineRule="auto"/>
              <w:rPr>
                <w:rFonts w:ascii="Arial" w:eastAsia="Arial" w:hAnsi="Arial" w:cs="Arial"/>
                <w:color w:val="auto"/>
                <w:sz w:val="18"/>
                <w:szCs w:val="18"/>
              </w:rPr>
            </w:pPr>
          </w:p>
          <w:p w14:paraId="2D284D06" w14:textId="77777777" w:rsidR="00643D4A" w:rsidRPr="00C23CE7" w:rsidRDefault="00643D4A" w:rsidP="00643D4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antibiotics included in this comparator are based on </w:t>
            </w:r>
            <w:hyperlink r:id="rId28" w:history="1">
              <w:r w:rsidRPr="00C23CE7">
                <w:rPr>
                  <w:rStyle w:val="Hyperlink"/>
                  <w:rFonts w:ascii="Arial" w:eastAsia="Arial" w:hAnsi="Arial" w:cs="Arial"/>
                  <w:sz w:val="18"/>
                  <w:szCs w:val="18"/>
                </w:rPr>
                <w:t>NICE NG109</w:t>
              </w:r>
            </w:hyperlink>
            <w:r w:rsidRPr="00C23CE7">
              <w:rPr>
                <w:rFonts w:ascii="Arial" w:eastAsia="Arial" w:hAnsi="Arial" w:cs="Arial"/>
                <w:color w:val="auto"/>
                <w:sz w:val="18"/>
                <w:szCs w:val="18"/>
              </w:rPr>
              <w:t xml:space="preserve">  and </w:t>
            </w:r>
            <w:hyperlink r:id="rId29"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and may not reflect local prescribing guidance. Prescription data does not include a diagnostic code and therefore it is possible the antibiotics in this comparator may have been prescribed for a different purpose. Comparators UTI02 and UTI03 allow users to select individual antibiotics to reflect local prescribing guidance.</w:t>
            </w:r>
          </w:p>
          <w:p w14:paraId="7E1FA695" w14:textId="77777777" w:rsidR="00643D4A" w:rsidRPr="00C23CE7" w:rsidRDefault="00643D4A" w:rsidP="00643D4A">
            <w:pPr>
              <w:spacing w:after="0" w:line="240" w:lineRule="auto"/>
              <w:rPr>
                <w:rFonts w:ascii="Arial" w:eastAsia="Arial" w:hAnsi="Arial" w:cs="Arial"/>
                <w:color w:val="auto"/>
                <w:sz w:val="18"/>
                <w:szCs w:val="18"/>
              </w:rPr>
            </w:pPr>
          </w:p>
          <w:p w14:paraId="435170C1" w14:textId="0EFD9525" w:rsidR="0040431B" w:rsidRPr="00C23CE7" w:rsidRDefault="00643D4A" w:rsidP="00643D4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Three of the antibiotics in this comparator are also recommended by </w:t>
            </w:r>
            <w:hyperlink r:id="rId30"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for the prevention of recurrent urinary tract infection and consideration should be given to this when using the data to identify opportunities for improvement. Comparators UTI04 and UTI05 report a count of people who have been prescribed trimethoprim or nitrofurantoin more than once in a </w:t>
            </w:r>
            <w:r w:rsidR="006E026A" w:rsidRPr="00C23CE7">
              <w:rPr>
                <w:rFonts w:ascii="Arial" w:eastAsia="Arial" w:hAnsi="Arial" w:cs="Arial"/>
                <w:color w:val="auto"/>
                <w:sz w:val="18"/>
                <w:szCs w:val="18"/>
              </w:rPr>
              <w:t>three-month</w:t>
            </w:r>
            <w:r w:rsidRPr="00C23CE7">
              <w:rPr>
                <w:rFonts w:ascii="Arial" w:eastAsia="Arial" w:hAnsi="Arial" w:cs="Arial"/>
                <w:color w:val="auto"/>
                <w:sz w:val="18"/>
                <w:szCs w:val="18"/>
              </w:rPr>
              <w:t xml:space="preserve"> period, and this may reflect prevention of recurrent urinary tract infection.</w:t>
            </w:r>
          </w:p>
          <w:p w14:paraId="02DAEB44" w14:textId="77777777" w:rsidR="007D3866" w:rsidRPr="00C23CE7" w:rsidRDefault="007D3866" w:rsidP="00643D4A">
            <w:pPr>
              <w:spacing w:after="0" w:line="240" w:lineRule="auto"/>
              <w:rPr>
                <w:rFonts w:ascii="Arial" w:eastAsia="Arial" w:hAnsi="Arial" w:cs="Arial"/>
                <w:color w:val="auto"/>
                <w:sz w:val="18"/>
                <w:szCs w:val="18"/>
              </w:rPr>
            </w:pPr>
          </w:p>
          <w:p w14:paraId="4F7877CE" w14:textId="5B98F7B8" w:rsidR="00A5627F" w:rsidRPr="00C23CE7" w:rsidRDefault="007D3866" w:rsidP="007D386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31"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primary care prescribing of antibiotics to treat lower urinary tract infection  and prevent recurrent urinary tract infection in adults aged 70+ years.</w:t>
            </w:r>
          </w:p>
          <w:p w14:paraId="383F97AD" w14:textId="77777777" w:rsidR="00E447DA" w:rsidRPr="00C23CE7" w:rsidRDefault="00E447DA" w:rsidP="00643D4A">
            <w:pPr>
              <w:spacing w:after="0" w:line="240" w:lineRule="auto"/>
              <w:rPr>
                <w:rFonts w:ascii="Arial" w:eastAsia="Arial" w:hAnsi="Arial" w:cs="Arial"/>
                <w:color w:val="auto"/>
                <w:sz w:val="18"/>
                <w:szCs w:val="18"/>
              </w:rPr>
            </w:pPr>
          </w:p>
          <w:p w14:paraId="56BF877E" w14:textId="16643E8A" w:rsidR="00E447DA" w:rsidRPr="00C23CE7" w:rsidRDefault="00E447DA" w:rsidP="00E447D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32"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w:t>
            </w:r>
          </w:p>
        </w:tc>
      </w:tr>
    </w:tbl>
    <w:p w14:paraId="5E91F44A" w14:textId="77777777" w:rsidR="003C251E" w:rsidRPr="00C23CE7" w:rsidRDefault="003C251E" w:rsidP="00545C0A"/>
    <w:p w14:paraId="0FCC9CA6" w14:textId="77777777" w:rsidR="003C251E" w:rsidRPr="00C23CE7" w:rsidRDefault="003C251E" w:rsidP="00545C0A">
      <w:pPr>
        <w:rPr>
          <w:rFonts w:ascii="Arial" w:eastAsia="Arial" w:hAnsi="Arial" w:cs="Arial"/>
          <w:b/>
          <w:sz w:val="20"/>
          <w:szCs w:val="20"/>
        </w:rPr>
      </w:pPr>
      <w:r w:rsidRPr="00C23CE7">
        <w:br w:type="page"/>
      </w:r>
    </w:p>
    <w:p w14:paraId="1E6927D2" w14:textId="35EF81F1" w:rsidR="00CA7E29" w:rsidRPr="00C23CE7" w:rsidRDefault="00190109" w:rsidP="00CC56ED">
      <w:pPr>
        <w:pStyle w:val="Heading2"/>
      </w:pPr>
      <w:bookmarkStart w:id="33" w:name="_Toc180492668"/>
      <w:r w:rsidRPr="00C23CE7">
        <w:lastRenderedPageBreak/>
        <w:t>UTI04 - Number of people prescribed trimethoprim more than once in any three consecutive month period</w:t>
      </w:r>
      <w:bookmarkEnd w:id="33"/>
    </w:p>
    <w:p w14:paraId="63568C46" w14:textId="77777777" w:rsidR="00190109" w:rsidRPr="00C23CE7" w:rsidRDefault="00190109" w:rsidP="00190109">
      <w:pPr>
        <w:rPr>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C75BB" w:rsidRPr="00C23CE7" w14:paraId="0946482E" w14:textId="77777777" w:rsidTr="000718AD">
        <w:trPr>
          <w:trHeight w:val="268"/>
        </w:trPr>
        <w:tc>
          <w:tcPr>
            <w:tcW w:w="9889" w:type="dxa"/>
            <w:gridSpan w:val="3"/>
            <w:shd w:val="clear" w:color="auto" w:fill="D9D9D9" w:themeFill="background1" w:themeFillShade="D9"/>
          </w:tcPr>
          <w:p w14:paraId="07600256" w14:textId="77777777" w:rsidR="00810077" w:rsidRPr="00C23CE7" w:rsidRDefault="00855C24" w:rsidP="00190109">
            <w:pPr>
              <w:shd w:val="clear" w:color="auto" w:fill="D9D9D9" w:themeFill="background1" w:themeFillShade="D9"/>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8C75BB" w:rsidRPr="00C23CE7" w14:paraId="3C9654DA" w14:textId="77777777">
        <w:trPr>
          <w:trHeight w:val="440"/>
        </w:trPr>
        <w:tc>
          <w:tcPr>
            <w:tcW w:w="534" w:type="dxa"/>
            <w:shd w:val="clear" w:color="auto" w:fill="auto"/>
          </w:tcPr>
          <w:p w14:paraId="684BC342" w14:textId="77777777" w:rsidR="00810077" w:rsidRPr="00C23CE7" w:rsidRDefault="00855C24" w:rsidP="00190109">
            <w:pPr>
              <w:rPr>
                <w:rFonts w:ascii="Arial" w:eastAsia="Arial" w:hAnsi="Arial" w:cs="Arial"/>
                <w:color w:val="auto"/>
                <w:sz w:val="18"/>
                <w:szCs w:val="18"/>
              </w:rPr>
            </w:pPr>
            <w:r w:rsidRPr="00C23CE7">
              <w:rPr>
                <w:rFonts w:ascii="Arial" w:eastAsia="Arial" w:hAnsi="Arial" w:cs="Arial"/>
                <w:color w:val="auto"/>
                <w:sz w:val="18"/>
                <w:szCs w:val="18"/>
              </w:rPr>
              <w:t>1.1</w:t>
            </w:r>
          </w:p>
        </w:tc>
        <w:tc>
          <w:tcPr>
            <w:tcW w:w="1417" w:type="dxa"/>
            <w:tcBorders>
              <w:bottom w:val="single" w:sz="4" w:space="0" w:color="000000"/>
            </w:tcBorders>
            <w:shd w:val="clear" w:color="auto" w:fill="D9D9D9"/>
          </w:tcPr>
          <w:p w14:paraId="3D8E9DCF" w14:textId="77777777" w:rsidR="00810077" w:rsidRPr="00C23CE7" w:rsidRDefault="00855C24" w:rsidP="00190109">
            <w:pPr>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2348D815" w14:textId="2CB59CA2" w:rsidR="00810077" w:rsidRPr="00C23CE7" w:rsidRDefault="00D500FA" w:rsidP="00190109">
            <w:pPr>
              <w:spacing w:after="0"/>
              <w:rPr>
                <w:rFonts w:ascii="Arial" w:eastAsia="Arial" w:hAnsi="Arial" w:cs="Arial"/>
                <w:color w:val="auto"/>
                <w:sz w:val="18"/>
                <w:szCs w:val="18"/>
              </w:rPr>
            </w:pPr>
            <w:r w:rsidRPr="00C23CE7">
              <w:rPr>
                <w:rFonts w:ascii="Arial" w:eastAsia="Arial" w:hAnsi="Arial" w:cs="Arial"/>
                <w:bCs/>
                <w:color w:val="auto"/>
                <w:sz w:val="18"/>
                <w:szCs w:val="18"/>
              </w:rPr>
              <w:t>Number of people prescribed trimethoprim more than once in a three consecutive month period</w:t>
            </w:r>
          </w:p>
        </w:tc>
      </w:tr>
      <w:tr w:rsidR="008C75BB" w:rsidRPr="00C23CE7" w14:paraId="5B0E25B2" w14:textId="77777777">
        <w:trPr>
          <w:trHeight w:val="940"/>
        </w:trPr>
        <w:tc>
          <w:tcPr>
            <w:tcW w:w="534" w:type="dxa"/>
            <w:shd w:val="clear" w:color="auto" w:fill="auto"/>
          </w:tcPr>
          <w:p w14:paraId="6E420403" w14:textId="77777777" w:rsidR="00810077" w:rsidRPr="00C23CE7" w:rsidRDefault="00855C24" w:rsidP="00190109">
            <w:pPr>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75A0D89A" w14:textId="77777777" w:rsidR="00810077" w:rsidRPr="00C23CE7" w:rsidRDefault="00855C24" w:rsidP="00190109">
            <w:pPr>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65B13A15" w14:textId="488B3DAC" w:rsidR="00810077" w:rsidRPr="00C23CE7" w:rsidRDefault="00A449FA" w:rsidP="00F86FA6">
            <w:pPr>
              <w:tabs>
                <w:tab w:val="left" w:pos="1026"/>
              </w:tabs>
              <w:spacing w:after="0"/>
              <w:rPr>
                <w:rFonts w:ascii="Arial" w:eastAsia="Arial" w:hAnsi="Arial" w:cs="Arial"/>
                <w:color w:val="auto"/>
                <w:sz w:val="18"/>
                <w:szCs w:val="18"/>
              </w:rPr>
            </w:pPr>
            <w:r w:rsidRPr="00C23CE7">
              <w:rPr>
                <w:rFonts w:ascii="Arial" w:eastAsia="Arial" w:hAnsi="Arial" w:cs="Arial"/>
                <w:color w:val="auto"/>
                <w:sz w:val="18"/>
                <w:szCs w:val="18"/>
              </w:rPr>
              <w:t xml:space="preserve">This </w:t>
            </w:r>
            <w:r w:rsidR="004155E4" w:rsidRPr="00C23CE7">
              <w:rPr>
                <w:rFonts w:ascii="Arial" w:eastAsia="Arial" w:hAnsi="Arial" w:cs="Arial"/>
                <w:color w:val="auto"/>
                <w:sz w:val="18"/>
                <w:szCs w:val="18"/>
              </w:rPr>
              <w:t>comparator</w:t>
            </w:r>
            <w:r w:rsidRPr="00C23CE7">
              <w:rPr>
                <w:rFonts w:ascii="Arial" w:eastAsia="Arial" w:hAnsi="Arial" w:cs="Arial"/>
                <w:color w:val="auto"/>
                <w:sz w:val="18"/>
                <w:szCs w:val="18"/>
              </w:rPr>
              <w:t xml:space="preserve"> </w:t>
            </w:r>
            <w:r w:rsidR="00CF6EDE" w:rsidRPr="00C23CE7">
              <w:rPr>
                <w:rFonts w:ascii="Arial" w:hAnsi="Arial" w:cs="Arial"/>
                <w:color w:val="auto"/>
                <w:sz w:val="18"/>
                <w:szCs w:val="21"/>
                <w:shd w:val="clear" w:color="auto" w:fill="FFFFFF"/>
              </w:rPr>
              <w:t>reports</w:t>
            </w:r>
            <w:r w:rsidR="00CF6EDE" w:rsidRPr="00C23CE7">
              <w:rPr>
                <w:rFonts w:ascii="Arial" w:eastAsia="Arial" w:hAnsi="Arial" w:cs="Arial"/>
                <w:color w:val="auto"/>
                <w:sz w:val="18"/>
                <w:szCs w:val="18"/>
              </w:rPr>
              <w:t xml:space="preserve"> </w:t>
            </w:r>
            <w:r w:rsidRPr="00C23CE7">
              <w:rPr>
                <w:rFonts w:ascii="Arial" w:eastAsia="Arial" w:hAnsi="Arial" w:cs="Arial"/>
                <w:color w:val="auto"/>
                <w:sz w:val="18"/>
                <w:szCs w:val="18"/>
              </w:rPr>
              <w:t>the number of</w:t>
            </w:r>
            <w:r w:rsidR="00354FB4" w:rsidRPr="00C23CE7">
              <w:rPr>
                <w:rFonts w:ascii="Arial" w:eastAsia="Arial" w:hAnsi="Arial" w:cs="Arial"/>
                <w:color w:val="auto"/>
                <w:sz w:val="18"/>
                <w:szCs w:val="18"/>
              </w:rPr>
              <w:t xml:space="preserve"> unique</w:t>
            </w:r>
            <w:r w:rsidRPr="00C23CE7">
              <w:rPr>
                <w:rFonts w:ascii="Arial" w:eastAsia="Arial" w:hAnsi="Arial" w:cs="Arial"/>
                <w:color w:val="auto"/>
                <w:sz w:val="18"/>
                <w:szCs w:val="18"/>
              </w:rPr>
              <w:t xml:space="preserve"> </w:t>
            </w:r>
            <w:r w:rsidR="00190109" w:rsidRPr="00C23CE7">
              <w:rPr>
                <w:rFonts w:ascii="Arial" w:eastAsia="Arial" w:hAnsi="Arial" w:cs="Arial"/>
                <w:color w:val="auto"/>
                <w:sz w:val="18"/>
                <w:szCs w:val="18"/>
              </w:rPr>
              <w:t xml:space="preserve">people in the selected age band(s), gender and organisational unit who have been prescribed </w:t>
            </w:r>
            <w:r w:rsidR="00486B7B" w:rsidRPr="00C23CE7">
              <w:rPr>
                <w:rFonts w:ascii="Arial" w:eastAsia="Arial" w:hAnsi="Arial" w:cs="Arial"/>
                <w:color w:val="auto"/>
                <w:sz w:val="18"/>
                <w:szCs w:val="18"/>
              </w:rPr>
              <w:t xml:space="preserve">trimethoprim </w:t>
            </w:r>
            <w:r w:rsidR="00190109" w:rsidRPr="00C23CE7">
              <w:rPr>
                <w:rFonts w:ascii="Arial" w:eastAsia="Arial" w:hAnsi="Arial" w:cs="Arial"/>
                <w:color w:val="auto"/>
                <w:sz w:val="18"/>
                <w:szCs w:val="18"/>
              </w:rPr>
              <w:t>more</w:t>
            </w:r>
            <w:r w:rsidR="00486B7B" w:rsidRPr="00C23CE7">
              <w:rPr>
                <w:rFonts w:ascii="Arial" w:eastAsia="Arial" w:hAnsi="Arial" w:cs="Arial"/>
                <w:color w:val="auto"/>
                <w:sz w:val="18"/>
                <w:szCs w:val="18"/>
              </w:rPr>
              <w:t xml:space="preserve"> than once in any three consecutive months</w:t>
            </w:r>
          </w:p>
        </w:tc>
      </w:tr>
      <w:tr w:rsidR="008C75BB" w:rsidRPr="00C23CE7" w14:paraId="487AFF4C" w14:textId="77777777">
        <w:trPr>
          <w:trHeight w:val="440"/>
        </w:trPr>
        <w:tc>
          <w:tcPr>
            <w:tcW w:w="534" w:type="dxa"/>
            <w:shd w:val="clear" w:color="auto" w:fill="auto"/>
          </w:tcPr>
          <w:p w14:paraId="48C91759"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65918A92"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1B7DE9B2" w14:textId="27D073C2" w:rsidR="00A449FA" w:rsidRPr="00C23CE7" w:rsidRDefault="00F82C43" w:rsidP="00190109">
            <w:pPr>
              <w:spacing w:after="0" w:line="240" w:lineRule="auto"/>
              <w:jc w:val="both"/>
              <w:rPr>
                <w:rFonts w:ascii="Arial" w:eastAsia="Arial" w:hAnsi="Arial" w:cs="Arial"/>
                <w:color w:val="auto"/>
                <w:sz w:val="18"/>
                <w:szCs w:val="18"/>
              </w:rPr>
            </w:pPr>
            <w:r w:rsidRPr="00C23CE7">
              <w:rPr>
                <w:rFonts w:ascii="Arial" w:eastAsia="Arial" w:hAnsi="Arial" w:cs="Arial"/>
                <w:color w:val="auto"/>
                <w:sz w:val="18"/>
                <w:szCs w:val="18"/>
              </w:rPr>
              <w:t xml:space="preserve">Data is shown for the </w:t>
            </w:r>
            <w:r w:rsidR="00C237CA" w:rsidRPr="00C23CE7">
              <w:rPr>
                <w:rFonts w:ascii="Arial" w:eastAsia="Arial" w:hAnsi="Arial" w:cs="Arial"/>
                <w:color w:val="auto"/>
                <w:sz w:val="18"/>
                <w:szCs w:val="18"/>
              </w:rPr>
              <w:t>reporting month and the preceding 3</w:t>
            </w:r>
            <w:r w:rsidRPr="00C23CE7">
              <w:rPr>
                <w:rFonts w:ascii="Arial" w:eastAsia="Arial" w:hAnsi="Arial" w:cs="Arial"/>
                <w:color w:val="auto"/>
                <w:sz w:val="18"/>
                <w:szCs w:val="18"/>
              </w:rPr>
              <w:t xml:space="preserve"> months</w:t>
            </w:r>
            <w:r w:rsidR="006C0303" w:rsidRPr="00C23CE7">
              <w:rPr>
                <w:rFonts w:ascii="Arial" w:eastAsia="Arial" w:hAnsi="Arial" w:cs="Arial"/>
                <w:color w:val="auto"/>
                <w:sz w:val="18"/>
                <w:szCs w:val="18"/>
              </w:rPr>
              <w:t xml:space="preserve"> combined</w:t>
            </w:r>
            <w:r w:rsidRPr="00C23CE7">
              <w:rPr>
                <w:rFonts w:ascii="Arial" w:eastAsia="Arial" w:hAnsi="Arial" w:cs="Arial"/>
                <w:color w:val="auto"/>
                <w:sz w:val="18"/>
                <w:szCs w:val="18"/>
              </w:rPr>
              <w:t>,</w:t>
            </w:r>
            <w:r w:rsidR="00A449FA" w:rsidRPr="00C23CE7">
              <w:rPr>
                <w:rFonts w:ascii="Arial" w:eastAsia="Arial" w:hAnsi="Arial" w:cs="Arial"/>
                <w:color w:val="auto"/>
                <w:sz w:val="18"/>
                <w:szCs w:val="18"/>
              </w:rPr>
              <w:t xml:space="preserve"> </w:t>
            </w:r>
            <w:r w:rsidR="006C0303" w:rsidRPr="00C23CE7">
              <w:rPr>
                <w:rFonts w:ascii="Arial" w:eastAsia="Arial" w:hAnsi="Arial" w:cs="Arial"/>
                <w:color w:val="auto"/>
                <w:sz w:val="18"/>
                <w:szCs w:val="18"/>
              </w:rPr>
              <w:t xml:space="preserve">and is </w:t>
            </w:r>
            <w:r w:rsidRPr="00C23CE7">
              <w:rPr>
                <w:rFonts w:ascii="Arial" w:eastAsia="Arial" w:hAnsi="Arial" w:cs="Arial"/>
                <w:color w:val="auto"/>
                <w:sz w:val="18"/>
                <w:szCs w:val="18"/>
              </w:rPr>
              <w:t>calculated at practice, PCN, SICBL, NHS Region and national levels, depending on the dashboard view.</w:t>
            </w:r>
          </w:p>
        </w:tc>
      </w:tr>
      <w:tr w:rsidR="008C75BB" w:rsidRPr="00C23CE7" w14:paraId="21EC4EA1" w14:textId="77777777" w:rsidTr="00A449FA">
        <w:trPr>
          <w:trHeight w:val="763"/>
        </w:trPr>
        <w:tc>
          <w:tcPr>
            <w:tcW w:w="534" w:type="dxa"/>
            <w:shd w:val="clear" w:color="auto" w:fill="auto"/>
          </w:tcPr>
          <w:p w14:paraId="31A0D1D7"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019EE6AC"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07902231" w14:textId="4615E962" w:rsidR="00A449FA" w:rsidRPr="00C23CE7" w:rsidRDefault="006B5EC6" w:rsidP="00190109">
            <w:pPr>
              <w:spacing w:after="0"/>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 xml:space="preserve">The number of unique people in the selected age band(s), gender and organisational unit(s) who have been </w:t>
            </w:r>
            <w:r w:rsidR="0029121A" w:rsidRPr="00C23CE7">
              <w:rPr>
                <w:rFonts w:ascii="Arial" w:hAnsi="Arial" w:cs="Arial"/>
                <w:color w:val="auto"/>
                <w:sz w:val="18"/>
                <w:szCs w:val="21"/>
                <w:shd w:val="clear" w:color="auto" w:fill="FFFFFF"/>
              </w:rPr>
              <w:t>prescribed trimethoprim more than once in any three consecutive months including the selected reporting month.</w:t>
            </w:r>
          </w:p>
          <w:p w14:paraId="111D08EE" w14:textId="0C37F47A" w:rsidR="00F86FA6" w:rsidRPr="00C23CE7" w:rsidRDefault="00F86FA6" w:rsidP="00190109">
            <w:pPr>
              <w:spacing w:after="0"/>
              <w:rPr>
                <w:rFonts w:ascii="Arial" w:eastAsia="Arial" w:hAnsi="Arial" w:cs="Arial"/>
                <w:color w:val="auto"/>
                <w:sz w:val="18"/>
                <w:szCs w:val="18"/>
              </w:rPr>
            </w:pPr>
          </w:p>
        </w:tc>
      </w:tr>
      <w:tr w:rsidR="008C75BB" w:rsidRPr="00C23CE7" w14:paraId="193E99E8" w14:textId="77777777" w:rsidTr="000718AD">
        <w:trPr>
          <w:trHeight w:val="336"/>
        </w:trPr>
        <w:tc>
          <w:tcPr>
            <w:tcW w:w="534" w:type="dxa"/>
            <w:shd w:val="clear" w:color="auto" w:fill="auto"/>
          </w:tcPr>
          <w:p w14:paraId="01914ADD" w14:textId="4FD92047" w:rsidR="00A449FA" w:rsidRPr="00C23CE7" w:rsidRDefault="00A449FA" w:rsidP="00190109">
            <w:pPr>
              <w:spacing w:after="0"/>
              <w:jc w:val="center"/>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3DF1A1A1"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79D270CE" w14:textId="4C4F5700" w:rsidR="00A449FA" w:rsidRPr="00C23CE7" w:rsidRDefault="00A449FA" w:rsidP="00190109">
            <w:pPr>
              <w:spacing w:after="0"/>
              <w:rPr>
                <w:rFonts w:ascii="Arial" w:eastAsia="Arial" w:hAnsi="Arial" w:cs="Arial"/>
                <w:color w:val="auto"/>
                <w:sz w:val="18"/>
                <w:szCs w:val="18"/>
              </w:rPr>
            </w:pPr>
            <w:r w:rsidRPr="00C23CE7">
              <w:rPr>
                <w:rFonts w:ascii="Arial" w:eastAsia="Arial" w:hAnsi="Arial" w:cs="Arial"/>
                <w:color w:val="auto"/>
                <w:sz w:val="18"/>
                <w:szCs w:val="18"/>
              </w:rPr>
              <w:t>None.</w:t>
            </w:r>
          </w:p>
        </w:tc>
      </w:tr>
      <w:tr w:rsidR="008C75BB" w:rsidRPr="00C23CE7" w14:paraId="7F4E185D" w14:textId="77777777">
        <w:trPr>
          <w:trHeight w:val="520"/>
        </w:trPr>
        <w:tc>
          <w:tcPr>
            <w:tcW w:w="534" w:type="dxa"/>
            <w:shd w:val="clear" w:color="auto" w:fill="auto"/>
          </w:tcPr>
          <w:p w14:paraId="11A3118E"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37E537DF"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1CFC992D" w14:textId="2016F45B" w:rsidR="00A449FA" w:rsidRPr="00C23CE7" w:rsidRDefault="00A449FA" w:rsidP="0019010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Data is presented as numerator only.</w:t>
            </w:r>
          </w:p>
          <w:p w14:paraId="6F9D4432" w14:textId="50064E74" w:rsidR="00A449FA" w:rsidRPr="00C23CE7" w:rsidRDefault="00A449FA" w:rsidP="00190109">
            <w:pPr>
              <w:spacing w:after="0"/>
              <w:rPr>
                <w:rFonts w:ascii="Arial" w:eastAsia="Arial" w:hAnsi="Arial" w:cs="Arial"/>
                <w:color w:val="auto"/>
                <w:sz w:val="18"/>
                <w:szCs w:val="18"/>
              </w:rPr>
            </w:pPr>
          </w:p>
        </w:tc>
      </w:tr>
      <w:tr w:rsidR="0040431B" w:rsidRPr="00C23CE7" w14:paraId="7619F6B1" w14:textId="77777777">
        <w:trPr>
          <w:trHeight w:val="260"/>
        </w:trPr>
        <w:tc>
          <w:tcPr>
            <w:tcW w:w="9889" w:type="dxa"/>
            <w:gridSpan w:val="3"/>
            <w:shd w:val="clear" w:color="auto" w:fill="D9D9D9"/>
          </w:tcPr>
          <w:p w14:paraId="72099EB2" w14:textId="77777777" w:rsidR="00A449FA" w:rsidRPr="00C23CE7" w:rsidRDefault="00A449FA" w:rsidP="00190109">
            <w:pPr>
              <w:tabs>
                <w:tab w:val="left" w:pos="2257"/>
              </w:tabs>
              <w:spacing w:after="0"/>
              <w:rPr>
                <w:rFonts w:ascii="Arial" w:eastAsia="Arial" w:hAnsi="Arial" w:cs="Arial"/>
                <w:color w:val="auto"/>
                <w:sz w:val="18"/>
                <w:szCs w:val="18"/>
              </w:rPr>
            </w:pPr>
            <w:r w:rsidRPr="00C23CE7">
              <w:rPr>
                <w:rFonts w:ascii="Arial" w:eastAsia="Arial" w:hAnsi="Arial" w:cs="Arial"/>
                <w:b/>
                <w:color w:val="auto"/>
                <w:sz w:val="18"/>
                <w:szCs w:val="18"/>
              </w:rPr>
              <w:t>Section 2: Rationale</w:t>
            </w:r>
            <w:r w:rsidRPr="00C23CE7">
              <w:rPr>
                <w:rFonts w:ascii="Arial" w:eastAsia="Arial" w:hAnsi="Arial" w:cs="Arial"/>
                <w:b/>
                <w:color w:val="auto"/>
                <w:sz w:val="18"/>
                <w:szCs w:val="18"/>
              </w:rPr>
              <w:tab/>
            </w:r>
          </w:p>
        </w:tc>
      </w:tr>
      <w:tr w:rsidR="0040431B" w:rsidRPr="00C23CE7" w14:paraId="175B4398" w14:textId="77777777">
        <w:trPr>
          <w:trHeight w:val="880"/>
        </w:trPr>
        <w:tc>
          <w:tcPr>
            <w:tcW w:w="534" w:type="dxa"/>
            <w:shd w:val="clear" w:color="auto" w:fill="auto"/>
          </w:tcPr>
          <w:p w14:paraId="5D19D105" w14:textId="77777777" w:rsidR="00A449FA" w:rsidRPr="00C23CE7" w:rsidRDefault="00A449FA" w:rsidP="00190109">
            <w:pPr>
              <w:rPr>
                <w:rFonts w:ascii="Arial" w:eastAsia="Arial" w:hAnsi="Arial" w:cs="Arial"/>
                <w:color w:val="auto"/>
                <w:sz w:val="18"/>
                <w:szCs w:val="18"/>
              </w:rPr>
            </w:pPr>
            <w:r w:rsidRPr="00C23CE7">
              <w:rPr>
                <w:rFonts w:ascii="Arial" w:eastAsia="Arial" w:hAnsi="Arial" w:cs="Arial"/>
                <w:color w:val="auto"/>
                <w:sz w:val="18"/>
                <w:szCs w:val="18"/>
              </w:rPr>
              <w:t>2.1</w:t>
            </w:r>
          </w:p>
          <w:p w14:paraId="42749C3C" w14:textId="77777777" w:rsidR="00A449FA" w:rsidRPr="00C23CE7" w:rsidRDefault="00A449FA" w:rsidP="00190109">
            <w:pPr>
              <w:rPr>
                <w:rFonts w:ascii="Arial" w:eastAsia="Arial" w:hAnsi="Arial" w:cs="Arial"/>
                <w:color w:val="auto"/>
                <w:sz w:val="18"/>
                <w:szCs w:val="18"/>
              </w:rPr>
            </w:pPr>
          </w:p>
        </w:tc>
        <w:tc>
          <w:tcPr>
            <w:tcW w:w="1417" w:type="dxa"/>
            <w:tcBorders>
              <w:bottom w:val="single" w:sz="4" w:space="0" w:color="000000"/>
            </w:tcBorders>
            <w:shd w:val="clear" w:color="auto" w:fill="D9D9D9"/>
          </w:tcPr>
          <w:p w14:paraId="0E9A8776" w14:textId="3583F54B" w:rsidR="00A449FA" w:rsidRPr="00C23CE7" w:rsidRDefault="00A449FA" w:rsidP="00190109">
            <w:pPr>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62BC3D0D" w14:textId="031A8E9A" w:rsidR="0012329C" w:rsidRPr="00C23CE7" w:rsidRDefault="0012329C" w:rsidP="0019010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w:t>
            </w:r>
            <w:r w:rsidR="00C04FAA" w:rsidRPr="00C23CE7">
              <w:rPr>
                <w:rFonts w:ascii="Arial" w:eastAsia="Arial" w:hAnsi="Arial" w:cs="Arial"/>
                <w:color w:val="auto"/>
                <w:sz w:val="18"/>
                <w:szCs w:val="18"/>
              </w:rPr>
              <w:t>can</w:t>
            </w:r>
            <w:r w:rsidRPr="00C23CE7">
              <w:rPr>
                <w:rFonts w:ascii="Arial" w:eastAsia="Arial" w:hAnsi="Arial" w:cs="Arial"/>
                <w:color w:val="auto"/>
                <w:sz w:val="18"/>
                <w:szCs w:val="18"/>
              </w:rPr>
              <w:t xml:space="preserve"> identify opportunities for improvement in the management of lower UTI and recurrent UTI in selected populations and may identify compliance with local </w:t>
            </w:r>
            <w:r w:rsidR="0053674D" w:rsidRPr="00C23CE7">
              <w:rPr>
                <w:rFonts w:ascii="Arial" w:eastAsia="Arial" w:hAnsi="Arial" w:cs="Arial"/>
                <w:color w:val="auto"/>
                <w:sz w:val="18"/>
                <w:szCs w:val="18"/>
              </w:rPr>
              <w:t xml:space="preserve">diagnostic and </w:t>
            </w:r>
            <w:r w:rsidRPr="00C23CE7">
              <w:rPr>
                <w:rFonts w:ascii="Arial" w:eastAsia="Arial" w:hAnsi="Arial" w:cs="Arial"/>
                <w:color w:val="auto"/>
                <w:sz w:val="18"/>
                <w:szCs w:val="18"/>
              </w:rPr>
              <w:t>prescribing guidelines</w:t>
            </w:r>
            <w:r w:rsidR="00C04FAA" w:rsidRPr="00C23CE7">
              <w:rPr>
                <w:rFonts w:ascii="Arial" w:eastAsia="Arial" w:hAnsi="Arial" w:cs="Arial"/>
                <w:color w:val="auto"/>
                <w:sz w:val="18"/>
                <w:szCs w:val="18"/>
              </w:rPr>
              <w:t xml:space="preserve">, including </w:t>
            </w:r>
            <w:r w:rsidR="008C3D48" w:rsidRPr="00C23CE7">
              <w:rPr>
                <w:rFonts w:ascii="Arial" w:eastAsia="Arial" w:hAnsi="Arial" w:cs="Arial"/>
                <w:color w:val="auto"/>
                <w:sz w:val="18"/>
                <w:szCs w:val="18"/>
              </w:rPr>
              <w:t>populations at greater risk of trimethoprim re</w:t>
            </w:r>
            <w:r w:rsidR="00D76F34" w:rsidRPr="00C23CE7">
              <w:rPr>
                <w:rFonts w:ascii="Arial" w:eastAsia="Arial" w:hAnsi="Arial" w:cs="Arial"/>
                <w:color w:val="auto"/>
                <w:sz w:val="18"/>
                <w:szCs w:val="18"/>
              </w:rPr>
              <w:t>sistance</w:t>
            </w:r>
            <w:r w:rsidR="00F91EFA" w:rsidRPr="00C23CE7">
              <w:rPr>
                <w:rFonts w:ascii="Arial" w:eastAsia="Arial" w:hAnsi="Arial" w:cs="Arial"/>
                <w:color w:val="auto"/>
                <w:sz w:val="18"/>
                <w:szCs w:val="18"/>
              </w:rPr>
              <w:t>.</w:t>
            </w:r>
          </w:p>
          <w:p w14:paraId="065D1A2A" w14:textId="77777777" w:rsidR="0012329C" w:rsidRPr="00C23CE7" w:rsidRDefault="0012329C" w:rsidP="00190109">
            <w:pPr>
              <w:spacing w:after="0" w:line="240" w:lineRule="auto"/>
              <w:rPr>
                <w:rFonts w:ascii="Arial" w:eastAsia="Arial" w:hAnsi="Arial" w:cs="Arial"/>
                <w:color w:val="auto"/>
                <w:sz w:val="18"/>
                <w:szCs w:val="18"/>
              </w:rPr>
            </w:pPr>
          </w:p>
          <w:p w14:paraId="1CFE76F9" w14:textId="74DBB41E" w:rsidR="00A449FA" w:rsidRPr="00C23CE7" w:rsidRDefault="00000000" w:rsidP="00190109">
            <w:pPr>
              <w:spacing w:after="0" w:line="240" w:lineRule="auto"/>
              <w:rPr>
                <w:rFonts w:ascii="Arial" w:eastAsia="Arial" w:hAnsi="Arial" w:cs="Arial"/>
                <w:color w:val="auto"/>
                <w:sz w:val="18"/>
                <w:szCs w:val="18"/>
              </w:rPr>
            </w:pPr>
            <w:hyperlink r:id="rId33" w:history="1">
              <w:r w:rsidR="00A40E70" w:rsidRPr="00C23CE7">
                <w:rPr>
                  <w:rStyle w:val="Hyperlink"/>
                  <w:rFonts w:ascii="Arial" w:eastAsia="Arial" w:hAnsi="Arial" w:cs="Arial"/>
                  <w:sz w:val="18"/>
                  <w:szCs w:val="18"/>
                </w:rPr>
                <w:t>NICE NG109</w:t>
              </w:r>
            </w:hyperlink>
            <w:r w:rsidR="00A40E70" w:rsidRPr="00C23CE7">
              <w:rPr>
                <w:rFonts w:ascii="Arial" w:eastAsia="Arial" w:hAnsi="Arial" w:cs="Arial"/>
                <w:color w:val="auto"/>
                <w:sz w:val="18"/>
                <w:szCs w:val="18"/>
              </w:rPr>
              <w:t xml:space="preserve"> for the treatment of lower urinary tract infection</w:t>
            </w:r>
            <w:r w:rsidR="00F14462" w:rsidRPr="00C23CE7">
              <w:rPr>
                <w:rFonts w:ascii="Arial" w:eastAsia="Arial" w:hAnsi="Arial" w:cs="Arial"/>
                <w:color w:val="auto"/>
                <w:sz w:val="18"/>
                <w:szCs w:val="18"/>
              </w:rPr>
              <w:t xml:space="preserve"> guidance reports a higher risk of resistance in people with recent use of trimethoprim (use in the past 3 months) and in older people in care homes. This comparator identifies people who may be at risk, and clinicians providing care for these people are able to request</w:t>
            </w:r>
            <w:r w:rsidR="0012329C" w:rsidRPr="00C23CE7">
              <w:rPr>
                <w:rFonts w:ascii="Arial" w:eastAsia="Arial" w:hAnsi="Arial" w:cs="Arial"/>
                <w:color w:val="auto"/>
                <w:sz w:val="18"/>
                <w:szCs w:val="18"/>
              </w:rPr>
              <w:t xml:space="preserve"> patient</w:t>
            </w:r>
            <w:r w:rsidR="00F14462" w:rsidRPr="00C23CE7">
              <w:rPr>
                <w:rFonts w:ascii="Arial" w:eastAsia="Arial" w:hAnsi="Arial" w:cs="Arial"/>
                <w:color w:val="auto"/>
                <w:sz w:val="18"/>
                <w:szCs w:val="18"/>
              </w:rPr>
              <w:t xml:space="preserve"> details </w:t>
            </w:r>
            <w:r w:rsidR="0012329C" w:rsidRPr="00C23CE7">
              <w:rPr>
                <w:rFonts w:ascii="Arial" w:eastAsia="Arial" w:hAnsi="Arial" w:cs="Arial"/>
                <w:color w:val="auto"/>
                <w:sz w:val="18"/>
                <w:szCs w:val="18"/>
              </w:rPr>
              <w:t xml:space="preserve">from the NHSBSA </w:t>
            </w:r>
            <w:r w:rsidR="00F14462" w:rsidRPr="00C23CE7">
              <w:rPr>
                <w:rFonts w:ascii="Arial" w:eastAsia="Arial" w:hAnsi="Arial" w:cs="Arial"/>
                <w:color w:val="auto"/>
                <w:sz w:val="18"/>
                <w:szCs w:val="18"/>
              </w:rPr>
              <w:t>to facilitate review of care</w:t>
            </w:r>
            <w:r w:rsidR="0012329C" w:rsidRPr="00C23CE7">
              <w:rPr>
                <w:rFonts w:ascii="Arial" w:eastAsia="Arial" w:hAnsi="Arial" w:cs="Arial"/>
                <w:color w:val="auto"/>
                <w:sz w:val="18"/>
                <w:szCs w:val="18"/>
              </w:rPr>
              <w:t xml:space="preserve">. </w:t>
            </w:r>
            <w:r w:rsidR="006E026A">
              <w:rPr>
                <w:rFonts w:ascii="Arial" w:eastAsia="Arial" w:hAnsi="Arial" w:cs="Arial"/>
                <w:color w:val="auto"/>
                <w:sz w:val="18"/>
                <w:szCs w:val="18"/>
              </w:rPr>
              <w:t>For more information on how to request patient details, please refer to the Supporting Information section of the dashboard.</w:t>
            </w:r>
          </w:p>
          <w:p w14:paraId="72D2B9ED" w14:textId="77777777" w:rsidR="00382AA4" w:rsidRPr="00C23CE7" w:rsidRDefault="00382AA4" w:rsidP="00190109">
            <w:pPr>
              <w:spacing w:after="0" w:line="240" w:lineRule="auto"/>
              <w:rPr>
                <w:rFonts w:ascii="Arial" w:eastAsia="Arial" w:hAnsi="Arial" w:cs="Arial"/>
                <w:color w:val="auto"/>
                <w:sz w:val="18"/>
                <w:szCs w:val="18"/>
              </w:rPr>
            </w:pPr>
          </w:p>
          <w:p w14:paraId="2A6740E4" w14:textId="4F3633FD" w:rsidR="00382AA4" w:rsidRPr="00C23CE7" w:rsidRDefault="00382AA4" w:rsidP="00382AA4">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Comparators UTI04 and UTI05 report a count of people who have been prescribed trimethoprim or nitrofurantoin more than once in a </w:t>
            </w:r>
            <w:r w:rsidR="006E026A" w:rsidRPr="00C23CE7">
              <w:rPr>
                <w:rFonts w:ascii="Arial" w:eastAsia="Arial" w:hAnsi="Arial" w:cs="Arial"/>
                <w:color w:val="auto"/>
                <w:sz w:val="18"/>
                <w:szCs w:val="18"/>
              </w:rPr>
              <w:t>three-month</w:t>
            </w:r>
            <w:r w:rsidRPr="00C23CE7">
              <w:rPr>
                <w:rFonts w:ascii="Arial" w:eastAsia="Arial" w:hAnsi="Arial" w:cs="Arial"/>
                <w:color w:val="auto"/>
                <w:sz w:val="18"/>
                <w:szCs w:val="18"/>
              </w:rPr>
              <w:t xml:space="preserve"> period, and this may reflect prevention of recurrent urinary tract infection. Use of the gender and age band selectors can identify women prescribed repeated antibiotics to prevent recurrent UTI who may benefit from alternative antibiotic sparing treatments as recommended by </w:t>
            </w:r>
            <w:hyperlink r:id="rId34" w:history="1">
              <w:r w:rsidRPr="00C23CE7">
                <w:rPr>
                  <w:rStyle w:val="Hyperlink"/>
                  <w:rFonts w:ascii="Arial" w:eastAsia="Arial" w:hAnsi="Arial" w:cs="Arial"/>
                  <w:sz w:val="18"/>
                  <w:szCs w:val="18"/>
                </w:rPr>
                <w:t>NICE NG112</w:t>
              </w:r>
            </w:hyperlink>
            <w:r w:rsidRPr="00C23CE7">
              <w:rPr>
                <w:rFonts w:ascii="Arial" w:eastAsia="Arial" w:hAnsi="Arial" w:cs="Arial"/>
                <w:color w:val="auto"/>
                <w:sz w:val="18"/>
                <w:szCs w:val="18"/>
              </w:rPr>
              <w:t xml:space="preserve"> prevention of recurrent urinary tract infection guidance. </w:t>
            </w:r>
          </w:p>
          <w:p w14:paraId="08243351" w14:textId="77777777" w:rsidR="007D3866" w:rsidRPr="00C23CE7" w:rsidRDefault="007D3866" w:rsidP="00382AA4">
            <w:pPr>
              <w:spacing w:after="0" w:line="240" w:lineRule="auto"/>
              <w:rPr>
                <w:rFonts w:ascii="Arial" w:eastAsia="Arial" w:hAnsi="Arial" w:cs="Arial"/>
                <w:color w:val="auto"/>
                <w:sz w:val="18"/>
                <w:szCs w:val="18"/>
              </w:rPr>
            </w:pPr>
          </w:p>
          <w:p w14:paraId="26BAE295" w14:textId="77777777" w:rsidR="007D3866" w:rsidRPr="00C23CE7" w:rsidRDefault="007D3866" w:rsidP="007D3866">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35"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continuous duration of antibiotics associated with the prevention of recurrent UTI in adults aged 70+ years.</w:t>
            </w:r>
          </w:p>
          <w:p w14:paraId="50A4DE3D" w14:textId="77777777" w:rsidR="00E447DA" w:rsidRPr="00C23CE7" w:rsidRDefault="00E447DA" w:rsidP="00382AA4">
            <w:pPr>
              <w:spacing w:after="0" w:line="240" w:lineRule="auto"/>
              <w:rPr>
                <w:rFonts w:ascii="Arial" w:eastAsia="Arial" w:hAnsi="Arial" w:cs="Arial"/>
                <w:color w:val="auto"/>
                <w:sz w:val="18"/>
                <w:szCs w:val="18"/>
              </w:rPr>
            </w:pPr>
          </w:p>
          <w:p w14:paraId="2CD7F60B" w14:textId="77777777" w:rsidR="00E447DA" w:rsidRPr="00C23CE7" w:rsidRDefault="00E447DA" w:rsidP="00E447DA">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36"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 </w:t>
            </w:r>
          </w:p>
          <w:p w14:paraId="15DE46AB" w14:textId="77777777" w:rsidR="00F14462" w:rsidRPr="00C23CE7" w:rsidRDefault="00F14462" w:rsidP="00190109">
            <w:pPr>
              <w:spacing w:after="0" w:line="240" w:lineRule="auto"/>
              <w:rPr>
                <w:rFonts w:ascii="Arial" w:eastAsia="Arial" w:hAnsi="Arial" w:cs="Arial"/>
                <w:color w:val="auto"/>
                <w:sz w:val="18"/>
                <w:szCs w:val="18"/>
              </w:rPr>
            </w:pPr>
          </w:p>
          <w:p w14:paraId="309D5769" w14:textId="7860CA22" w:rsidR="0012329C" w:rsidRPr="00C23CE7" w:rsidRDefault="004B3F6A" w:rsidP="0019010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Prescription data does not include a diagnostic code and therefore it is possible the antibiotic in this comparator may have been prescribed for a different purpose.</w:t>
            </w:r>
          </w:p>
          <w:p w14:paraId="21962021" w14:textId="392683C9" w:rsidR="00F14462" w:rsidRPr="00C23CE7" w:rsidRDefault="00F14462" w:rsidP="00190109">
            <w:pPr>
              <w:spacing w:after="0" w:line="240" w:lineRule="auto"/>
              <w:rPr>
                <w:rFonts w:ascii="Arial" w:eastAsia="Arial" w:hAnsi="Arial" w:cs="Arial"/>
                <w:color w:val="auto"/>
                <w:sz w:val="18"/>
                <w:szCs w:val="18"/>
              </w:rPr>
            </w:pPr>
          </w:p>
        </w:tc>
      </w:tr>
    </w:tbl>
    <w:p w14:paraId="3F7D7FCC" w14:textId="2BD99933" w:rsidR="00A449FA" w:rsidRPr="00C23CE7" w:rsidRDefault="00A449FA" w:rsidP="00190109">
      <w:pPr>
        <w:rPr>
          <w:rFonts w:ascii="Arial" w:hAnsi="Arial" w:cs="Arial"/>
          <w:b/>
          <w:bCs/>
          <w:color w:val="C00000"/>
        </w:rPr>
      </w:pPr>
    </w:p>
    <w:p w14:paraId="0819EE2C" w14:textId="77777777" w:rsidR="00D500FA" w:rsidRPr="00C23CE7" w:rsidRDefault="00D500FA">
      <w:pPr>
        <w:rPr>
          <w:color w:val="C00000"/>
        </w:rPr>
      </w:pPr>
      <w:r w:rsidRPr="00C23CE7">
        <w:rPr>
          <w:color w:val="C00000"/>
        </w:rPr>
        <w:br w:type="page"/>
      </w:r>
    </w:p>
    <w:p w14:paraId="1984B90B" w14:textId="4A0C6F6A" w:rsidR="00D500FA" w:rsidRPr="00C23CE7" w:rsidRDefault="00D500FA" w:rsidP="00CC56ED">
      <w:pPr>
        <w:pStyle w:val="Heading2"/>
      </w:pPr>
      <w:bookmarkStart w:id="34" w:name="_Toc180492669"/>
      <w:r w:rsidRPr="00C23CE7">
        <w:lastRenderedPageBreak/>
        <w:t>UTI05 - Number of people prescribed nitrofurantoin more than once in any three consecutive month period</w:t>
      </w:r>
      <w:bookmarkEnd w:id="34"/>
    </w:p>
    <w:p w14:paraId="13BBA9D3" w14:textId="77777777" w:rsidR="00D500FA" w:rsidRPr="00C23CE7" w:rsidRDefault="00D500FA" w:rsidP="00D500FA">
      <w:pPr>
        <w:rPr>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A3DD1" w:rsidRPr="00C23CE7" w14:paraId="2FF2B8F9" w14:textId="77777777" w:rsidTr="00427030">
        <w:trPr>
          <w:trHeight w:val="268"/>
        </w:trPr>
        <w:tc>
          <w:tcPr>
            <w:tcW w:w="9889" w:type="dxa"/>
            <w:gridSpan w:val="3"/>
            <w:shd w:val="clear" w:color="auto" w:fill="D9D9D9" w:themeFill="background1" w:themeFillShade="D9"/>
          </w:tcPr>
          <w:p w14:paraId="216EBA6D" w14:textId="77777777" w:rsidR="00D500FA" w:rsidRPr="00C23CE7" w:rsidRDefault="00D500FA" w:rsidP="00427030">
            <w:pPr>
              <w:shd w:val="clear" w:color="auto" w:fill="D9D9D9" w:themeFill="background1" w:themeFillShade="D9"/>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8A3DD1" w:rsidRPr="00C23CE7" w14:paraId="6A593A70" w14:textId="77777777" w:rsidTr="00427030">
        <w:trPr>
          <w:trHeight w:val="440"/>
        </w:trPr>
        <w:tc>
          <w:tcPr>
            <w:tcW w:w="534" w:type="dxa"/>
            <w:shd w:val="clear" w:color="auto" w:fill="auto"/>
          </w:tcPr>
          <w:p w14:paraId="0DAEE5FA"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1.1</w:t>
            </w:r>
          </w:p>
        </w:tc>
        <w:tc>
          <w:tcPr>
            <w:tcW w:w="1417" w:type="dxa"/>
            <w:tcBorders>
              <w:bottom w:val="single" w:sz="4" w:space="0" w:color="000000"/>
            </w:tcBorders>
            <w:shd w:val="clear" w:color="auto" w:fill="D9D9D9"/>
          </w:tcPr>
          <w:p w14:paraId="09B9602C"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27AB1BE0" w14:textId="77D38E78" w:rsidR="00D500FA" w:rsidRPr="00C23CE7" w:rsidRDefault="00D500FA" w:rsidP="00427030">
            <w:pPr>
              <w:spacing w:after="0"/>
              <w:rPr>
                <w:rFonts w:ascii="Arial" w:eastAsia="Arial" w:hAnsi="Arial" w:cs="Arial"/>
                <w:color w:val="auto"/>
                <w:sz w:val="18"/>
                <w:szCs w:val="18"/>
              </w:rPr>
            </w:pPr>
            <w:r w:rsidRPr="00C23CE7">
              <w:rPr>
                <w:rFonts w:ascii="Arial" w:eastAsia="Arial" w:hAnsi="Arial" w:cs="Arial"/>
                <w:bCs/>
                <w:color w:val="auto"/>
                <w:sz w:val="18"/>
                <w:szCs w:val="18"/>
              </w:rPr>
              <w:t>Number of people prescribed nitrofurantoin more than once in a three consecutive month period</w:t>
            </w:r>
          </w:p>
        </w:tc>
      </w:tr>
      <w:tr w:rsidR="008A3DD1" w:rsidRPr="00C23CE7" w14:paraId="3A4C1DA5" w14:textId="77777777" w:rsidTr="00427030">
        <w:trPr>
          <w:trHeight w:val="940"/>
        </w:trPr>
        <w:tc>
          <w:tcPr>
            <w:tcW w:w="534" w:type="dxa"/>
            <w:shd w:val="clear" w:color="auto" w:fill="auto"/>
          </w:tcPr>
          <w:p w14:paraId="7C23C143"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02BA1ABC"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77DB7CB5" w14:textId="639AACFF" w:rsidR="00D500FA" w:rsidRPr="00C23CE7" w:rsidRDefault="00F91EFA" w:rsidP="00427030">
            <w:pPr>
              <w:tabs>
                <w:tab w:val="left" w:pos="1026"/>
              </w:tabs>
              <w:spacing w:after="0"/>
              <w:rPr>
                <w:rFonts w:ascii="Arial" w:eastAsia="Arial" w:hAnsi="Arial" w:cs="Arial"/>
                <w:color w:val="auto"/>
                <w:sz w:val="18"/>
                <w:szCs w:val="18"/>
              </w:rPr>
            </w:pPr>
            <w:r w:rsidRPr="00C23CE7">
              <w:rPr>
                <w:rFonts w:ascii="Arial" w:eastAsia="Arial" w:hAnsi="Arial" w:cs="Arial"/>
                <w:color w:val="auto"/>
                <w:sz w:val="18"/>
                <w:szCs w:val="18"/>
              </w:rPr>
              <w:t xml:space="preserve">This </w:t>
            </w:r>
            <w:r w:rsidR="004155E4" w:rsidRPr="00C23CE7">
              <w:rPr>
                <w:rFonts w:ascii="Arial" w:eastAsia="Arial" w:hAnsi="Arial" w:cs="Arial"/>
                <w:color w:val="auto"/>
                <w:sz w:val="18"/>
                <w:szCs w:val="18"/>
              </w:rPr>
              <w:t>comparator</w:t>
            </w:r>
            <w:r w:rsidRPr="00C23CE7">
              <w:rPr>
                <w:rFonts w:ascii="Arial" w:eastAsia="Arial" w:hAnsi="Arial" w:cs="Arial"/>
                <w:color w:val="auto"/>
                <w:sz w:val="18"/>
                <w:szCs w:val="18"/>
              </w:rPr>
              <w:t xml:space="preserve"> </w:t>
            </w:r>
            <w:r w:rsidR="00CF6EDE" w:rsidRPr="00C23CE7">
              <w:rPr>
                <w:rFonts w:ascii="Arial" w:hAnsi="Arial" w:cs="Arial"/>
                <w:color w:val="auto"/>
                <w:sz w:val="18"/>
                <w:szCs w:val="21"/>
                <w:shd w:val="clear" w:color="auto" w:fill="FFFFFF"/>
              </w:rPr>
              <w:t>reports</w:t>
            </w:r>
            <w:r w:rsidR="00CF6EDE" w:rsidRPr="00C23CE7">
              <w:rPr>
                <w:rFonts w:ascii="Arial" w:eastAsia="Arial" w:hAnsi="Arial" w:cs="Arial"/>
                <w:color w:val="auto"/>
                <w:sz w:val="18"/>
                <w:szCs w:val="18"/>
              </w:rPr>
              <w:t xml:space="preserve"> </w:t>
            </w:r>
            <w:r w:rsidRPr="00C23CE7">
              <w:rPr>
                <w:rFonts w:ascii="Arial" w:eastAsia="Arial" w:hAnsi="Arial" w:cs="Arial"/>
                <w:color w:val="auto"/>
                <w:sz w:val="18"/>
                <w:szCs w:val="18"/>
              </w:rPr>
              <w:t>the number of unique people in the selected age band(s), gender and organisational unit who have been prescribed nitrofurantoin more than once in any three consecutive months</w:t>
            </w:r>
          </w:p>
        </w:tc>
      </w:tr>
      <w:tr w:rsidR="008A3DD1" w:rsidRPr="00C23CE7" w14:paraId="5D53153D" w14:textId="77777777" w:rsidTr="00427030">
        <w:trPr>
          <w:trHeight w:val="440"/>
        </w:trPr>
        <w:tc>
          <w:tcPr>
            <w:tcW w:w="534" w:type="dxa"/>
            <w:shd w:val="clear" w:color="auto" w:fill="auto"/>
          </w:tcPr>
          <w:p w14:paraId="151A2061"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2658F01F"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3D00A8A8" w14:textId="33F63CDD" w:rsidR="00D500FA" w:rsidRPr="00C23CE7" w:rsidRDefault="00D500FA" w:rsidP="00427030">
            <w:pPr>
              <w:spacing w:after="0" w:line="240" w:lineRule="auto"/>
              <w:jc w:val="both"/>
              <w:rPr>
                <w:rFonts w:ascii="Arial" w:eastAsia="Arial" w:hAnsi="Arial" w:cs="Arial"/>
                <w:color w:val="auto"/>
                <w:sz w:val="18"/>
                <w:szCs w:val="18"/>
              </w:rPr>
            </w:pPr>
            <w:r w:rsidRPr="00C23CE7">
              <w:rPr>
                <w:rFonts w:ascii="Arial" w:eastAsia="Arial" w:hAnsi="Arial" w:cs="Arial"/>
                <w:color w:val="auto"/>
                <w:sz w:val="18"/>
                <w:szCs w:val="18"/>
              </w:rPr>
              <w:t>Data is shown for the previous 4 months</w:t>
            </w:r>
            <w:r w:rsidR="006C0303" w:rsidRPr="00C23CE7">
              <w:rPr>
                <w:rFonts w:ascii="Arial" w:eastAsia="Arial" w:hAnsi="Arial" w:cs="Arial"/>
                <w:color w:val="auto"/>
                <w:sz w:val="18"/>
                <w:szCs w:val="18"/>
              </w:rPr>
              <w:t xml:space="preserve"> combined</w:t>
            </w:r>
            <w:r w:rsidRPr="00C23CE7">
              <w:rPr>
                <w:rFonts w:ascii="Arial" w:eastAsia="Arial" w:hAnsi="Arial" w:cs="Arial"/>
                <w:color w:val="auto"/>
                <w:sz w:val="18"/>
                <w:szCs w:val="18"/>
              </w:rPr>
              <w:t>, calculated at practice, PCN, SICBL, NHS Region and national levels, depending on the dashboard view.</w:t>
            </w:r>
          </w:p>
        </w:tc>
      </w:tr>
      <w:tr w:rsidR="008A3DD1" w:rsidRPr="00C23CE7" w14:paraId="22E6AE33" w14:textId="77777777" w:rsidTr="00427030">
        <w:trPr>
          <w:trHeight w:val="763"/>
        </w:trPr>
        <w:tc>
          <w:tcPr>
            <w:tcW w:w="534" w:type="dxa"/>
            <w:shd w:val="clear" w:color="auto" w:fill="auto"/>
          </w:tcPr>
          <w:p w14:paraId="5762A7B1"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7EC805AB"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1E5AC737" w14:textId="6315FF04" w:rsidR="00F91EFA" w:rsidRPr="00C23CE7" w:rsidRDefault="00F91EFA" w:rsidP="00F91EFA">
            <w:pPr>
              <w:spacing w:after="0"/>
              <w:rPr>
                <w:rFonts w:ascii="Arial" w:hAnsi="Arial" w:cs="Arial"/>
                <w:color w:val="auto"/>
                <w:sz w:val="18"/>
                <w:szCs w:val="21"/>
                <w:shd w:val="clear" w:color="auto" w:fill="FFFFFF"/>
              </w:rPr>
            </w:pPr>
            <w:r w:rsidRPr="00C23CE7">
              <w:rPr>
                <w:rFonts w:ascii="Arial" w:hAnsi="Arial" w:cs="Arial"/>
                <w:color w:val="auto"/>
                <w:sz w:val="18"/>
                <w:szCs w:val="21"/>
                <w:shd w:val="clear" w:color="auto" w:fill="FFFFFF"/>
              </w:rPr>
              <w:t>The number of unique people in the selected age band(s), gender and organisational unit(s) who have been prescribed nitrofurantoin more than once in any three consecutive months including the selected reporting month.</w:t>
            </w:r>
          </w:p>
          <w:p w14:paraId="5A8E5F31" w14:textId="78A64966" w:rsidR="00D500FA" w:rsidRPr="00C23CE7" w:rsidRDefault="00D500FA" w:rsidP="00427030">
            <w:pPr>
              <w:spacing w:after="0"/>
              <w:rPr>
                <w:rFonts w:ascii="Arial" w:eastAsia="Arial" w:hAnsi="Arial" w:cs="Arial"/>
                <w:color w:val="auto"/>
                <w:sz w:val="18"/>
                <w:szCs w:val="18"/>
              </w:rPr>
            </w:pPr>
          </w:p>
        </w:tc>
      </w:tr>
      <w:tr w:rsidR="008A3DD1" w:rsidRPr="00C23CE7" w14:paraId="7DD36B00" w14:textId="77777777" w:rsidTr="00427030">
        <w:trPr>
          <w:trHeight w:val="336"/>
        </w:trPr>
        <w:tc>
          <w:tcPr>
            <w:tcW w:w="534" w:type="dxa"/>
            <w:shd w:val="clear" w:color="auto" w:fill="auto"/>
          </w:tcPr>
          <w:p w14:paraId="06B59460" w14:textId="77777777" w:rsidR="00D500FA" w:rsidRPr="00C23CE7" w:rsidRDefault="00D500FA" w:rsidP="00427030">
            <w:pPr>
              <w:spacing w:after="0"/>
              <w:jc w:val="center"/>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7F09E30A"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3957F15E" w14:textId="77777777" w:rsidR="00D500FA" w:rsidRPr="00C23CE7" w:rsidRDefault="00D500FA" w:rsidP="00427030">
            <w:pPr>
              <w:spacing w:after="0"/>
              <w:rPr>
                <w:rFonts w:ascii="Arial" w:eastAsia="Arial" w:hAnsi="Arial" w:cs="Arial"/>
                <w:color w:val="auto"/>
                <w:sz w:val="18"/>
                <w:szCs w:val="18"/>
              </w:rPr>
            </w:pPr>
            <w:r w:rsidRPr="00C23CE7">
              <w:rPr>
                <w:rFonts w:ascii="Arial" w:eastAsia="Arial" w:hAnsi="Arial" w:cs="Arial"/>
                <w:color w:val="auto"/>
                <w:sz w:val="18"/>
                <w:szCs w:val="18"/>
              </w:rPr>
              <w:t>None.</w:t>
            </w:r>
          </w:p>
        </w:tc>
      </w:tr>
      <w:tr w:rsidR="008A3DD1" w:rsidRPr="00C23CE7" w14:paraId="01A05E17" w14:textId="77777777" w:rsidTr="00427030">
        <w:trPr>
          <w:trHeight w:val="520"/>
        </w:trPr>
        <w:tc>
          <w:tcPr>
            <w:tcW w:w="534" w:type="dxa"/>
            <w:shd w:val="clear" w:color="auto" w:fill="auto"/>
          </w:tcPr>
          <w:p w14:paraId="32BCE69F"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13E832E9"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4DF5E39E" w14:textId="77777777" w:rsidR="00D500FA" w:rsidRPr="00C23CE7" w:rsidRDefault="00D500FA" w:rsidP="00427030">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Data is presented as numerator only.</w:t>
            </w:r>
          </w:p>
          <w:p w14:paraId="6D2A0F78" w14:textId="77777777" w:rsidR="00D500FA" w:rsidRPr="00C23CE7" w:rsidRDefault="00D500FA" w:rsidP="00427030">
            <w:pPr>
              <w:spacing w:after="0"/>
              <w:rPr>
                <w:rFonts w:ascii="Arial" w:eastAsia="Arial" w:hAnsi="Arial" w:cs="Arial"/>
                <w:color w:val="auto"/>
                <w:sz w:val="18"/>
                <w:szCs w:val="18"/>
              </w:rPr>
            </w:pPr>
          </w:p>
        </w:tc>
      </w:tr>
      <w:tr w:rsidR="0040431B" w:rsidRPr="00C23CE7" w14:paraId="2575E96E" w14:textId="77777777" w:rsidTr="00427030">
        <w:trPr>
          <w:trHeight w:val="260"/>
        </w:trPr>
        <w:tc>
          <w:tcPr>
            <w:tcW w:w="9889" w:type="dxa"/>
            <w:gridSpan w:val="3"/>
            <w:shd w:val="clear" w:color="auto" w:fill="D9D9D9"/>
          </w:tcPr>
          <w:p w14:paraId="004656A0" w14:textId="77777777" w:rsidR="00D500FA" w:rsidRPr="00C23CE7" w:rsidRDefault="00D500FA" w:rsidP="00427030">
            <w:pPr>
              <w:tabs>
                <w:tab w:val="left" w:pos="2257"/>
              </w:tabs>
              <w:spacing w:after="0"/>
              <w:rPr>
                <w:rFonts w:ascii="Arial" w:eastAsia="Arial" w:hAnsi="Arial" w:cs="Arial"/>
                <w:color w:val="auto"/>
                <w:sz w:val="18"/>
                <w:szCs w:val="18"/>
              </w:rPr>
            </w:pPr>
            <w:r w:rsidRPr="00C23CE7">
              <w:rPr>
                <w:rFonts w:ascii="Arial" w:eastAsia="Arial" w:hAnsi="Arial" w:cs="Arial"/>
                <w:b/>
                <w:color w:val="auto"/>
                <w:sz w:val="18"/>
                <w:szCs w:val="18"/>
              </w:rPr>
              <w:t>Section 2: Rationale</w:t>
            </w:r>
            <w:r w:rsidRPr="00C23CE7">
              <w:rPr>
                <w:rFonts w:ascii="Arial" w:eastAsia="Arial" w:hAnsi="Arial" w:cs="Arial"/>
                <w:b/>
                <w:color w:val="auto"/>
                <w:sz w:val="18"/>
                <w:szCs w:val="18"/>
              </w:rPr>
              <w:tab/>
            </w:r>
          </w:p>
        </w:tc>
      </w:tr>
      <w:tr w:rsidR="0040431B" w:rsidRPr="00C23CE7" w14:paraId="470BA15E" w14:textId="77777777" w:rsidTr="00427030">
        <w:trPr>
          <w:trHeight w:val="880"/>
        </w:trPr>
        <w:tc>
          <w:tcPr>
            <w:tcW w:w="534" w:type="dxa"/>
            <w:shd w:val="clear" w:color="auto" w:fill="auto"/>
          </w:tcPr>
          <w:p w14:paraId="3788F3DE"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color w:val="auto"/>
                <w:sz w:val="18"/>
                <w:szCs w:val="18"/>
              </w:rPr>
              <w:t>2.1</w:t>
            </w:r>
          </w:p>
          <w:p w14:paraId="1C0063FE" w14:textId="77777777" w:rsidR="00D500FA" w:rsidRPr="00C23CE7" w:rsidRDefault="00D500FA" w:rsidP="00427030">
            <w:pPr>
              <w:rPr>
                <w:rFonts w:ascii="Arial" w:eastAsia="Arial" w:hAnsi="Arial" w:cs="Arial"/>
                <w:color w:val="auto"/>
                <w:sz w:val="18"/>
                <w:szCs w:val="18"/>
              </w:rPr>
            </w:pPr>
          </w:p>
        </w:tc>
        <w:tc>
          <w:tcPr>
            <w:tcW w:w="1417" w:type="dxa"/>
            <w:tcBorders>
              <w:bottom w:val="single" w:sz="4" w:space="0" w:color="000000"/>
            </w:tcBorders>
            <w:shd w:val="clear" w:color="auto" w:fill="D9D9D9"/>
          </w:tcPr>
          <w:p w14:paraId="5608C0AB" w14:textId="77777777" w:rsidR="00D500FA" w:rsidRPr="00C23CE7" w:rsidRDefault="00D500FA" w:rsidP="00427030">
            <w:pPr>
              <w:rPr>
                <w:rFonts w:ascii="Arial" w:eastAsia="Arial" w:hAnsi="Arial" w:cs="Arial"/>
                <w:color w:val="auto"/>
                <w:sz w:val="18"/>
                <w:szCs w:val="18"/>
              </w:rPr>
            </w:pPr>
            <w:r w:rsidRPr="00C23CE7">
              <w:rPr>
                <w:rFonts w:ascii="Arial" w:eastAsia="Arial" w:hAnsi="Arial" w:cs="Arial"/>
                <w:b/>
                <w:color w:val="auto"/>
                <w:sz w:val="18"/>
                <w:szCs w:val="18"/>
              </w:rPr>
              <w:t>Purpose and Limitations</w:t>
            </w:r>
          </w:p>
        </w:tc>
        <w:tc>
          <w:tcPr>
            <w:tcW w:w="7938" w:type="dxa"/>
          </w:tcPr>
          <w:p w14:paraId="4A8FC4C9" w14:textId="4208FC1A" w:rsidR="0053674D" w:rsidRPr="00C23CE7" w:rsidRDefault="0053674D"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This comparator can identify opportunities for improvement in the management of lower UTI and recurrent UTI in selected populations and may identify compliance with local diagnostic and prescribing guidelines, including populations at greater risk of harm from long term nitrofurantoin use</w:t>
            </w:r>
            <w:r w:rsidR="00960B1A" w:rsidRPr="00C23CE7">
              <w:rPr>
                <w:rFonts w:ascii="Arial" w:eastAsia="Arial" w:hAnsi="Arial" w:cs="Arial"/>
                <w:color w:val="auto"/>
                <w:sz w:val="18"/>
                <w:szCs w:val="18"/>
              </w:rPr>
              <w:t xml:space="preserve"> who require monitoring</w:t>
            </w:r>
            <w:r w:rsidR="000E1BE4" w:rsidRPr="00C23CE7">
              <w:rPr>
                <w:rFonts w:ascii="Arial" w:eastAsia="Arial" w:hAnsi="Arial" w:cs="Arial"/>
                <w:color w:val="auto"/>
                <w:sz w:val="18"/>
                <w:szCs w:val="18"/>
              </w:rPr>
              <w:t xml:space="preserve"> as advised by</w:t>
            </w:r>
            <w:r w:rsidR="000818C3" w:rsidRPr="00C23CE7">
              <w:rPr>
                <w:rFonts w:ascii="Arial" w:eastAsia="Arial" w:hAnsi="Arial" w:cs="Arial"/>
                <w:color w:val="auto"/>
                <w:sz w:val="18"/>
                <w:szCs w:val="18"/>
              </w:rPr>
              <w:t xml:space="preserve"> the MHRA; </w:t>
            </w:r>
            <w:hyperlink r:id="rId37" w:history="1">
              <w:r w:rsidR="000818C3" w:rsidRPr="00C23CE7">
                <w:rPr>
                  <w:rStyle w:val="Hyperlink"/>
                  <w:rFonts w:ascii="Arial" w:eastAsia="Arial" w:hAnsi="Arial" w:cs="Arial"/>
                  <w:sz w:val="18"/>
                  <w:szCs w:val="18"/>
                </w:rPr>
                <w:t>Nitrofurantoin: reminder of the risks of pulmonary and hepatic adverse drug reactions.</w:t>
              </w:r>
            </w:hyperlink>
            <w:r w:rsidR="00A1010A" w:rsidRPr="00C23CE7">
              <w:rPr>
                <w:rStyle w:val="Hyperlink"/>
                <w:rFonts w:ascii="Arial" w:eastAsia="Arial" w:hAnsi="Arial" w:cs="Arial"/>
                <w:sz w:val="18"/>
                <w:szCs w:val="18"/>
              </w:rPr>
              <w:t xml:space="preserve"> </w:t>
            </w:r>
            <w:r w:rsidR="00A1010A" w:rsidRPr="00C23CE7">
              <w:rPr>
                <w:rFonts w:ascii="Arial" w:eastAsia="Arial" w:hAnsi="Arial" w:cs="Arial"/>
                <w:color w:val="auto"/>
                <w:sz w:val="18"/>
                <w:szCs w:val="18"/>
              </w:rPr>
              <w:t xml:space="preserve">This comparator identifies people who may be at risk, and clinicians providing care for these people are able to request patient details from the NHSBSA to facilitate review of care. </w:t>
            </w:r>
            <w:r w:rsidR="006E026A">
              <w:rPr>
                <w:rFonts w:ascii="Arial" w:eastAsia="Arial" w:hAnsi="Arial" w:cs="Arial"/>
                <w:color w:val="auto"/>
                <w:sz w:val="18"/>
                <w:szCs w:val="18"/>
              </w:rPr>
              <w:t xml:space="preserve"> For more information on how to request patient details, please refer to the Supporting Information section of the dashboard.</w:t>
            </w:r>
          </w:p>
          <w:p w14:paraId="7F8C0810" w14:textId="77777777" w:rsidR="0031416E" w:rsidRPr="00C23CE7" w:rsidRDefault="0031416E" w:rsidP="0053674D">
            <w:pPr>
              <w:spacing w:after="0" w:line="240" w:lineRule="auto"/>
              <w:rPr>
                <w:rFonts w:ascii="Arial" w:eastAsia="Arial" w:hAnsi="Arial" w:cs="Arial"/>
                <w:color w:val="auto"/>
                <w:sz w:val="18"/>
                <w:szCs w:val="18"/>
              </w:rPr>
            </w:pPr>
          </w:p>
          <w:p w14:paraId="37590490" w14:textId="25948DE3" w:rsidR="0031416E" w:rsidRPr="00C23CE7" w:rsidRDefault="00382AA4"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Comparators UTI04 and UTI05 report a count of people who have been prescribed trimethoprim or nitrofurantoin more than once in a three month period, and this may reflect prevention of recurrent urinary tract infection. Use of the gender and age band selectors can identify w</w:t>
            </w:r>
            <w:r w:rsidR="0031416E" w:rsidRPr="00C23CE7">
              <w:rPr>
                <w:rFonts w:ascii="Arial" w:eastAsia="Arial" w:hAnsi="Arial" w:cs="Arial"/>
                <w:color w:val="auto"/>
                <w:sz w:val="18"/>
                <w:szCs w:val="18"/>
              </w:rPr>
              <w:t xml:space="preserve">omen prescribed repeated antibiotics to prevent recurrent UTI </w:t>
            </w:r>
            <w:r w:rsidRPr="00C23CE7">
              <w:rPr>
                <w:rFonts w:ascii="Arial" w:eastAsia="Arial" w:hAnsi="Arial" w:cs="Arial"/>
                <w:color w:val="auto"/>
                <w:sz w:val="18"/>
                <w:szCs w:val="18"/>
              </w:rPr>
              <w:t xml:space="preserve">who </w:t>
            </w:r>
            <w:r w:rsidR="0031416E" w:rsidRPr="00C23CE7">
              <w:rPr>
                <w:rFonts w:ascii="Arial" w:eastAsia="Arial" w:hAnsi="Arial" w:cs="Arial"/>
                <w:color w:val="auto"/>
                <w:sz w:val="18"/>
                <w:szCs w:val="18"/>
              </w:rPr>
              <w:t xml:space="preserve">may benefit from alternative antibiotic sparing treatments as recommended by </w:t>
            </w:r>
            <w:hyperlink r:id="rId38" w:history="1">
              <w:r w:rsidR="0031416E" w:rsidRPr="00C23CE7">
                <w:rPr>
                  <w:rStyle w:val="Hyperlink"/>
                  <w:rFonts w:ascii="Arial" w:eastAsia="Arial" w:hAnsi="Arial" w:cs="Arial"/>
                  <w:sz w:val="18"/>
                  <w:szCs w:val="18"/>
                </w:rPr>
                <w:t>NICE NG112</w:t>
              </w:r>
            </w:hyperlink>
            <w:r w:rsidR="0031416E" w:rsidRPr="00C23CE7">
              <w:rPr>
                <w:rFonts w:ascii="Arial" w:eastAsia="Arial" w:hAnsi="Arial" w:cs="Arial"/>
                <w:color w:val="auto"/>
                <w:sz w:val="18"/>
                <w:szCs w:val="18"/>
              </w:rPr>
              <w:t xml:space="preserve"> prevention of recurrent urinary tract infection guidance. </w:t>
            </w:r>
          </w:p>
          <w:p w14:paraId="736B2561" w14:textId="77777777" w:rsidR="00021ADC" w:rsidRPr="00C23CE7" w:rsidRDefault="00021ADC" w:rsidP="0053674D">
            <w:pPr>
              <w:spacing w:after="0" w:line="240" w:lineRule="auto"/>
              <w:rPr>
                <w:rFonts w:ascii="Arial" w:eastAsia="Arial" w:hAnsi="Arial" w:cs="Arial"/>
                <w:color w:val="auto"/>
                <w:sz w:val="18"/>
                <w:szCs w:val="18"/>
              </w:rPr>
            </w:pPr>
          </w:p>
          <w:p w14:paraId="5FE56736" w14:textId="2DCC586E" w:rsidR="00021ADC" w:rsidRPr="00C23CE7" w:rsidRDefault="00021ADC"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39"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 These include metrics reporting continuous duration of antibiotics associated with the prevention of recurrent UTI in adults aged 70+ years.</w:t>
            </w:r>
          </w:p>
          <w:p w14:paraId="3257A6F3" w14:textId="77777777" w:rsidR="003463A6" w:rsidRPr="00C23CE7" w:rsidRDefault="003463A6" w:rsidP="0053674D">
            <w:pPr>
              <w:spacing w:after="0" w:line="240" w:lineRule="auto"/>
              <w:rPr>
                <w:rFonts w:ascii="Arial" w:eastAsia="Arial" w:hAnsi="Arial" w:cs="Arial"/>
                <w:color w:val="auto"/>
                <w:sz w:val="18"/>
                <w:szCs w:val="18"/>
              </w:rPr>
            </w:pPr>
          </w:p>
          <w:p w14:paraId="629698C2" w14:textId="140AE0DE" w:rsidR="003463A6" w:rsidRPr="00C23CE7" w:rsidRDefault="003463A6"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40"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 in adults. </w:t>
            </w:r>
          </w:p>
          <w:p w14:paraId="7AD33AB7" w14:textId="77777777" w:rsidR="0053674D" w:rsidRPr="00C23CE7" w:rsidRDefault="0053674D" w:rsidP="0053674D">
            <w:pPr>
              <w:spacing w:after="0" w:line="240" w:lineRule="auto"/>
              <w:rPr>
                <w:rFonts w:ascii="Arial" w:eastAsia="Arial" w:hAnsi="Arial" w:cs="Arial"/>
                <w:color w:val="auto"/>
                <w:sz w:val="18"/>
                <w:szCs w:val="18"/>
              </w:rPr>
            </w:pPr>
          </w:p>
          <w:p w14:paraId="149F476B" w14:textId="77777777" w:rsidR="00D500FA" w:rsidRPr="00C23CE7" w:rsidRDefault="00D24519" w:rsidP="0053674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Prescription data does not include a diagnostic code and therefore it is possible the antibiotic in this comparator may have been prescribed for a different purpose.</w:t>
            </w:r>
          </w:p>
          <w:p w14:paraId="71899AFC" w14:textId="5AE511B9" w:rsidR="00BC50B3" w:rsidRPr="00C23CE7" w:rsidRDefault="00BC50B3" w:rsidP="0053674D">
            <w:pPr>
              <w:spacing w:after="0" w:line="240" w:lineRule="auto"/>
              <w:rPr>
                <w:rFonts w:ascii="Arial" w:eastAsia="Arial" w:hAnsi="Arial" w:cs="Arial"/>
                <w:color w:val="auto"/>
                <w:sz w:val="18"/>
                <w:szCs w:val="18"/>
              </w:rPr>
            </w:pPr>
          </w:p>
        </w:tc>
      </w:tr>
    </w:tbl>
    <w:p w14:paraId="27F86A0B" w14:textId="4E46AAF9" w:rsidR="003C251E" w:rsidRPr="00C23CE7" w:rsidRDefault="003C251E" w:rsidP="00190109">
      <w:pPr>
        <w:rPr>
          <w:rFonts w:ascii="Arial" w:eastAsia="Arial" w:hAnsi="Arial" w:cs="Arial"/>
          <w:b/>
          <w:color w:val="C00000"/>
          <w:sz w:val="20"/>
          <w:szCs w:val="20"/>
        </w:rPr>
      </w:pPr>
      <w:r w:rsidRPr="00C23CE7">
        <w:rPr>
          <w:color w:val="C00000"/>
        </w:rPr>
        <w:br w:type="page"/>
      </w:r>
    </w:p>
    <w:p w14:paraId="764FD3C1" w14:textId="32F83B73" w:rsidR="00D94A3E" w:rsidRPr="00C23CE7" w:rsidRDefault="00E420FF" w:rsidP="00CC56ED">
      <w:pPr>
        <w:pStyle w:val="Heading2"/>
      </w:pPr>
      <w:bookmarkStart w:id="35" w:name="_Toc180492670"/>
      <w:r w:rsidRPr="00C23CE7">
        <w:lastRenderedPageBreak/>
        <w:t>UTI06 - Number of people prescribed urinary continence devices in the last four months per 100,000 population</w:t>
      </w:r>
      <w:bookmarkEnd w:id="35"/>
    </w:p>
    <w:p w14:paraId="17C5A31E" w14:textId="77777777" w:rsidR="000E1F77" w:rsidRPr="00C23CE7" w:rsidRDefault="000E1F77" w:rsidP="000E1F77"/>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17"/>
        <w:gridCol w:w="7938"/>
      </w:tblGrid>
      <w:tr w:rsidR="008A3DD1" w:rsidRPr="00C23CE7" w14:paraId="55FB42B0" w14:textId="77777777">
        <w:tc>
          <w:tcPr>
            <w:tcW w:w="9889" w:type="dxa"/>
            <w:gridSpan w:val="3"/>
            <w:shd w:val="clear" w:color="auto" w:fill="D9D9D9"/>
          </w:tcPr>
          <w:p w14:paraId="6821064A" w14:textId="77777777" w:rsidR="00810077" w:rsidRPr="00C23CE7" w:rsidRDefault="00855C24">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1: Introduction / Overview</w:t>
            </w:r>
          </w:p>
        </w:tc>
      </w:tr>
      <w:tr w:rsidR="008A3DD1" w:rsidRPr="00C23CE7" w14:paraId="7BE2B55D" w14:textId="77777777">
        <w:tc>
          <w:tcPr>
            <w:tcW w:w="534" w:type="dxa"/>
            <w:shd w:val="clear" w:color="auto" w:fill="auto"/>
          </w:tcPr>
          <w:p w14:paraId="233A32CE" w14:textId="77777777" w:rsidR="00810077" w:rsidRPr="00C23CE7" w:rsidRDefault="00855C24">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1.1</w:t>
            </w:r>
          </w:p>
          <w:p w14:paraId="0ABBCCA6" w14:textId="77777777" w:rsidR="00810077" w:rsidRPr="00C23CE7" w:rsidRDefault="00810077">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61A6BE8A" w14:textId="77777777" w:rsidR="00810077" w:rsidRPr="00C23CE7" w:rsidRDefault="00855C24">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Title</w:t>
            </w:r>
          </w:p>
        </w:tc>
        <w:tc>
          <w:tcPr>
            <w:tcW w:w="7938" w:type="dxa"/>
          </w:tcPr>
          <w:p w14:paraId="54E8A3DA" w14:textId="628890B7" w:rsidR="00810077" w:rsidRPr="00C23CE7" w:rsidRDefault="00E420FF">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Number of people prescribed urinary continence devices in the last four months per 100,000 population</w:t>
            </w:r>
          </w:p>
        </w:tc>
      </w:tr>
      <w:tr w:rsidR="008A3DD1" w:rsidRPr="00C23CE7" w14:paraId="7C12FB18" w14:textId="77777777">
        <w:tc>
          <w:tcPr>
            <w:tcW w:w="534" w:type="dxa"/>
            <w:shd w:val="clear" w:color="auto" w:fill="auto"/>
          </w:tcPr>
          <w:p w14:paraId="4354A274"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1.2</w:t>
            </w:r>
          </w:p>
        </w:tc>
        <w:tc>
          <w:tcPr>
            <w:tcW w:w="1417" w:type="dxa"/>
            <w:tcBorders>
              <w:top w:val="single" w:sz="4" w:space="0" w:color="000000"/>
              <w:bottom w:val="single" w:sz="4" w:space="0" w:color="000000"/>
            </w:tcBorders>
            <w:shd w:val="clear" w:color="auto" w:fill="D9D9D9"/>
          </w:tcPr>
          <w:p w14:paraId="20E904C0"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Definition</w:t>
            </w:r>
          </w:p>
        </w:tc>
        <w:tc>
          <w:tcPr>
            <w:tcW w:w="7938" w:type="dxa"/>
          </w:tcPr>
          <w:p w14:paraId="7360D678" w14:textId="3E53842D" w:rsidR="00AB3745" w:rsidRPr="00C23CE7" w:rsidRDefault="00AB3745" w:rsidP="00AB3745">
            <w:pPr>
              <w:tabs>
                <w:tab w:val="left" w:pos="1026"/>
              </w:tabs>
              <w:spacing w:after="0"/>
              <w:rPr>
                <w:rFonts w:ascii="Arial" w:eastAsia="Arial" w:hAnsi="Arial" w:cs="Arial"/>
                <w:color w:val="auto"/>
                <w:sz w:val="18"/>
                <w:szCs w:val="18"/>
              </w:rPr>
            </w:pPr>
            <w:r w:rsidRPr="00C23CE7">
              <w:rPr>
                <w:rFonts w:ascii="Arial" w:eastAsia="Arial" w:hAnsi="Arial" w:cs="Arial"/>
                <w:color w:val="auto"/>
                <w:sz w:val="18"/>
                <w:szCs w:val="18"/>
              </w:rPr>
              <w:t xml:space="preserve">This </w:t>
            </w:r>
            <w:r w:rsidR="004155E4" w:rsidRPr="00C23CE7">
              <w:rPr>
                <w:rFonts w:ascii="Arial" w:eastAsia="Arial" w:hAnsi="Arial" w:cs="Arial"/>
                <w:color w:val="auto"/>
                <w:sz w:val="18"/>
                <w:szCs w:val="18"/>
              </w:rPr>
              <w:t>comparator</w:t>
            </w:r>
            <w:r w:rsidRPr="00C23CE7">
              <w:rPr>
                <w:rFonts w:ascii="Arial" w:eastAsia="Arial" w:hAnsi="Arial" w:cs="Arial"/>
                <w:color w:val="auto"/>
                <w:sz w:val="18"/>
                <w:szCs w:val="18"/>
              </w:rPr>
              <w:t xml:space="preserve"> </w:t>
            </w:r>
            <w:r w:rsidR="00CF6EDE" w:rsidRPr="00C23CE7">
              <w:rPr>
                <w:rFonts w:ascii="Arial" w:hAnsi="Arial" w:cs="Arial"/>
                <w:color w:val="auto"/>
                <w:sz w:val="18"/>
                <w:szCs w:val="21"/>
                <w:shd w:val="clear" w:color="auto" w:fill="FFFFFF"/>
              </w:rPr>
              <w:t>reports</w:t>
            </w:r>
            <w:r w:rsidR="00CF6EDE" w:rsidRPr="00C23CE7">
              <w:rPr>
                <w:rFonts w:ascii="Arial" w:eastAsia="Arial" w:hAnsi="Arial" w:cs="Arial"/>
                <w:color w:val="auto"/>
                <w:sz w:val="18"/>
                <w:szCs w:val="18"/>
              </w:rPr>
              <w:t xml:space="preserve"> </w:t>
            </w:r>
            <w:r w:rsidRPr="00C23CE7">
              <w:rPr>
                <w:rFonts w:ascii="Arial" w:eastAsia="Arial" w:hAnsi="Arial" w:cs="Arial"/>
                <w:color w:val="auto"/>
                <w:sz w:val="18"/>
                <w:szCs w:val="18"/>
              </w:rPr>
              <w:t>the number of unique people in the selected age band(s), gender and organisational unit who have been prescribed a urinary</w:t>
            </w:r>
            <w:r w:rsidR="006A584B" w:rsidRPr="00C23CE7">
              <w:rPr>
                <w:rFonts w:ascii="Arial" w:eastAsia="Arial" w:hAnsi="Arial" w:cs="Arial"/>
                <w:color w:val="auto"/>
                <w:sz w:val="18"/>
                <w:szCs w:val="18"/>
              </w:rPr>
              <w:t xml:space="preserve"> continence</w:t>
            </w:r>
            <w:r w:rsidRPr="00C23CE7">
              <w:rPr>
                <w:rFonts w:ascii="Arial" w:eastAsia="Arial" w:hAnsi="Arial" w:cs="Arial"/>
                <w:color w:val="auto"/>
                <w:sz w:val="18"/>
                <w:szCs w:val="18"/>
              </w:rPr>
              <w:t xml:space="preserve"> device in the </w:t>
            </w:r>
            <w:r w:rsidR="00D500FA" w:rsidRPr="00C23CE7">
              <w:rPr>
                <w:rFonts w:ascii="Arial" w:eastAsia="Arial" w:hAnsi="Arial" w:cs="Arial"/>
                <w:color w:val="auto"/>
                <w:sz w:val="18"/>
                <w:szCs w:val="18"/>
              </w:rPr>
              <w:t>4</w:t>
            </w:r>
            <w:r w:rsidRPr="00C23CE7">
              <w:rPr>
                <w:rFonts w:ascii="Arial" w:eastAsia="Arial" w:hAnsi="Arial" w:cs="Arial"/>
                <w:color w:val="auto"/>
                <w:sz w:val="18"/>
                <w:szCs w:val="18"/>
              </w:rPr>
              <w:t xml:space="preserve"> months</w:t>
            </w:r>
            <w:r w:rsidR="001A77A3" w:rsidRPr="00C23CE7">
              <w:rPr>
                <w:rFonts w:ascii="Arial" w:eastAsia="Arial" w:hAnsi="Arial" w:cs="Arial"/>
                <w:color w:val="auto"/>
                <w:sz w:val="18"/>
                <w:szCs w:val="18"/>
              </w:rPr>
              <w:t xml:space="preserve"> to the selected month</w:t>
            </w:r>
            <w:r w:rsidR="00D500FA" w:rsidRPr="00C23CE7">
              <w:rPr>
                <w:rFonts w:ascii="Arial" w:eastAsia="Arial" w:hAnsi="Arial" w:cs="Arial"/>
                <w:color w:val="auto"/>
                <w:sz w:val="18"/>
                <w:szCs w:val="18"/>
              </w:rPr>
              <w:t>.</w:t>
            </w:r>
          </w:p>
          <w:p w14:paraId="2667ED9A" w14:textId="3FBDE84C" w:rsidR="00AB3745" w:rsidRPr="00C23CE7" w:rsidRDefault="00AB3745" w:rsidP="00AB3745">
            <w:pPr>
              <w:spacing w:after="0" w:line="240" w:lineRule="auto"/>
              <w:rPr>
                <w:rFonts w:ascii="Arial" w:eastAsia="Arial" w:hAnsi="Arial" w:cs="Arial"/>
                <w:color w:val="auto"/>
                <w:sz w:val="18"/>
                <w:szCs w:val="18"/>
              </w:rPr>
            </w:pPr>
          </w:p>
        </w:tc>
      </w:tr>
      <w:tr w:rsidR="008A3DD1" w:rsidRPr="00C23CE7" w14:paraId="30211DFB" w14:textId="77777777" w:rsidTr="00A449FA">
        <w:trPr>
          <w:trHeight w:val="500"/>
        </w:trPr>
        <w:tc>
          <w:tcPr>
            <w:tcW w:w="534" w:type="dxa"/>
            <w:shd w:val="clear" w:color="auto" w:fill="auto"/>
          </w:tcPr>
          <w:p w14:paraId="7F37B2DD"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1.3</w:t>
            </w:r>
          </w:p>
        </w:tc>
        <w:tc>
          <w:tcPr>
            <w:tcW w:w="1417" w:type="dxa"/>
            <w:tcBorders>
              <w:top w:val="single" w:sz="4" w:space="0" w:color="000000"/>
              <w:bottom w:val="single" w:sz="4" w:space="0" w:color="000000"/>
            </w:tcBorders>
            <w:shd w:val="clear" w:color="auto" w:fill="D9D9D9"/>
          </w:tcPr>
          <w:p w14:paraId="16D5BEE6"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Reporting Level</w:t>
            </w:r>
          </w:p>
        </w:tc>
        <w:tc>
          <w:tcPr>
            <w:tcW w:w="7938" w:type="dxa"/>
          </w:tcPr>
          <w:p w14:paraId="7BC42DE1" w14:textId="055A2E72" w:rsidR="00AB3745" w:rsidRPr="00C23CE7" w:rsidRDefault="00C362D4" w:rsidP="00AB3745">
            <w:pPr>
              <w:spacing w:after="0" w:line="240" w:lineRule="auto"/>
              <w:jc w:val="both"/>
              <w:rPr>
                <w:rFonts w:ascii="Arial" w:eastAsia="Arial" w:hAnsi="Arial" w:cs="Arial"/>
                <w:color w:val="auto"/>
                <w:sz w:val="18"/>
                <w:szCs w:val="18"/>
              </w:rPr>
            </w:pPr>
            <w:r w:rsidRPr="00C23CE7">
              <w:rPr>
                <w:rFonts w:ascii="Arial" w:eastAsia="Arial" w:hAnsi="Arial" w:cs="Arial"/>
                <w:color w:val="auto"/>
                <w:sz w:val="18"/>
                <w:szCs w:val="18"/>
              </w:rPr>
              <w:t xml:space="preserve">Data is shown for the previous </w:t>
            </w:r>
            <w:r w:rsidR="00D500FA" w:rsidRPr="00C23CE7">
              <w:rPr>
                <w:rFonts w:ascii="Arial" w:eastAsia="Arial" w:hAnsi="Arial" w:cs="Arial"/>
                <w:color w:val="auto"/>
                <w:sz w:val="18"/>
                <w:szCs w:val="18"/>
              </w:rPr>
              <w:t>4</w:t>
            </w:r>
            <w:r w:rsidRPr="00C23CE7">
              <w:rPr>
                <w:rFonts w:ascii="Arial" w:eastAsia="Arial" w:hAnsi="Arial" w:cs="Arial"/>
                <w:color w:val="auto"/>
                <w:sz w:val="18"/>
                <w:szCs w:val="18"/>
              </w:rPr>
              <w:t xml:space="preserve"> months calculated at SICBL, </w:t>
            </w:r>
            <w:r w:rsidR="0036324F" w:rsidRPr="00C23CE7">
              <w:rPr>
                <w:rFonts w:ascii="Arial" w:eastAsia="Arial" w:hAnsi="Arial" w:cs="Arial"/>
                <w:color w:val="auto"/>
                <w:sz w:val="18"/>
                <w:szCs w:val="18"/>
              </w:rPr>
              <w:t xml:space="preserve">ICB, </w:t>
            </w:r>
            <w:r w:rsidRPr="00C23CE7">
              <w:rPr>
                <w:rFonts w:ascii="Arial" w:eastAsia="Arial" w:hAnsi="Arial" w:cs="Arial"/>
                <w:color w:val="auto"/>
                <w:sz w:val="18"/>
                <w:szCs w:val="18"/>
              </w:rPr>
              <w:t>NHS Region and national levels, depending on the dashboard view.</w:t>
            </w:r>
          </w:p>
        </w:tc>
      </w:tr>
      <w:tr w:rsidR="008A3DD1" w:rsidRPr="00C23CE7" w14:paraId="0ABEE7B8" w14:textId="77777777">
        <w:trPr>
          <w:trHeight w:val="780"/>
        </w:trPr>
        <w:tc>
          <w:tcPr>
            <w:tcW w:w="534" w:type="dxa"/>
            <w:shd w:val="clear" w:color="auto" w:fill="auto"/>
          </w:tcPr>
          <w:p w14:paraId="0187E8CD" w14:textId="77777777"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1.4</w:t>
            </w:r>
          </w:p>
        </w:tc>
        <w:tc>
          <w:tcPr>
            <w:tcW w:w="1417" w:type="dxa"/>
            <w:tcBorders>
              <w:top w:val="single" w:sz="4" w:space="0" w:color="000000"/>
              <w:bottom w:val="single" w:sz="4" w:space="0" w:color="000000"/>
            </w:tcBorders>
            <w:shd w:val="clear" w:color="auto" w:fill="D9D9D9"/>
          </w:tcPr>
          <w:p w14:paraId="55FA9FF1" w14:textId="77777777"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Numerator</w:t>
            </w:r>
          </w:p>
        </w:tc>
        <w:tc>
          <w:tcPr>
            <w:tcW w:w="7938" w:type="dxa"/>
          </w:tcPr>
          <w:p w14:paraId="6E9CA6FB" w14:textId="52FD4DBE" w:rsidR="00B8270D" w:rsidRPr="00C23CE7" w:rsidRDefault="00B8270D" w:rsidP="00B8270D">
            <w:pPr>
              <w:spacing w:after="0" w:line="240" w:lineRule="auto"/>
              <w:rPr>
                <w:rFonts w:ascii="Arial" w:eastAsia="Arial" w:hAnsi="Arial" w:cs="Arial"/>
                <w:color w:val="auto"/>
                <w:sz w:val="18"/>
                <w:szCs w:val="18"/>
              </w:rPr>
            </w:pPr>
            <w:r w:rsidRPr="00C23CE7">
              <w:rPr>
                <w:rFonts w:ascii="Arial" w:hAnsi="Arial" w:cs="Arial"/>
                <w:color w:val="auto"/>
                <w:sz w:val="18"/>
                <w:szCs w:val="21"/>
                <w:shd w:val="clear" w:color="auto" w:fill="FFFFFF"/>
              </w:rPr>
              <w:t xml:space="preserve">The number of unique people in the selected age band(s), gender and organisational unit(s) who have been prescribed </w:t>
            </w:r>
            <w:r w:rsidR="000419D0" w:rsidRPr="00C23CE7">
              <w:rPr>
                <w:rFonts w:ascii="Arial" w:hAnsi="Arial" w:cs="Arial"/>
                <w:color w:val="auto"/>
                <w:sz w:val="18"/>
                <w:szCs w:val="21"/>
                <w:shd w:val="clear" w:color="auto" w:fill="FFFFFF"/>
              </w:rPr>
              <w:t xml:space="preserve">on FP10 </w:t>
            </w:r>
            <w:r w:rsidRPr="00C23CE7">
              <w:rPr>
                <w:rFonts w:ascii="Arial" w:hAnsi="Arial" w:cs="Arial"/>
                <w:color w:val="auto"/>
                <w:sz w:val="18"/>
                <w:szCs w:val="21"/>
                <w:shd w:val="clear" w:color="auto" w:fill="FFFFFF"/>
              </w:rPr>
              <w:t xml:space="preserve">one or more urinary continence device, in the </w:t>
            </w:r>
            <w:r w:rsidR="00D500FA" w:rsidRPr="00C23CE7">
              <w:rPr>
                <w:rFonts w:ascii="Arial" w:hAnsi="Arial" w:cs="Arial"/>
                <w:color w:val="auto"/>
                <w:sz w:val="18"/>
                <w:szCs w:val="21"/>
                <w:shd w:val="clear" w:color="auto" w:fill="FFFFFF"/>
              </w:rPr>
              <w:t>4</w:t>
            </w:r>
            <w:r w:rsidRPr="00C23CE7">
              <w:rPr>
                <w:rFonts w:ascii="Arial" w:hAnsi="Arial" w:cs="Arial"/>
                <w:color w:val="auto"/>
                <w:sz w:val="18"/>
                <w:szCs w:val="21"/>
                <w:shd w:val="clear" w:color="auto" w:fill="FFFFFF"/>
              </w:rPr>
              <w:t xml:space="preserve"> months to the selected </w:t>
            </w:r>
            <w:r w:rsidR="00D500FA" w:rsidRPr="00C23CE7">
              <w:rPr>
                <w:rFonts w:ascii="Arial" w:hAnsi="Arial" w:cs="Arial"/>
                <w:color w:val="auto"/>
                <w:sz w:val="18"/>
                <w:szCs w:val="21"/>
                <w:shd w:val="clear" w:color="auto" w:fill="FFFFFF"/>
              </w:rPr>
              <w:t>month</w:t>
            </w:r>
            <w:r w:rsidRPr="00C23CE7">
              <w:rPr>
                <w:rFonts w:ascii="Arial" w:hAnsi="Arial" w:cs="Arial"/>
                <w:color w:val="auto"/>
                <w:sz w:val="18"/>
                <w:szCs w:val="21"/>
                <w:shd w:val="clear" w:color="auto" w:fill="FFFFFF"/>
              </w:rPr>
              <w:t>.</w:t>
            </w:r>
          </w:p>
        </w:tc>
      </w:tr>
      <w:tr w:rsidR="008A3DD1" w:rsidRPr="00C23CE7" w14:paraId="4F42B451" w14:textId="77777777">
        <w:trPr>
          <w:trHeight w:val="820"/>
        </w:trPr>
        <w:tc>
          <w:tcPr>
            <w:tcW w:w="534" w:type="dxa"/>
            <w:shd w:val="clear" w:color="auto" w:fill="auto"/>
          </w:tcPr>
          <w:p w14:paraId="58CC2D1F" w14:textId="77777777"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1.5</w:t>
            </w:r>
          </w:p>
        </w:tc>
        <w:tc>
          <w:tcPr>
            <w:tcW w:w="1417" w:type="dxa"/>
            <w:tcBorders>
              <w:top w:val="single" w:sz="4" w:space="0" w:color="000000"/>
              <w:bottom w:val="single" w:sz="4" w:space="0" w:color="000000"/>
            </w:tcBorders>
            <w:shd w:val="clear" w:color="auto" w:fill="D9D9D9"/>
          </w:tcPr>
          <w:p w14:paraId="2BEBEFB4" w14:textId="77777777"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Denominator</w:t>
            </w:r>
          </w:p>
        </w:tc>
        <w:tc>
          <w:tcPr>
            <w:tcW w:w="7938" w:type="dxa"/>
          </w:tcPr>
          <w:p w14:paraId="7759C1B6" w14:textId="6761677D" w:rsidR="00B8270D" w:rsidRPr="00C23CE7" w:rsidRDefault="00B8270D" w:rsidP="00B8270D">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Number of patients in the selected age band(s) and gender who are registered with the selected GP practice</w:t>
            </w:r>
            <w:r w:rsidR="000419D0" w:rsidRPr="00C23CE7">
              <w:rPr>
                <w:rFonts w:ascii="Arial" w:eastAsia="Arial" w:hAnsi="Arial" w:cs="Arial"/>
                <w:color w:val="auto"/>
                <w:sz w:val="18"/>
                <w:szCs w:val="18"/>
              </w:rPr>
              <w:t xml:space="preserve"> within the selected organisation level </w:t>
            </w:r>
            <w:r w:rsidRPr="00C23CE7">
              <w:rPr>
                <w:rFonts w:ascii="Arial" w:eastAsia="Arial" w:hAnsi="Arial" w:cs="Arial"/>
                <w:color w:val="auto"/>
                <w:sz w:val="18"/>
                <w:szCs w:val="18"/>
              </w:rPr>
              <w:t xml:space="preserve">in the selected </w:t>
            </w:r>
            <w:r w:rsidR="006F50AA" w:rsidRPr="00C23CE7">
              <w:rPr>
                <w:rFonts w:ascii="Arial" w:eastAsia="Arial" w:hAnsi="Arial" w:cs="Arial"/>
                <w:color w:val="auto"/>
                <w:sz w:val="18"/>
                <w:szCs w:val="18"/>
              </w:rPr>
              <w:t>month</w:t>
            </w:r>
            <w:r w:rsidRPr="00C23CE7">
              <w:rPr>
                <w:rFonts w:ascii="Arial" w:eastAsia="Arial" w:hAnsi="Arial" w:cs="Arial"/>
                <w:color w:val="auto"/>
                <w:sz w:val="18"/>
                <w:szCs w:val="18"/>
              </w:rPr>
              <w:t>.</w:t>
            </w:r>
          </w:p>
          <w:p w14:paraId="057AB371" w14:textId="77777777" w:rsidR="00B8270D" w:rsidRPr="00C23CE7" w:rsidRDefault="00B8270D" w:rsidP="00B8270D">
            <w:pPr>
              <w:spacing w:after="0" w:line="240" w:lineRule="auto"/>
              <w:rPr>
                <w:rFonts w:ascii="Arial" w:eastAsia="Arial" w:hAnsi="Arial" w:cs="Arial"/>
                <w:color w:val="auto"/>
                <w:sz w:val="18"/>
                <w:szCs w:val="18"/>
              </w:rPr>
            </w:pPr>
          </w:p>
        </w:tc>
      </w:tr>
      <w:tr w:rsidR="008A3DD1" w:rsidRPr="00C23CE7" w14:paraId="75E25CD1" w14:textId="77777777">
        <w:tc>
          <w:tcPr>
            <w:tcW w:w="534" w:type="dxa"/>
            <w:shd w:val="clear" w:color="auto" w:fill="auto"/>
          </w:tcPr>
          <w:p w14:paraId="4D0C5F17"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1.6</w:t>
            </w:r>
          </w:p>
        </w:tc>
        <w:tc>
          <w:tcPr>
            <w:tcW w:w="1417" w:type="dxa"/>
            <w:tcBorders>
              <w:top w:val="single" w:sz="4" w:space="0" w:color="000000"/>
            </w:tcBorders>
            <w:shd w:val="clear" w:color="auto" w:fill="D9D9D9"/>
          </w:tcPr>
          <w:p w14:paraId="6EA8E31F"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Methodology</w:t>
            </w:r>
          </w:p>
        </w:tc>
        <w:tc>
          <w:tcPr>
            <w:tcW w:w="7938" w:type="dxa"/>
          </w:tcPr>
          <w:p w14:paraId="4CE7A1B3" w14:textId="5E2884BA" w:rsidR="00721F19" w:rsidRPr="00C23CE7" w:rsidRDefault="00721F19" w:rsidP="00721F1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Numerator divided by denominator, expressed per 1</w:t>
            </w:r>
            <w:r w:rsidR="00FF207A" w:rsidRPr="00C23CE7">
              <w:rPr>
                <w:rFonts w:ascii="Arial" w:eastAsia="Arial" w:hAnsi="Arial" w:cs="Arial"/>
                <w:color w:val="auto"/>
                <w:sz w:val="18"/>
                <w:szCs w:val="18"/>
              </w:rPr>
              <w:t>00</w:t>
            </w:r>
            <w:r w:rsidRPr="00C23CE7">
              <w:rPr>
                <w:rFonts w:ascii="Arial" w:eastAsia="Arial" w:hAnsi="Arial" w:cs="Arial"/>
                <w:color w:val="auto"/>
                <w:sz w:val="18"/>
                <w:szCs w:val="18"/>
              </w:rPr>
              <w:t>,000 patients.</w:t>
            </w:r>
          </w:p>
          <w:p w14:paraId="6CD9AD83" w14:textId="6D333D58" w:rsidR="00AB3745" w:rsidRPr="00C23CE7" w:rsidRDefault="00721F19" w:rsidP="00721F1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 </w:t>
            </w:r>
          </w:p>
        </w:tc>
      </w:tr>
      <w:tr w:rsidR="008A3DD1" w:rsidRPr="00C23CE7" w14:paraId="37FD29F1" w14:textId="77777777">
        <w:tc>
          <w:tcPr>
            <w:tcW w:w="534" w:type="dxa"/>
            <w:shd w:val="clear" w:color="auto" w:fill="auto"/>
          </w:tcPr>
          <w:p w14:paraId="550ACF74" w14:textId="27E89545" w:rsidR="00721F19" w:rsidRPr="00C23CE7" w:rsidRDefault="00721F19"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1.7</w:t>
            </w:r>
          </w:p>
        </w:tc>
        <w:tc>
          <w:tcPr>
            <w:tcW w:w="1417" w:type="dxa"/>
            <w:tcBorders>
              <w:top w:val="single" w:sz="4" w:space="0" w:color="000000"/>
            </w:tcBorders>
            <w:shd w:val="clear" w:color="auto" w:fill="D9D9D9"/>
          </w:tcPr>
          <w:p w14:paraId="1AC5817D" w14:textId="092B6364" w:rsidR="00721F19" w:rsidRPr="00C23CE7" w:rsidRDefault="00721F19" w:rsidP="00AB3745">
            <w:pPr>
              <w:spacing w:after="0" w:line="240" w:lineRule="auto"/>
              <w:rPr>
                <w:rFonts w:ascii="Arial" w:eastAsia="Arial" w:hAnsi="Arial" w:cs="Arial"/>
                <w:b/>
                <w:color w:val="auto"/>
                <w:sz w:val="18"/>
                <w:szCs w:val="18"/>
              </w:rPr>
            </w:pPr>
            <w:r w:rsidRPr="00C23CE7">
              <w:rPr>
                <w:rFonts w:ascii="Arial" w:eastAsia="Arial" w:hAnsi="Arial" w:cs="Arial"/>
                <w:b/>
                <w:color w:val="auto"/>
                <w:sz w:val="18"/>
                <w:szCs w:val="18"/>
              </w:rPr>
              <w:t>Medicines</w:t>
            </w:r>
          </w:p>
        </w:tc>
        <w:tc>
          <w:tcPr>
            <w:tcW w:w="7938" w:type="dxa"/>
          </w:tcPr>
          <w:p w14:paraId="3B530EAE" w14:textId="6DE042D4" w:rsidR="00721F19" w:rsidRPr="00C23CE7" w:rsidRDefault="00721F19" w:rsidP="00721F19">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Indwelling and intermittent catheters</w:t>
            </w:r>
            <w:r w:rsidR="000419D0" w:rsidRPr="00C23CE7">
              <w:rPr>
                <w:rFonts w:ascii="Arial" w:eastAsia="Arial" w:hAnsi="Arial" w:cs="Arial"/>
                <w:color w:val="auto"/>
                <w:sz w:val="18"/>
                <w:szCs w:val="18"/>
              </w:rPr>
              <w:t xml:space="preserve"> </w:t>
            </w:r>
            <w:r w:rsidR="00543374" w:rsidRPr="00C23CE7">
              <w:rPr>
                <w:rFonts w:ascii="Arial" w:eastAsia="Arial" w:hAnsi="Arial" w:cs="Arial"/>
                <w:color w:val="auto"/>
                <w:sz w:val="18"/>
                <w:szCs w:val="18"/>
              </w:rPr>
              <w:t xml:space="preserve">and incontinence sheaths, which are included under BNF </w:t>
            </w:r>
            <w:r w:rsidR="005035A9" w:rsidRPr="00C23CE7">
              <w:rPr>
                <w:rFonts w:ascii="Arial" w:eastAsia="Arial" w:hAnsi="Arial" w:cs="Arial"/>
                <w:color w:val="auto"/>
                <w:sz w:val="18"/>
                <w:szCs w:val="18"/>
              </w:rPr>
              <w:t>Section 22.30</w:t>
            </w:r>
            <w:r w:rsidR="000419D0" w:rsidRPr="00C23CE7">
              <w:rPr>
                <w:rFonts w:ascii="Arial" w:eastAsia="Arial" w:hAnsi="Arial" w:cs="Arial"/>
                <w:color w:val="auto"/>
                <w:sz w:val="18"/>
                <w:szCs w:val="18"/>
              </w:rPr>
              <w:t>. Urinary catheters are categorised as indwelling or intermittent use by NHS England on a quarterly basis</w:t>
            </w:r>
          </w:p>
          <w:p w14:paraId="260564EA" w14:textId="18CB49F0" w:rsidR="005035A9" w:rsidRPr="00C23CE7" w:rsidRDefault="005035A9" w:rsidP="00721F19">
            <w:pPr>
              <w:spacing w:after="0" w:line="240" w:lineRule="auto"/>
              <w:rPr>
                <w:rFonts w:ascii="Arial" w:eastAsia="Arial" w:hAnsi="Arial" w:cs="Arial"/>
                <w:color w:val="auto"/>
                <w:sz w:val="18"/>
                <w:szCs w:val="18"/>
              </w:rPr>
            </w:pPr>
          </w:p>
        </w:tc>
      </w:tr>
      <w:tr w:rsidR="000419D0" w:rsidRPr="00C23CE7" w14:paraId="5FC140F0" w14:textId="77777777">
        <w:tc>
          <w:tcPr>
            <w:tcW w:w="9889" w:type="dxa"/>
            <w:gridSpan w:val="3"/>
            <w:shd w:val="clear" w:color="auto" w:fill="D9D9D9"/>
          </w:tcPr>
          <w:p w14:paraId="080FC33A"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Section 2: Rationale</w:t>
            </w:r>
          </w:p>
        </w:tc>
      </w:tr>
      <w:tr w:rsidR="000419D0" w:rsidRPr="00C23CE7" w14:paraId="4CE5B6E1" w14:textId="77777777">
        <w:trPr>
          <w:trHeight w:val="1220"/>
        </w:trPr>
        <w:tc>
          <w:tcPr>
            <w:tcW w:w="534" w:type="dxa"/>
            <w:shd w:val="clear" w:color="auto" w:fill="auto"/>
          </w:tcPr>
          <w:p w14:paraId="13E53239" w14:textId="77777777"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2.1</w:t>
            </w:r>
          </w:p>
          <w:p w14:paraId="5AC471EC" w14:textId="77777777" w:rsidR="00AB3745" w:rsidRPr="00C23CE7" w:rsidRDefault="00AB3745" w:rsidP="00AB3745">
            <w:pPr>
              <w:spacing w:after="0" w:line="240" w:lineRule="auto"/>
              <w:rPr>
                <w:rFonts w:ascii="Arial" w:eastAsia="Arial" w:hAnsi="Arial" w:cs="Arial"/>
                <w:color w:val="auto"/>
                <w:sz w:val="18"/>
                <w:szCs w:val="18"/>
              </w:rPr>
            </w:pPr>
          </w:p>
        </w:tc>
        <w:tc>
          <w:tcPr>
            <w:tcW w:w="1417" w:type="dxa"/>
            <w:tcBorders>
              <w:bottom w:val="single" w:sz="4" w:space="0" w:color="000000"/>
            </w:tcBorders>
            <w:shd w:val="clear" w:color="auto" w:fill="D9D9D9"/>
          </w:tcPr>
          <w:p w14:paraId="3D5353EF" w14:textId="5B4A3060" w:rsidR="00AB3745" w:rsidRPr="00C23CE7" w:rsidRDefault="00AB3745" w:rsidP="00AB3745">
            <w:pPr>
              <w:spacing w:after="0" w:line="240" w:lineRule="auto"/>
              <w:rPr>
                <w:rFonts w:ascii="Arial" w:eastAsia="Arial" w:hAnsi="Arial" w:cs="Arial"/>
                <w:color w:val="auto"/>
                <w:sz w:val="18"/>
                <w:szCs w:val="18"/>
              </w:rPr>
            </w:pPr>
            <w:r w:rsidRPr="00C23CE7">
              <w:rPr>
                <w:rFonts w:ascii="Arial" w:eastAsia="Arial" w:hAnsi="Arial" w:cs="Arial"/>
                <w:b/>
                <w:color w:val="auto"/>
                <w:sz w:val="18"/>
                <w:szCs w:val="18"/>
              </w:rPr>
              <w:t>Purpose</w:t>
            </w:r>
            <w:r w:rsidR="00295581" w:rsidRPr="00C23CE7">
              <w:rPr>
                <w:rFonts w:ascii="Arial" w:eastAsia="Arial" w:hAnsi="Arial" w:cs="Arial"/>
                <w:b/>
                <w:color w:val="auto"/>
                <w:sz w:val="18"/>
                <w:szCs w:val="18"/>
              </w:rPr>
              <w:t xml:space="preserve"> and limitations</w:t>
            </w:r>
          </w:p>
        </w:tc>
        <w:tc>
          <w:tcPr>
            <w:tcW w:w="7938" w:type="dxa"/>
          </w:tcPr>
          <w:p w14:paraId="7F330E79" w14:textId="3D717FCA" w:rsidR="00AB3745" w:rsidRPr="00C23CE7" w:rsidRDefault="000419D0"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This comparator reports population exposure to urinary continence devices prescribed on FP10</w:t>
            </w:r>
            <w:r w:rsidR="00431764" w:rsidRPr="00C23CE7">
              <w:rPr>
                <w:rFonts w:ascii="Arial" w:eastAsia="Arial" w:hAnsi="Arial" w:cs="Arial"/>
                <w:color w:val="auto"/>
                <w:sz w:val="18"/>
                <w:szCs w:val="18"/>
              </w:rPr>
              <w:t xml:space="preserve"> for the first time and allows commissioning organisations to quantify the number of people, by age band and gender, who may be using these devices. Use of </w:t>
            </w:r>
            <w:r w:rsidR="00DB2D98" w:rsidRPr="00C23CE7">
              <w:rPr>
                <w:rFonts w:ascii="Arial" w:eastAsia="Arial" w:hAnsi="Arial" w:cs="Arial"/>
                <w:color w:val="auto"/>
                <w:sz w:val="18"/>
                <w:szCs w:val="18"/>
              </w:rPr>
              <w:t>population rates allows comparison of use by device, and across organisation</w:t>
            </w:r>
            <w:r w:rsidR="00B86AD8" w:rsidRPr="00C23CE7">
              <w:rPr>
                <w:rFonts w:ascii="Arial" w:eastAsia="Arial" w:hAnsi="Arial" w:cs="Arial"/>
                <w:color w:val="auto"/>
                <w:sz w:val="18"/>
                <w:szCs w:val="18"/>
              </w:rPr>
              <w:t xml:space="preserve">s, and </w:t>
            </w:r>
            <w:r w:rsidR="00FF5382" w:rsidRPr="00C23CE7">
              <w:rPr>
                <w:rFonts w:ascii="Arial" w:eastAsia="Arial" w:hAnsi="Arial" w:cs="Arial"/>
                <w:color w:val="auto"/>
                <w:sz w:val="18"/>
                <w:szCs w:val="18"/>
              </w:rPr>
              <w:t>may identify opportunities for improvement</w:t>
            </w:r>
            <w:r w:rsidR="004D6D55" w:rsidRPr="00C23CE7">
              <w:rPr>
                <w:rFonts w:ascii="Arial" w:eastAsia="Arial" w:hAnsi="Arial" w:cs="Arial"/>
                <w:color w:val="auto"/>
                <w:sz w:val="18"/>
                <w:szCs w:val="18"/>
              </w:rPr>
              <w:t xml:space="preserve"> to optimise urinary catheter use</w:t>
            </w:r>
            <w:r w:rsidR="00F90194" w:rsidRPr="00C23CE7">
              <w:rPr>
                <w:rFonts w:ascii="Arial" w:eastAsia="Arial" w:hAnsi="Arial" w:cs="Arial"/>
                <w:color w:val="auto"/>
                <w:sz w:val="18"/>
                <w:szCs w:val="18"/>
              </w:rPr>
              <w:t>, reduce risk of a health-care associated infection, and optimise the management of catheter-associated UTI.</w:t>
            </w:r>
          </w:p>
          <w:p w14:paraId="18A07A36" w14:textId="77777777" w:rsidR="00DB2D98" w:rsidRPr="00C23CE7" w:rsidRDefault="00DB2D98" w:rsidP="00AB3745">
            <w:pPr>
              <w:spacing w:after="0" w:line="240" w:lineRule="auto"/>
              <w:rPr>
                <w:rFonts w:ascii="Arial" w:eastAsia="Arial" w:hAnsi="Arial" w:cs="Arial"/>
                <w:color w:val="auto"/>
                <w:sz w:val="18"/>
                <w:szCs w:val="18"/>
              </w:rPr>
            </w:pPr>
          </w:p>
          <w:p w14:paraId="7E452833" w14:textId="2F6F6A24" w:rsidR="00DB2D98" w:rsidRPr="00C23CE7" w:rsidRDefault="00DB2D98"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Urinary catheters are associated with a higher risk of a urinary tract infection and </w:t>
            </w:r>
            <w:hyperlink r:id="rId41" w:history="1">
              <w:r w:rsidRPr="00C23CE7">
                <w:rPr>
                  <w:rStyle w:val="Hyperlink"/>
                  <w:rFonts w:ascii="Arial" w:eastAsia="Arial" w:hAnsi="Arial" w:cs="Arial"/>
                  <w:sz w:val="18"/>
                  <w:szCs w:val="18"/>
                </w:rPr>
                <w:t>N</w:t>
              </w:r>
              <w:r w:rsidR="00FF5382" w:rsidRPr="00C23CE7">
                <w:rPr>
                  <w:rStyle w:val="Hyperlink"/>
                  <w:rFonts w:ascii="Arial" w:eastAsia="Arial" w:hAnsi="Arial" w:cs="Arial"/>
                  <w:sz w:val="18"/>
                  <w:szCs w:val="18"/>
                </w:rPr>
                <w:t>ICE</w:t>
              </w:r>
              <w:r w:rsidRPr="00C23CE7">
                <w:rPr>
                  <w:rStyle w:val="Hyperlink"/>
                  <w:rFonts w:ascii="Arial" w:eastAsia="Arial" w:hAnsi="Arial" w:cs="Arial"/>
                  <w:sz w:val="18"/>
                  <w:szCs w:val="18"/>
                </w:rPr>
                <w:t xml:space="preserve"> NG113</w:t>
              </w:r>
            </w:hyperlink>
            <w:r w:rsidRPr="00C23CE7">
              <w:rPr>
                <w:rFonts w:ascii="Arial" w:eastAsia="Arial" w:hAnsi="Arial" w:cs="Arial"/>
                <w:color w:val="auto"/>
                <w:sz w:val="18"/>
                <w:szCs w:val="18"/>
              </w:rPr>
              <w:t xml:space="preserve"> Urinary tract infection (catheter-associated): antimicrobial prescribing guidance provides advice on the antibiotic treatment of catheter-associated UTI, and the management of associated urinary catheter use.</w:t>
            </w:r>
          </w:p>
          <w:p w14:paraId="62E280A1" w14:textId="77777777" w:rsidR="00FF5382" w:rsidRPr="00C23CE7" w:rsidRDefault="00FF5382" w:rsidP="00AB3745">
            <w:pPr>
              <w:spacing w:after="0" w:line="240" w:lineRule="auto"/>
              <w:rPr>
                <w:rFonts w:ascii="Arial" w:eastAsia="Arial" w:hAnsi="Arial" w:cs="Arial"/>
                <w:color w:val="auto"/>
                <w:sz w:val="18"/>
                <w:szCs w:val="18"/>
              </w:rPr>
            </w:pPr>
          </w:p>
          <w:p w14:paraId="55560802" w14:textId="44AEF5C7" w:rsidR="00FF5382" w:rsidRPr="00C23CE7" w:rsidRDefault="00FF5382"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Urinary catheter use is also associated with a higher risk of antimicrobial resistant infection and is associated with a higher risk of a Gram-negative blood stream infection. </w:t>
            </w:r>
            <w:hyperlink r:id="rId42" w:history="1">
              <w:r w:rsidRPr="00C23CE7">
                <w:rPr>
                  <w:rStyle w:val="Hyperlink"/>
                  <w:rFonts w:ascii="Arial" w:eastAsia="Arial" w:hAnsi="Arial" w:cs="Arial"/>
                  <w:sz w:val="18"/>
                  <w:szCs w:val="18"/>
                </w:rPr>
                <w:t>NICE CG139</w:t>
              </w:r>
            </w:hyperlink>
            <w:r w:rsidRPr="00C23CE7">
              <w:rPr>
                <w:rFonts w:ascii="Arial" w:eastAsia="Arial" w:hAnsi="Arial" w:cs="Arial"/>
                <w:color w:val="auto"/>
                <w:sz w:val="18"/>
                <w:szCs w:val="18"/>
              </w:rPr>
              <w:t xml:space="preserve"> Healthcare-associated infections: prevention and control in primary and community care provides guidance to prevent and control healthcare-associated infections </w:t>
            </w:r>
            <w:r w:rsidR="00295581" w:rsidRPr="00C23CE7">
              <w:rPr>
                <w:rFonts w:ascii="Arial" w:eastAsia="Arial" w:hAnsi="Arial" w:cs="Arial"/>
                <w:color w:val="auto"/>
                <w:sz w:val="18"/>
                <w:szCs w:val="18"/>
              </w:rPr>
              <w:t>including those associated with long-term urinary catheters.</w:t>
            </w:r>
          </w:p>
          <w:p w14:paraId="416EF041" w14:textId="77777777" w:rsidR="00BC50B3" w:rsidRPr="00C23CE7" w:rsidRDefault="00BC50B3" w:rsidP="00AB3745">
            <w:pPr>
              <w:spacing w:after="0" w:line="240" w:lineRule="auto"/>
              <w:rPr>
                <w:rFonts w:ascii="Arial" w:eastAsia="Arial" w:hAnsi="Arial" w:cs="Arial"/>
                <w:color w:val="auto"/>
                <w:sz w:val="18"/>
                <w:szCs w:val="18"/>
              </w:rPr>
            </w:pPr>
          </w:p>
          <w:p w14:paraId="26186705" w14:textId="7D0A435D" w:rsidR="00BC50B3" w:rsidRPr="00C23CE7" w:rsidRDefault="00BC50B3"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This dashboard does not report people who have been prescribed both a urinary continence device and an antibiotic to treat UTI.</w:t>
            </w:r>
          </w:p>
          <w:p w14:paraId="32C15539" w14:textId="77777777" w:rsidR="00BC50B3" w:rsidRPr="00C23CE7" w:rsidRDefault="00BC50B3" w:rsidP="00AB3745">
            <w:pPr>
              <w:spacing w:after="0" w:line="240" w:lineRule="auto"/>
              <w:rPr>
                <w:rFonts w:ascii="Arial" w:eastAsia="Arial" w:hAnsi="Arial" w:cs="Arial"/>
                <w:color w:val="auto"/>
                <w:sz w:val="18"/>
                <w:szCs w:val="18"/>
              </w:rPr>
            </w:pPr>
          </w:p>
          <w:p w14:paraId="206E3079" w14:textId="051027C1" w:rsidR="00BC50B3" w:rsidRPr="00C23CE7" w:rsidRDefault="00BC50B3"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The NHS England </w:t>
            </w:r>
            <w:hyperlink r:id="rId43" w:history="1">
              <w:r w:rsidRPr="00C23CE7">
                <w:rPr>
                  <w:rStyle w:val="Hyperlink"/>
                  <w:rFonts w:ascii="Arial" w:eastAsia="Arial" w:hAnsi="Arial" w:cs="Arial"/>
                  <w:sz w:val="18"/>
                  <w:szCs w:val="18"/>
                </w:rPr>
                <w:t>Model Health System</w:t>
              </w:r>
            </w:hyperlink>
            <w:r w:rsidRPr="00C23CE7">
              <w:rPr>
                <w:rFonts w:ascii="Arial" w:eastAsia="Arial" w:hAnsi="Arial" w:cs="Arial"/>
                <w:color w:val="auto"/>
                <w:sz w:val="18"/>
                <w:szCs w:val="18"/>
              </w:rPr>
              <w:t xml:space="preserve"> Antimicrobial Resistance dashboard publishes multiple metrics associated with urinary tract infection at SICBL, ICB and NHS Region level.</w:t>
            </w:r>
          </w:p>
          <w:p w14:paraId="0C19FC2A" w14:textId="77777777" w:rsidR="00DB2D98" w:rsidRPr="00C23CE7" w:rsidRDefault="00DB2D98" w:rsidP="00AB3745">
            <w:pPr>
              <w:spacing w:after="0" w:line="240" w:lineRule="auto"/>
              <w:rPr>
                <w:rFonts w:ascii="Arial" w:eastAsia="Arial" w:hAnsi="Arial" w:cs="Arial"/>
                <w:color w:val="auto"/>
                <w:sz w:val="18"/>
                <w:szCs w:val="18"/>
              </w:rPr>
            </w:pPr>
          </w:p>
          <w:p w14:paraId="3BB04833" w14:textId="29495607" w:rsidR="00FF5382" w:rsidRPr="00C23CE7" w:rsidRDefault="00FF5382"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UKHSA publish </w:t>
            </w:r>
            <w:hyperlink r:id="rId44" w:history="1">
              <w:r w:rsidRPr="00C23CE7">
                <w:rPr>
                  <w:rStyle w:val="Hyperlink"/>
                  <w:rFonts w:ascii="Arial" w:eastAsia="Arial" w:hAnsi="Arial" w:cs="Arial"/>
                  <w:sz w:val="18"/>
                  <w:szCs w:val="18"/>
                </w:rPr>
                <w:t xml:space="preserve">Urinary tract infection: diagnostic tools for primary care </w:t>
              </w:r>
            </w:hyperlink>
            <w:r w:rsidRPr="00C23CE7">
              <w:rPr>
                <w:rFonts w:ascii="Arial" w:eastAsia="Arial" w:hAnsi="Arial" w:cs="Arial"/>
                <w:color w:val="auto"/>
                <w:sz w:val="18"/>
                <w:szCs w:val="18"/>
              </w:rPr>
              <w:t xml:space="preserve">including suspected UTI in catheterised adults. </w:t>
            </w:r>
          </w:p>
          <w:p w14:paraId="45A6EBFC" w14:textId="77777777" w:rsidR="00295581" w:rsidRPr="00C23CE7" w:rsidRDefault="00295581" w:rsidP="00AB3745">
            <w:pPr>
              <w:spacing w:after="0" w:line="240" w:lineRule="auto"/>
              <w:rPr>
                <w:rFonts w:ascii="Arial" w:eastAsia="Arial" w:hAnsi="Arial" w:cs="Arial"/>
                <w:color w:val="auto"/>
                <w:sz w:val="18"/>
                <w:szCs w:val="18"/>
              </w:rPr>
            </w:pPr>
          </w:p>
          <w:p w14:paraId="0034B2BF" w14:textId="7B9D9DFD" w:rsidR="00AC38E8" w:rsidRPr="00C23CE7" w:rsidRDefault="0036324F"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 xml:space="preserve">This comparator includes prescribing to patients who could be identified by means of a valid NHS number on the prescription form only.  Please see </w:t>
            </w:r>
            <w:hyperlink w:anchor="_Appendix_3:_Data" w:history="1">
              <w:r w:rsidRPr="00C23CE7">
                <w:rPr>
                  <w:rStyle w:val="Hyperlink"/>
                  <w:rFonts w:ascii="Arial" w:eastAsia="Arial" w:hAnsi="Arial" w:cs="Arial"/>
                  <w:sz w:val="18"/>
                  <w:szCs w:val="18"/>
                </w:rPr>
                <w:t>Appendix 3: Data completeness for continence devices</w:t>
              </w:r>
            </w:hyperlink>
            <w:r w:rsidRPr="00C23CE7">
              <w:rPr>
                <w:rFonts w:ascii="Arial" w:eastAsia="Arial" w:hAnsi="Arial" w:cs="Arial"/>
                <w:color w:val="auto"/>
                <w:sz w:val="18"/>
                <w:szCs w:val="18"/>
              </w:rPr>
              <w:t xml:space="preserve"> for more information.</w:t>
            </w:r>
          </w:p>
          <w:p w14:paraId="7AF1C73B" w14:textId="77777777" w:rsidR="00BC50B3" w:rsidRPr="00C23CE7" w:rsidRDefault="00BC50B3" w:rsidP="00AB3745">
            <w:pPr>
              <w:spacing w:after="0" w:line="240" w:lineRule="auto"/>
              <w:rPr>
                <w:rFonts w:ascii="Arial" w:eastAsia="Arial" w:hAnsi="Arial" w:cs="Arial"/>
                <w:color w:val="auto"/>
                <w:sz w:val="18"/>
                <w:szCs w:val="18"/>
              </w:rPr>
            </w:pPr>
          </w:p>
          <w:p w14:paraId="31F7EACB" w14:textId="497D9D7E" w:rsidR="00BC50B3" w:rsidRPr="00C23CE7" w:rsidRDefault="00BC50B3" w:rsidP="00AB3745">
            <w:pPr>
              <w:spacing w:after="0" w:line="240" w:lineRule="auto"/>
              <w:rPr>
                <w:rFonts w:ascii="Arial" w:eastAsia="Arial" w:hAnsi="Arial" w:cs="Arial"/>
                <w:color w:val="auto"/>
                <w:sz w:val="18"/>
                <w:szCs w:val="18"/>
              </w:rPr>
            </w:pPr>
            <w:r w:rsidRPr="00C23CE7">
              <w:rPr>
                <w:rFonts w:ascii="Arial" w:eastAsia="Arial" w:hAnsi="Arial" w:cs="Arial"/>
                <w:color w:val="auto"/>
                <w:sz w:val="18"/>
                <w:szCs w:val="18"/>
              </w:rPr>
              <w:t>Prescription data does not include a diagnostic code and therefore it is possible the devices in this comparator may have been prescribed for a different purpose.</w:t>
            </w:r>
          </w:p>
          <w:p w14:paraId="40C7D290" w14:textId="11F29646" w:rsidR="00DB2D98" w:rsidRPr="00C23CE7" w:rsidRDefault="00DB2D98" w:rsidP="00AB3745">
            <w:pPr>
              <w:spacing w:after="0" w:line="240" w:lineRule="auto"/>
              <w:rPr>
                <w:rFonts w:ascii="Arial" w:eastAsia="Arial" w:hAnsi="Arial" w:cs="Arial"/>
                <w:color w:val="auto"/>
                <w:sz w:val="18"/>
                <w:szCs w:val="18"/>
              </w:rPr>
            </w:pPr>
          </w:p>
        </w:tc>
      </w:tr>
    </w:tbl>
    <w:p w14:paraId="0411CADF" w14:textId="77777777" w:rsidR="004A7E0E" w:rsidRPr="00C23CE7" w:rsidRDefault="004A7E0E" w:rsidP="004A7E0E">
      <w:pPr>
        <w:rPr>
          <w:rFonts w:ascii="Arial" w:hAnsi="Arial" w:cs="Arial"/>
          <w:b/>
          <w:color w:val="C00000"/>
        </w:rPr>
      </w:pPr>
      <w:bookmarkStart w:id="36" w:name="_lrr7f08x7i1g" w:colFirst="0" w:colLast="0"/>
      <w:bookmarkStart w:id="37" w:name="_gghmqbu2rr0e" w:colFirst="0" w:colLast="0"/>
      <w:bookmarkStart w:id="38" w:name="49x2ik5" w:colFirst="0" w:colLast="0"/>
      <w:bookmarkEnd w:id="36"/>
      <w:bookmarkEnd w:id="37"/>
      <w:bookmarkEnd w:id="38"/>
    </w:p>
    <w:p w14:paraId="5B127F3C" w14:textId="77777777" w:rsidR="004A7E0E" w:rsidRPr="00C23CE7" w:rsidRDefault="004A7E0E">
      <w:pPr>
        <w:rPr>
          <w:rFonts w:ascii="Arial" w:hAnsi="Arial" w:cs="Arial"/>
          <w:b/>
          <w:color w:val="C00000"/>
        </w:rPr>
      </w:pPr>
      <w:r w:rsidRPr="00C23CE7">
        <w:rPr>
          <w:rFonts w:ascii="Arial" w:hAnsi="Arial" w:cs="Arial"/>
          <w:b/>
          <w:color w:val="C00000"/>
        </w:rPr>
        <w:br w:type="page"/>
      </w:r>
    </w:p>
    <w:p w14:paraId="558851CA" w14:textId="046C0EF2" w:rsidR="008A79C1" w:rsidRPr="00C23CE7" w:rsidRDefault="008A79C1" w:rsidP="00FD797D">
      <w:pPr>
        <w:pStyle w:val="Heading1"/>
      </w:pPr>
      <w:bookmarkStart w:id="39" w:name="_Appendix_3:_Data"/>
      <w:bookmarkStart w:id="40" w:name="_Toc180492671"/>
      <w:bookmarkEnd w:id="39"/>
      <w:commentRangeStart w:id="41"/>
      <w:r w:rsidRPr="00C23CE7">
        <w:lastRenderedPageBreak/>
        <w:t xml:space="preserve">Appendix </w:t>
      </w:r>
      <w:r w:rsidR="006E026A">
        <w:t>1</w:t>
      </w:r>
      <w:r w:rsidRPr="00C23CE7">
        <w:t xml:space="preserve">: </w:t>
      </w:r>
      <w:r w:rsidR="00A0091A" w:rsidRPr="00C23CE7">
        <w:t>Comparator UTI06 d</w:t>
      </w:r>
      <w:r w:rsidRPr="00C23CE7">
        <w:t>ata completeness</w:t>
      </w:r>
      <w:r w:rsidR="00FD797D" w:rsidRPr="00C23CE7">
        <w:t xml:space="preserve"> for continence devices</w:t>
      </w:r>
      <w:bookmarkEnd w:id="40"/>
      <w:r w:rsidR="00A0091A" w:rsidRPr="00C23CE7">
        <w:t xml:space="preserve"> </w:t>
      </w:r>
    </w:p>
    <w:p w14:paraId="79BB34C9" w14:textId="4C074B02" w:rsidR="002F7E95" w:rsidRPr="00C23CE7" w:rsidRDefault="002F7E95" w:rsidP="002F7E95">
      <w:r w:rsidRPr="00C23CE7">
        <w:t xml:space="preserve">This table </w:t>
      </w:r>
      <w:r w:rsidR="00A0091A" w:rsidRPr="00C23CE7">
        <w:t>reports the</w:t>
      </w:r>
      <w:r w:rsidRPr="00C23CE7">
        <w:t xml:space="preserve"> total number of prescription items for continence devices</w:t>
      </w:r>
      <w:r w:rsidR="00A0091A" w:rsidRPr="00C23CE7">
        <w:t xml:space="preserve"> and the number of items with patient identifiers</w:t>
      </w:r>
      <w:r w:rsidR="00CA4895" w:rsidRPr="00C23CE7">
        <w:t xml:space="preserve"> by SICB, for the period September 2023 to August 2024. Items with patient identifiers are included</w:t>
      </w:r>
      <w:r w:rsidR="00A0091A" w:rsidRPr="00C23CE7">
        <w:t xml:space="preserve"> in</w:t>
      </w:r>
      <w:r w:rsidR="00CA4895" w:rsidRPr="00C23CE7">
        <w:t xml:space="preserve"> comparator UTI06 in</w:t>
      </w:r>
      <w:r w:rsidR="00A0091A" w:rsidRPr="00C23CE7">
        <w:t xml:space="preserve"> the dashboard</w:t>
      </w:r>
      <w:r w:rsidR="00CA4895" w:rsidRPr="00C23CE7">
        <w:t>.</w:t>
      </w:r>
      <w:r w:rsidRPr="00C23CE7">
        <w:t xml:space="preserve">  Please refer to the specification of comparator UTI06 for definition of included devices.</w:t>
      </w:r>
      <w:commentRangeEnd w:id="41"/>
      <w:r w:rsidR="00CA4895" w:rsidRPr="00C23CE7">
        <w:rPr>
          <w:rStyle w:val="CommentReference"/>
        </w:rPr>
        <w:commentReference w:id="41"/>
      </w:r>
    </w:p>
    <w:tbl>
      <w:tblPr>
        <w:tblStyle w:val="TableGrid"/>
        <w:tblW w:w="9628" w:type="dxa"/>
        <w:tblLook w:val="04A0" w:firstRow="1" w:lastRow="0" w:firstColumn="1" w:lastColumn="0" w:noHBand="0" w:noVBand="1"/>
      </w:tblPr>
      <w:tblGrid>
        <w:gridCol w:w="2547"/>
        <w:gridCol w:w="4015"/>
        <w:gridCol w:w="774"/>
        <w:gridCol w:w="1014"/>
        <w:gridCol w:w="1278"/>
      </w:tblGrid>
      <w:tr w:rsidR="002F7E95" w:rsidRPr="00C23CE7" w14:paraId="4DE19AE6" w14:textId="77777777" w:rsidTr="005C4CE9">
        <w:trPr>
          <w:trHeight w:val="300"/>
        </w:trPr>
        <w:tc>
          <w:tcPr>
            <w:tcW w:w="2547" w:type="dxa"/>
            <w:noWrap/>
            <w:hideMark/>
          </w:tcPr>
          <w:p w14:paraId="0260939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ICB Name</w:t>
            </w:r>
          </w:p>
        </w:tc>
        <w:tc>
          <w:tcPr>
            <w:tcW w:w="4015" w:type="dxa"/>
            <w:noWrap/>
            <w:hideMark/>
          </w:tcPr>
          <w:p w14:paraId="4E0AB51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SICBL Name</w:t>
            </w:r>
          </w:p>
        </w:tc>
        <w:tc>
          <w:tcPr>
            <w:tcW w:w="774" w:type="dxa"/>
            <w:noWrap/>
            <w:hideMark/>
          </w:tcPr>
          <w:p w14:paraId="0BD2E8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Total items</w:t>
            </w:r>
          </w:p>
        </w:tc>
        <w:tc>
          <w:tcPr>
            <w:tcW w:w="1014" w:type="dxa"/>
            <w:noWrap/>
            <w:hideMark/>
          </w:tcPr>
          <w:p w14:paraId="352625B1" w14:textId="0AF9F978" w:rsidR="002F7E95" w:rsidRPr="00C23CE7" w:rsidRDefault="00CA48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 xml:space="preserve">Number of items with </w:t>
            </w:r>
            <w:r w:rsidR="00A465CA" w:rsidRPr="00C23CE7">
              <w:rPr>
                <w:rFonts w:ascii="Aptos Narrow" w:eastAsia="Times New Roman" w:hAnsi="Aptos Narrow" w:cs="Times New Roman"/>
                <w:b/>
                <w:bCs/>
                <w:color w:val="auto"/>
                <w:sz w:val="18"/>
                <w:szCs w:val="18"/>
              </w:rPr>
              <w:t>patient</w:t>
            </w:r>
            <w:r w:rsidRPr="00C23CE7">
              <w:rPr>
                <w:rFonts w:ascii="Aptos Narrow" w:eastAsia="Times New Roman" w:hAnsi="Aptos Narrow" w:cs="Times New Roman"/>
                <w:b/>
                <w:bCs/>
                <w:color w:val="auto"/>
                <w:sz w:val="18"/>
                <w:szCs w:val="18"/>
              </w:rPr>
              <w:t xml:space="preserve"> identifiers</w:t>
            </w:r>
          </w:p>
        </w:tc>
        <w:tc>
          <w:tcPr>
            <w:tcW w:w="1278" w:type="dxa"/>
            <w:noWrap/>
            <w:hideMark/>
          </w:tcPr>
          <w:p w14:paraId="1380C3BB" w14:textId="70C41192"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b/>
                <w:bCs/>
                <w:color w:val="auto"/>
                <w:sz w:val="18"/>
                <w:szCs w:val="18"/>
              </w:rPr>
            </w:pPr>
            <w:r w:rsidRPr="00C23CE7">
              <w:rPr>
                <w:rFonts w:ascii="Aptos Narrow" w:eastAsia="Times New Roman" w:hAnsi="Aptos Narrow" w:cs="Times New Roman"/>
                <w:b/>
                <w:bCs/>
                <w:color w:val="auto"/>
                <w:sz w:val="18"/>
                <w:szCs w:val="18"/>
              </w:rPr>
              <w:t>Percentage</w:t>
            </w:r>
            <w:r w:rsidR="00A465CA" w:rsidRPr="00C23CE7">
              <w:rPr>
                <w:rFonts w:ascii="Aptos Narrow" w:eastAsia="Times New Roman" w:hAnsi="Aptos Narrow" w:cs="Times New Roman"/>
                <w:b/>
                <w:bCs/>
                <w:color w:val="auto"/>
                <w:sz w:val="18"/>
                <w:szCs w:val="18"/>
              </w:rPr>
              <w:t xml:space="preserve"> of items included in comparator UTI06</w:t>
            </w:r>
          </w:p>
        </w:tc>
      </w:tr>
      <w:tr w:rsidR="002F7E95" w:rsidRPr="00C23CE7" w14:paraId="0E158820" w14:textId="77777777" w:rsidTr="005C4CE9">
        <w:trPr>
          <w:trHeight w:val="300"/>
        </w:trPr>
        <w:tc>
          <w:tcPr>
            <w:tcW w:w="2547" w:type="dxa"/>
            <w:noWrap/>
            <w:hideMark/>
          </w:tcPr>
          <w:p w14:paraId="63004BB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BATH AND NORTH EAST SOMERSET, SWINDON AND WILTSHIRE INTEGRATED CARE BOARD</w:t>
            </w:r>
          </w:p>
        </w:tc>
        <w:tc>
          <w:tcPr>
            <w:tcW w:w="4015" w:type="dxa"/>
            <w:noWrap/>
            <w:hideMark/>
          </w:tcPr>
          <w:p w14:paraId="1D655D0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BATH AND NORTH EAST SOMERSET, SWINDON AND WILTSHIRE ICB - 92G</w:t>
            </w:r>
          </w:p>
        </w:tc>
        <w:tc>
          <w:tcPr>
            <w:tcW w:w="774" w:type="dxa"/>
            <w:noWrap/>
            <w:hideMark/>
          </w:tcPr>
          <w:p w14:paraId="54ADF20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23,956</w:t>
            </w:r>
          </w:p>
        </w:tc>
        <w:tc>
          <w:tcPr>
            <w:tcW w:w="1014" w:type="dxa"/>
            <w:noWrap/>
            <w:hideMark/>
          </w:tcPr>
          <w:p w14:paraId="302B3B1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23,901</w:t>
            </w:r>
          </w:p>
        </w:tc>
        <w:tc>
          <w:tcPr>
            <w:tcW w:w="1278" w:type="dxa"/>
            <w:noWrap/>
            <w:hideMark/>
          </w:tcPr>
          <w:p w14:paraId="0586591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99.77</w:t>
            </w:r>
          </w:p>
        </w:tc>
      </w:tr>
      <w:tr w:rsidR="002F7E95" w:rsidRPr="00C23CE7" w14:paraId="1F2D7C43" w14:textId="77777777" w:rsidTr="005C4CE9">
        <w:trPr>
          <w:trHeight w:val="300"/>
        </w:trPr>
        <w:tc>
          <w:tcPr>
            <w:tcW w:w="2547" w:type="dxa"/>
            <w:noWrap/>
            <w:hideMark/>
          </w:tcPr>
          <w:p w14:paraId="6B13FE4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BEDFORDSHIRE, LUTON AND MILTON KEYNES INTEGRATED CARE BOARD</w:t>
            </w:r>
          </w:p>
        </w:tc>
        <w:tc>
          <w:tcPr>
            <w:tcW w:w="4015" w:type="dxa"/>
            <w:noWrap/>
            <w:hideMark/>
          </w:tcPr>
          <w:p w14:paraId="790DDA2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BEDFORDSHIRE, LUTON AND MILTON KEYNES ICB - M1J4Y</w:t>
            </w:r>
          </w:p>
        </w:tc>
        <w:tc>
          <w:tcPr>
            <w:tcW w:w="774" w:type="dxa"/>
            <w:noWrap/>
            <w:hideMark/>
          </w:tcPr>
          <w:p w14:paraId="237702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20,156</w:t>
            </w:r>
          </w:p>
        </w:tc>
        <w:tc>
          <w:tcPr>
            <w:tcW w:w="1014" w:type="dxa"/>
            <w:noWrap/>
            <w:hideMark/>
          </w:tcPr>
          <w:p w14:paraId="27AABDB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20,133</w:t>
            </w:r>
          </w:p>
        </w:tc>
        <w:tc>
          <w:tcPr>
            <w:tcW w:w="1278" w:type="dxa"/>
            <w:noWrap/>
            <w:hideMark/>
          </w:tcPr>
          <w:p w14:paraId="5C3CAFB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99.89</w:t>
            </w:r>
          </w:p>
        </w:tc>
      </w:tr>
      <w:tr w:rsidR="002F7E95" w:rsidRPr="00C23CE7" w14:paraId="14CDA16C" w14:textId="77777777" w:rsidTr="005C4CE9">
        <w:trPr>
          <w:trHeight w:val="300"/>
        </w:trPr>
        <w:tc>
          <w:tcPr>
            <w:tcW w:w="2547" w:type="dxa"/>
            <w:noWrap/>
            <w:hideMark/>
          </w:tcPr>
          <w:p w14:paraId="2F04D11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BIRMINGHAM AND SOLIHULL INTEGRATED CARE BOARD</w:t>
            </w:r>
          </w:p>
        </w:tc>
        <w:tc>
          <w:tcPr>
            <w:tcW w:w="4015" w:type="dxa"/>
            <w:noWrap/>
            <w:hideMark/>
          </w:tcPr>
          <w:p w14:paraId="66D5FC0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BIRMINGHAM AND SOLIHULL ICB - 15E</w:t>
            </w:r>
          </w:p>
        </w:tc>
        <w:tc>
          <w:tcPr>
            <w:tcW w:w="774" w:type="dxa"/>
            <w:noWrap/>
            <w:hideMark/>
          </w:tcPr>
          <w:p w14:paraId="3A336E5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27,351</w:t>
            </w:r>
          </w:p>
        </w:tc>
        <w:tc>
          <w:tcPr>
            <w:tcW w:w="1014" w:type="dxa"/>
            <w:noWrap/>
            <w:hideMark/>
          </w:tcPr>
          <w:p w14:paraId="621DD8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27,263</w:t>
            </w:r>
          </w:p>
        </w:tc>
        <w:tc>
          <w:tcPr>
            <w:tcW w:w="1278" w:type="dxa"/>
            <w:noWrap/>
            <w:hideMark/>
          </w:tcPr>
          <w:p w14:paraId="2E01C4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99.68</w:t>
            </w:r>
          </w:p>
        </w:tc>
      </w:tr>
      <w:tr w:rsidR="002F7E95" w:rsidRPr="00C23CE7" w14:paraId="2641F9A2" w14:textId="77777777" w:rsidTr="005C4CE9">
        <w:trPr>
          <w:trHeight w:val="300"/>
        </w:trPr>
        <w:tc>
          <w:tcPr>
            <w:tcW w:w="2547" w:type="dxa"/>
            <w:noWrap/>
            <w:hideMark/>
          </w:tcPr>
          <w:p w14:paraId="2FB65C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BLACK COUNTRY INTEGRATED CARE BOARD</w:t>
            </w:r>
          </w:p>
        </w:tc>
        <w:tc>
          <w:tcPr>
            <w:tcW w:w="4015" w:type="dxa"/>
            <w:noWrap/>
            <w:hideMark/>
          </w:tcPr>
          <w:p w14:paraId="020CC01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BLACK COUNTRY ICB - D2P2L</w:t>
            </w:r>
          </w:p>
        </w:tc>
        <w:tc>
          <w:tcPr>
            <w:tcW w:w="774" w:type="dxa"/>
            <w:noWrap/>
            <w:hideMark/>
          </w:tcPr>
          <w:p w14:paraId="3E321B4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34,130</w:t>
            </w:r>
          </w:p>
        </w:tc>
        <w:tc>
          <w:tcPr>
            <w:tcW w:w="1014" w:type="dxa"/>
            <w:noWrap/>
            <w:hideMark/>
          </w:tcPr>
          <w:p w14:paraId="234C71D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34,002</w:t>
            </w:r>
          </w:p>
        </w:tc>
        <w:tc>
          <w:tcPr>
            <w:tcW w:w="1278" w:type="dxa"/>
            <w:noWrap/>
            <w:hideMark/>
          </w:tcPr>
          <w:p w14:paraId="46B8452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99.62</w:t>
            </w:r>
          </w:p>
        </w:tc>
      </w:tr>
      <w:tr w:rsidR="002F7E95" w:rsidRPr="00C23CE7" w14:paraId="2B184DEF" w14:textId="77777777" w:rsidTr="005C4CE9">
        <w:trPr>
          <w:trHeight w:val="300"/>
        </w:trPr>
        <w:tc>
          <w:tcPr>
            <w:tcW w:w="2547" w:type="dxa"/>
            <w:noWrap/>
            <w:hideMark/>
          </w:tcPr>
          <w:p w14:paraId="4C1277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BRISTOL, NORTH SOMERSET AND SOUTH GLOUCESTERSHIRE INTEGRATED CARE BOARD</w:t>
            </w:r>
          </w:p>
        </w:tc>
        <w:tc>
          <w:tcPr>
            <w:tcW w:w="4015" w:type="dxa"/>
            <w:noWrap/>
            <w:hideMark/>
          </w:tcPr>
          <w:p w14:paraId="7B70ADB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BRISTOL, NORTH SOMERSET AND SOUTH GLOUCESTERSHIRE ICB - 15C</w:t>
            </w:r>
          </w:p>
        </w:tc>
        <w:tc>
          <w:tcPr>
            <w:tcW w:w="774" w:type="dxa"/>
            <w:noWrap/>
            <w:hideMark/>
          </w:tcPr>
          <w:p w14:paraId="2CC5FE7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26,862</w:t>
            </w:r>
          </w:p>
        </w:tc>
        <w:tc>
          <w:tcPr>
            <w:tcW w:w="1014" w:type="dxa"/>
            <w:noWrap/>
            <w:hideMark/>
          </w:tcPr>
          <w:p w14:paraId="42BF9D6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26,843</w:t>
            </w:r>
          </w:p>
        </w:tc>
        <w:tc>
          <w:tcPr>
            <w:tcW w:w="1278" w:type="dxa"/>
            <w:noWrap/>
            <w:hideMark/>
          </w:tcPr>
          <w:p w14:paraId="4C065C8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99.93</w:t>
            </w:r>
          </w:p>
        </w:tc>
      </w:tr>
      <w:tr w:rsidR="002F7E95" w:rsidRPr="00C23CE7" w14:paraId="683AD548" w14:textId="77777777" w:rsidTr="005C4CE9">
        <w:trPr>
          <w:trHeight w:val="300"/>
        </w:trPr>
        <w:tc>
          <w:tcPr>
            <w:tcW w:w="2547" w:type="dxa"/>
            <w:noWrap/>
            <w:hideMark/>
          </w:tcPr>
          <w:p w14:paraId="5E7287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INTEGRATED CARE BOARD</w:t>
            </w:r>
          </w:p>
        </w:tc>
        <w:tc>
          <w:tcPr>
            <w:tcW w:w="4015" w:type="dxa"/>
            <w:noWrap/>
            <w:hideMark/>
          </w:tcPr>
          <w:p w14:paraId="6ACD52A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ICB - 10Q</w:t>
            </w:r>
          </w:p>
        </w:tc>
        <w:tc>
          <w:tcPr>
            <w:tcW w:w="774" w:type="dxa"/>
            <w:noWrap/>
            <w:hideMark/>
          </w:tcPr>
          <w:p w14:paraId="61E946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16,189</w:t>
            </w:r>
          </w:p>
        </w:tc>
        <w:tc>
          <w:tcPr>
            <w:tcW w:w="1014" w:type="dxa"/>
            <w:noWrap/>
            <w:hideMark/>
          </w:tcPr>
          <w:p w14:paraId="4D3462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16,154</w:t>
            </w:r>
          </w:p>
        </w:tc>
        <w:tc>
          <w:tcPr>
            <w:tcW w:w="1278" w:type="dxa"/>
            <w:noWrap/>
            <w:hideMark/>
          </w:tcPr>
          <w:p w14:paraId="6DAB85D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99.78</w:t>
            </w:r>
          </w:p>
        </w:tc>
      </w:tr>
      <w:tr w:rsidR="002F7E95" w:rsidRPr="00C23CE7" w14:paraId="7FC2C039" w14:textId="77777777" w:rsidTr="005C4CE9">
        <w:trPr>
          <w:trHeight w:val="300"/>
        </w:trPr>
        <w:tc>
          <w:tcPr>
            <w:tcW w:w="2547" w:type="dxa"/>
            <w:noWrap/>
            <w:hideMark/>
          </w:tcPr>
          <w:p w14:paraId="34152A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INTEGRATED CARE BOARD</w:t>
            </w:r>
          </w:p>
        </w:tc>
        <w:tc>
          <w:tcPr>
            <w:tcW w:w="4015" w:type="dxa"/>
            <w:noWrap/>
            <w:hideMark/>
          </w:tcPr>
          <w:p w14:paraId="2B04FB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ICB - 14Y</w:t>
            </w:r>
          </w:p>
        </w:tc>
        <w:tc>
          <w:tcPr>
            <w:tcW w:w="774" w:type="dxa"/>
            <w:noWrap/>
            <w:hideMark/>
          </w:tcPr>
          <w:p w14:paraId="7940B9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12,652</w:t>
            </w:r>
          </w:p>
        </w:tc>
        <w:tc>
          <w:tcPr>
            <w:tcW w:w="1014" w:type="dxa"/>
            <w:noWrap/>
            <w:hideMark/>
          </w:tcPr>
          <w:p w14:paraId="431E918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12,645</w:t>
            </w:r>
          </w:p>
        </w:tc>
        <w:tc>
          <w:tcPr>
            <w:tcW w:w="1278" w:type="dxa"/>
            <w:noWrap/>
            <w:hideMark/>
          </w:tcPr>
          <w:p w14:paraId="06C2F1C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99.94</w:t>
            </w:r>
          </w:p>
        </w:tc>
      </w:tr>
      <w:tr w:rsidR="002F7E95" w:rsidRPr="00C23CE7" w14:paraId="0E3C0463" w14:textId="77777777" w:rsidTr="005C4CE9">
        <w:trPr>
          <w:trHeight w:val="300"/>
        </w:trPr>
        <w:tc>
          <w:tcPr>
            <w:tcW w:w="2547" w:type="dxa"/>
            <w:noWrap/>
            <w:hideMark/>
          </w:tcPr>
          <w:p w14:paraId="6D5555D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INTEGRATED CARE BOARD</w:t>
            </w:r>
          </w:p>
        </w:tc>
        <w:tc>
          <w:tcPr>
            <w:tcW w:w="4015" w:type="dxa"/>
            <w:noWrap/>
            <w:hideMark/>
          </w:tcPr>
          <w:p w14:paraId="7DCB4B8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BUCKINGHAMSHIRE, OXFORDSHIRE AND BERKSHIRE WEST ICB - 15A</w:t>
            </w:r>
          </w:p>
        </w:tc>
        <w:tc>
          <w:tcPr>
            <w:tcW w:w="774" w:type="dxa"/>
            <w:noWrap/>
            <w:hideMark/>
          </w:tcPr>
          <w:p w14:paraId="7B1CA6C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1,357</w:t>
            </w:r>
          </w:p>
        </w:tc>
        <w:tc>
          <w:tcPr>
            <w:tcW w:w="1014" w:type="dxa"/>
            <w:noWrap/>
            <w:hideMark/>
          </w:tcPr>
          <w:p w14:paraId="1537C19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1,343</w:t>
            </w:r>
          </w:p>
        </w:tc>
        <w:tc>
          <w:tcPr>
            <w:tcW w:w="1278" w:type="dxa"/>
            <w:noWrap/>
            <w:hideMark/>
          </w:tcPr>
          <w:p w14:paraId="170AA3D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98.97</w:t>
            </w:r>
          </w:p>
        </w:tc>
      </w:tr>
      <w:tr w:rsidR="002F7E95" w:rsidRPr="00C23CE7" w14:paraId="5D89FA8C" w14:textId="77777777" w:rsidTr="005C4CE9">
        <w:trPr>
          <w:trHeight w:val="300"/>
        </w:trPr>
        <w:tc>
          <w:tcPr>
            <w:tcW w:w="2547" w:type="dxa"/>
            <w:noWrap/>
            <w:hideMark/>
          </w:tcPr>
          <w:p w14:paraId="2F8113E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CAMBRIDGESHIRE AND PETERBOROUGH INTEGRATED CARE BOARD</w:t>
            </w:r>
          </w:p>
        </w:tc>
        <w:tc>
          <w:tcPr>
            <w:tcW w:w="4015" w:type="dxa"/>
            <w:noWrap/>
            <w:hideMark/>
          </w:tcPr>
          <w:p w14:paraId="05E602E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CAMBRIDGESHIRE AND PETERBOROUGH ICB - 06H</w:t>
            </w:r>
          </w:p>
        </w:tc>
        <w:tc>
          <w:tcPr>
            <w:tcW w:w="774" w:type="dxa"/>
            <w:noWrap/>
            <w:hideMark/>
          </w:tcPr>
          <w:p w14:paraId="640B0EC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25,497</w:t>
            </w:r>
          </w:p>
        </w:tc>
        <w:tc>
          <w:tcPr>
            <w:tcW w:w="1014" w:type="dxa"/>
            <w:noWrap/>
            <w:hideMark/>
          </w:tcPr>
          <w:p w14:paraId="174373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25,224</w:t>
            </w:r>
          </w:p>
        </w:tc>
        <w:tc>
          <w:tcPr>
            <w:tcW w:w="1278" w:type="dxa"/>
            <w:noWrap/>
            <w:hideMark/>
          </w:tcPr>
          <w:p w14:paraId="11B811A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98.93</w:t>
            </w:r>
          </w:p>
        </w:tc>
      </w:tr>
      <w:tr w:rsidR="002F7E95" w:rsidRPr="00C23CE7" w14:paraId="7255D29A" w14:textId="77777777" w:rsidTr="005C4CE9">
        <w:trPr>
          <w:trHeight w:val="300"/>
        </w:trPr>
        <w:tc>
          <w:tcPr>
            <w:tcW w:w="2547" w:type="dxa"/>
            <w:noWrap/>
            <w:hideMark/>
          </w:tcPr>
          <w:p w14:paraId="115DC69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55997B9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- 01F</w:t>
            </w:r>
          </w:p>
        </w:tc>
        <w:tc>
          <w:tcPr>
            <w:tcW w:w="774" w:type="dxa"/>
            <w:noWrap/>
            <w:hideMark/>
          </w:tcPr>
          <w:p w14:paraId="7C27CBD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4,447</w:t>
            </w:r>
          </w:p>
        </w:tc>
        <w:tc>
          <w:tcPr>
            <w:tcW w:w="1014" w:type="dxa"/>
            <w:noWrap/>
            <w:hideMark/>
          </w:tcPr>
          <w:p w14:paraId="1DC3CB7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4,440</w:t>
            </w:r>
          </w:p>
        </w:tc>
        <w:tc>
          <w:tcPr>
            <w:tcW w:w="1278" w:type="dxa"/>
            <w:noWrap/>
            <w:hideMark/>
          </w:tcPr>
          <w:p w14:paraId="7B61CF2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99.84</w:t>
            </w:r>
          </w:p>
        </w:tc>
      </w:tr>
      <w:tr w:rsidR="002F7E95" w:rsidRPr="00C23CE7" w14:paraId="0BB16C48" w14:textId="77777777" w:rsidTr="005C4CE9">
        <w:trPr>
          <w:trHeight w:val="300"/>
        </w:trPr>
        <w:tc>
          <w:tcPr>
            <w:tcW w:w="2547" w:type="dxa"/>
            <w:noWrap/>
            <w:hideMark/>
          </w:tcPr>
          <w:p w14:paraId="617D557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2044388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- 01J</w:t>
            </w:r>
          </w:p>
        </w:tc>
        <w:tc>
          <w:tcPr>
            <w:tcW w:w="774" w:type="dxa"/>
            <w:noWrap/>
            <w:hideMark/>
          </w:tcPr>
          <w:p w14:paraId="743A6B4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5,011</w:t>
            </w:r>
          </w:p>
        </w:tc>
        <w:tc>
          <w:tcPr>
            <w:tcW w:w="1014" w:type="dxa"/>
            <w:noWrap/>
            <w:hideMark/>
          </w:tcPr>
          <w:p w14:paraId="0031D4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4,995</w:t>
            </w:r>
          </w:p>
        </w:tc>
        <w:tc>
          <w:tcPr>
            <w:tcW w:w="1278" w:type="dxa"/>
            <w:noWrap/>
            <w:hideMark/>
          </w:tcPr>
          <w:p w14:paraId="12BA2F3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99.68</w:t>
            </w:r>
          </w:p>
        </w:tc>
      </w:tr>
      <w:tr w:rsidR="002F7E95" w:rsidRPr="00C23CE7" w14:paraId="2268BF55" w14:textId="77777777" w:rsidTr="005C4CE9">
        <w:trPr>
          <w:trHeight w:val="300"/>
        </w:trPr>
        <w:tc>
          <w:tcPr>
            <w:tcW w:w="2547" w:type="dxa"/>
            <w:noWrap/>
            <w:hideMark/>
          </w:tcPr>
          <w:p w14:paraId="3093C3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2FB4850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- 01T</w:t>
            </w:r>
          </w:p>
        </w:tc>
        <w:tc>
          <w:tcPr>
            <w:tcW w:w="774" w:type="dxa"/>
            <w:noWrap/>
            <w:hideMark/>
          </w:tcPr>
          <w:p w14:paraId="3B5F3E9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8,667</w:t>
            </w:r>
          </w:p>
        </w:tc>
        <w:tc>
          <w:tcPr>
            <w:tcW w:w="1014" w:type="dxa"/>
            <w:noWrap/>
            <w:hideMark/>
          </w:tcPr>
          <w:p w14:paraId="4FF229A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8,666</w:t>
            </w:r>
          </w:p>
        </w:tc>
        <w:tc>
          <w:tcPr>
            <w:tcW w:w="1278" w:type="dxa"/>
            <w:noWrap/>
            <w:hideMark/>
          </w:tcPr>
          <w:p w14:paraId="18341DD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99.99</w:t>
            </w:r>
          </w:p>
        </w:tc>
      </w:tr>
      <w:tr w:rsidR="002F7E95" w:rsidRPr="00C23CE7" w14:paraId="7F2DC529" w14:textId="77777777" w:rsidTr="005C4CE9">
        <w:trPr>
          <w:trHeight w:val="300"/>
        </w:trPr>
        <w:tc>
          <w:tcPr>
            <w:tcW w:w="2547" w:type="dxa"/>
            <w:noWrap/>
            <w:hideMark/>
          </w:tcPr>
          <w:p w14:paraId="2780E2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168381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- 01V</w:t>
            </w:r>
          </w:p>
        </w:tc>
        <w:tc>
          <w:tcPr>
            <w:tcW w:w="774" w:type="dxa"/>
            <w:noWrap/>
            <w:hideMark/>
          </w:tcPr>
          <w:p w14:paraId="4E06100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55</w:t>
            </w:r>
          </w:p>
        </w:tc>
        <w:tc>
          <w:tcPr>
            <w:tcW w:w="1014" w:type="dxa"/>
            <w:noWrap/>
            <w:hideMark/>
          </w:tcPr>
          <w:p w14:paraId="59A15DB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54</w:t>
            </w:r>
          </w:p>
        </w:tc>
        <w:tc>
          <w:tcPr>
            <w:tcW w:w="1278" w:type="dxa"/>
            <w:noWrap/>
            <w:hideMark/>
          </w:tcPr>
          <w:p w14:paraId="1E96184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98.18</w:t>
            </w:r>
          </w:p>
        </w:tc>
      </w:tr>
      <w:tr w:rsidR="002F7E95" w:rsidRPr="00C23CE7" w14:paraId="760A1498" w14:textId="77777777" w:rsidTr="005C4CE9">
        <w:trPr>
          <w:trHeight w:val="300"/>
        </w:trPr>
        <w:tc>
          <w:tcPr>
            <w:tcW w:w="2547" w:type="dxa"/>
            <w:noWrap/>
            <w:hideMark/>
          </w:tcPr>
          <w:p w14:paraId="19F1BBA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69B8654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- 01X</w:t>
            </w:r>
          </w:p>
        </w:tc>
        <w:tc>
          <w:tcPr>
            <w:tcW w:w="774" w:type="dxa"/>
            <w:noWrap/>
            <w:hideMark/>
          </w:tcPr>
          <w:p w14:paraId="6211774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6,183</w:t>
            </w:r>
          </w:p>
        </w:tc>
        <w:tc>
          <w:tcPr>
            <w:tcW w:w="1014" w:type="dxa"/>
            <w:noWrap/>
            <w:hideMark/>
          </w:tcPr>
          <w:p w14:paraId="5319EA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5,943</w:t>
            </w:r>
          </w:p>
        </w:tc>
        <w:tc>
          <w:tcPr>
            <w:tcW w:w="1278" w:type="dxa"/>
            <w:noWrap/>
            <w:hideMark/>
          </w:tcPr>
          <w:p w14:paraId="2458999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96.12</w:t>
            </w:r>
          </w:p>
        </w:tc>
      </w:tr>
      <w:tr w:rsidR="002F7E95" w:rsidRPr="00C23CE7" w14:paraId="2A7A1AA7" w14:textId="77777777" w:rsidTr="005C4CE9">
        <w:trPr>
          <w:trHeight w:val="300"/>
        </w:trPr>
        <w:tc>
          <w:tcPr>
            <w:tcW w:w="2547" w:type="dxa"/>
            <w:noWrap/>
            <w:hideMark/>
          </w:tcPr>
          <w:p w14:paraId="7BC4EF0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4D1290E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- 02E</w:t>
            </w:r>
          </w:p>
        </w:tc>
        <w:tc>
          <w:tcPr>
            <w:tcW w:w="774" w:type="dxa"/>
            <w:noWrap/>
            <w:hideMark/>
          </w:tcPr>
          <w:p w14:paraId="5C4E7C2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6,634</w:t>
            </w:r>
          </w:p>
        </w:tc>
        <w:tc>
          <w:tcPr>
            <w:tcW w:w="1014" w:type="dxa"/>
            <w:noWrap/>
            <w:hideMark/>
          </w:tcPr>
          <w:p w14:paraId="49FEF7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6,633</w:t>
            </w:r>
          </w:p>
        </w:tc>
        <w:tc>
          <w:tcPr>
            <w:tcW w:w="1278" w:type="dxa"/>
            <w:noWrap/>
            <w:hideMark/>
          </w:tcPr>
          <w:p w14:paraId="5572A6E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99.98</w:t>
            </w:r>
          </w:p>
        </w:tc>
      </w:tr>
      <w:tr w:rsidR="002F7E95" w:rsidRPr="00C23CE7" w14:paraId="414EB107" w14:textId="77777777" w:rsidTr="005C4CE9">
        <w:trPr>
          <w:trHeight w:val="300"/>
        </w:trPr>
        <w:tc>
          <w:tcPr>
            <w:tcW w:w="2547" w:type="dxa"/>
            <w:noWrap/>
            <w:hideMark/>
          </w:tcPr>
          <w:p w14:paraId="295D42A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lastRenderedPageBreak/>
              <w:t>NHS CHESHIRE AND MERSEYSIDE INTEGRATED CARE BOARD</w:t>
            </w:r>
          </w:p>
        </w:tc>
        <w:tc>
          <w:tcPr>
            <w:tcW w:w="4015" w:type="dxa"/>
            <w:noWrap/>
            <w:hideMark/>
          </w:tcPr>
          <w:p w14:paraId="79D1B2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- 12F</w:t>
            </w:r>
          </w:p>
        </w:tc>
        <w:tc>
          <w:tcPr>
            <w:tcW w:w="774" w:type="dxa"/>
            <w:noWrap/>
            <w:hideMark/>
          </w:tcPr>
          <w:p w14:paraId="7CB29E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10,382</w:t>
            </w:r>
          </w:p>
        </w:tc>
        <w:tc>
          <w:tcPr>
            <w:tcW w:w="1014" w:type="dxa"/>
            <w:noWrap/>
            <w:hideMark/>
          </w:tcPr>
          <w:p w14:paraId="6B68FD3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10,282</w:t>
            </w:r>
          </w:p>
        </w:tc>
        <w:tc>
          <w:tcPr>
            <w:tcW w:w="1278" w:type="dxa"/>
            <w:noWrap/>
            <w:hideMark/>
          </w:tcPr>
          <w:p w14:paraId="35C77E8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99.04</w:t>
            </w:r>
          </w:p>
        </w:tc>
      </w:tr>
      <w:tr w:rsidR="002F7E95" w:rsidRPr="00C23CE7" w14:paraId="600FA814" w14:textId="77777777" w:rsidTr="005C4CE9">
        <w:trPr>
          <w:trHeight w:val="300"/>
        </w:trPr>
        <w:tc>
          <w:tcPr>
            <w:tcW w:w="2547" w:type="dxa"/>
            <w:noWrap/>
            <w:hideMark/>
          </w:tcPr>
          <w:p w14:paraId="02EA302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6D466DD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- 27D</w:t>
            </w:r>
          </w:p>
        </w:tc>
        <w:tc>
          <w:tcPr>
            <w:tcW w:w="774" w:type="dxa"/>
            <w:noWrap/>
            <w:hideMark/>
          </w:tcPr>
          <w:p w14:paraId="41F0758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21,509</w:t>
            </w:r>
          </w:p>
        </w:tc>
        <w:tc>
          <w:tcPr>
            <w:tcW w:w="1014" w:type="dxa"/>
            <w:noWrap/>
            <w:hideMark/>
          </w:tcPr>
          <w:p w14:paraId="40D96A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21,464</w:t>
            </w:r>
          </w:p>
        </w:tc>
        <w:tc>
          <w:tcPr>
            <w:tcW w:w="1278" w:type="dxa"/>
            <w:noWrap/>
            <w:hideMark/>
          </w:tcPr>
          <w:p w14:paraId="6FE5DB0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99.79</w:t>
            </w:r>
          </w:p>
        </w:tc>
      </w:tr>
      <w:tr w:rsidR="002F7E95" w:rsidRPr="00C23CE7" w14:paraId="6F05BA82" w14:textId="77777777" w:rsidTr="005C4CE9">
        <w:trPr>
          <w:trHeight w:val="300"/>
        </w:trPr>
        <w:tc>
          <w:tcPr>
            <w:tcW w:w="2547" w:type="dxa"/>
            <w:noWrap/>
            <w:hideMark/>
          </w:tcPr>
          <w:p w14:paraId="53AFE4B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INTEGRATED CARE BOARD</w:t>
            </w:r>
          </w:p>
        </w:tc>
        <w:tc>
          <w:tcPr>
            <w:tcW w:w="4015" w:type="dxa"/>
            <w:noWrap/>
            <w:hideMark/>
          </w:tcPr>
          <w:p w14:paraId="1DE5944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CHESHIRE AND MERSEYSIDE ICB - 99A</w:t>
            </w:r>
          </w:p>
        </w:tc>
        <w:tc>
          <w:tcPr>
            <w:tcW w:w="774" w:type="dxa"/>
            <w:noWrap/>
            <w:hideMark/>
          </w:tcPr>
          <w:p w14:paraId="0B7614D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15,967</w:t>
            </w:r>
          </w:p>
        </w:tc>
        <w:tc>
          <w:tcPr>
            <w:tcW w:w="1014" w:type="dxa"/>
            <w:noWrap/>
            <w:hideMark/>
          </w:tcPr>
          <w:p w14:paraId="4C09C2D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518</w:t>
            </w:r>
          </w:p>
        </w:tc>
        <w:tc>
          <w:tcPr>
            <w:tcW w:w="1278" w:type="dxa"/>
            <w:noWrap/>
            <w:hideMark/>
          </w:tcPr>
          <w:p w14:paraId="2D85547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3.24</w:t>
            </w:r>
          </w:p>
        </w:tc>
      </w:tr>
      <w:tr w:rsidR="002F7E95" w:rsidRPr="00C23CE7" w14:paraId="5E7BC3D9" w14:textId="77777777" w:rsidTr="005C4CE9">
        <w:trPr>
          <w:trHeight w:val="300"/>
        </w:trPr>
        <w:tc>
          <w:tcPr>
            <w:tcW w:w="2547" w:type="dxa"/>
            <w:noWrap/>
            <w:hideMark/>
          </w:tcPr>
          <w:p w14:paraId="49D0FB4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CORNWALL AND THE ISLES OF SCILLY INTEGRATED CARE BOARD</w:t>
            </w:r>
          </w:p>
        </w:tc>
        <w:tc>
          <w:tcPr>
            <w:tcW w:w="4015" w:type="dxa"/>
            <w:noWrap/>
            <w:hideMark/>
          </w:tcPr>
          <w:p w14:paraId="7145660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CORNWALL AND THE ISLES OF SCILLY ICB - 11N</w:t>
            </w:r>
          </w:p>
        </w:tc>
        <w:tc>
          <w:tcPr>
            <w:tcW w:w="774" w:type="dxa"/>
            <w:noWrap/>
            <w:hideMark/>
          </w:tcPr>
          <w:p w14:paraId="0E67149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17,172</w:t>
            </w:r>
          </w:p>
        </w:tc>
        <w:tc>
          <w:tcPr>
            <w:tcW w:w="1014" w:type="dxa"/>
            <w:noWrap/>
            <w:hideMark/>
          </w:tcPr>
          <w:p w14:paraId="238D079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17,015</w:t>
            </w:r>
          </w:p>
        </w:tc>
        <w:tc>
          <w:tcPr>
            <w:tcW w:w="1278" w:type="dxa"/>
            <w:noWrap/>
            <w:hideMark/>
          </w:tcPr>
          <w:p w14:paraId="7468406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99.09</w:t>
            </w:r>
          </w:p>
        </w:tc>
      </w:tr>
      <w:tr w:rsidR="002F7E95" w:rsidRPr="00C23CE7" w14:paraId="6E820B1F" w14:textId="77777777" w:rsidTr="005C4CE9">
        <w:trPr>
          <w:trHeight w:val="300"/>
        </w:trPr>
        <w:tc>
          <w:tcPr>
            <w:tcW w:w="2547" w:type="dxa"/>
            <w:noWrap/>
            <w:hideMark/>
          </w:tcPr>
          <w:p w14:paraId="4D15559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COVENTRY AND WARWICKSHIRE INTEGRATED CARE BOARD</w:t>
            </w:r>
          </w:p>
        </w:tc>
        <w:tc>
          <w:tcPr>
            <w:tcW w:w="4015" w:type="dxa"/>
            <w:noWrap/>
            <w:hideMark/>
          </w:tcPr>
          <w:p w14:paraId="4681621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COVENTRY AND WARWICKSHIRE ICB - B2M3M</w:t>
            </w:r>
          </w:p>
        </w:tc>
        <w:tc>
          <w:tcPr>
            <w:tcW w:w="774" w:type="dxa"/>
            <w:noWrap/>
            <w:hideMark/>
          </w:tcPr>
          <w:p w14:paraId="6C9BE25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24,549</w:t>
            </w:r>
          </w:p>
        </w:tc>
        <w:tc>
          <w:tcPr>
            <w:tcW w:w="1014" w:type="dxa"/>
            <w:noWrap/>
            <w:hideMark/>
          </w:tcPr>
          <w:p w14:paraId="33471E5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24,294</w:t>
            </w:r>
          </w:p>
        </w:tc>
        <w:tc>
          <w:tcPr>
            <w:tcW w:w="1278" w:type="dxa"/>
            <w:noWrap/>
            <w:hideMark/>
          </w:tcPr>
          <w:p w14:paraId="4A63B7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98.96</w:t>
            </w:r>
          </w:p>
        </w:tc>
      </w:tr>
      <w:tr w:rsidR="002F7E95" w:rsidRPr="00C23CE7" w14:paraId="62389BBB" w14:textId="77777777" w:rsidTr="005C4CE9">
        <w:trPr>
          <w:trHeight w:val="300"/>
        </w:trPr>
        <w:tc>
          <w:tcPr>
            <w:tcW w:w="2547" w:type="dxa"/>
            <w:noWrap/>
            <w:hideMark/>
          </w:tcPr>
          <w:p w14:paraId="0DF19BA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DERBY AND DERBYSHIRE INTEGRATED CARE BOARD</w:t>
            </w:r>
          </w:p>
        </w:tc>
        <w:tc>
          <w:tcPr>
            <w:tcW w:w="4015" w:type="dxa"/>
            <w:noWrap/>
            <w:hideMark/>
          </w:tcPr>
          <w:p w14:paraId="08EC0A3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DERBY AND DERBYSHIRE ICB - 15M</w:t>
            </w:r>
          </w:p>
        </w:tc>
        <w:tc>
          <w:tcPr>
            <w:tcW w:w="774" w:type="dxa"/>
            <w:noWrap/>
            <w:hideMark/>
          </w:tcPr>
          <w:p w14:paraId="62519A1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31,045</w:t>
            </w:r>
          </w:p>
        </w:tc>
        <w:tc>
          <w:tcPr>
            <w:tcW w:w="1014" w:type="dxa"/>
            <w:noWrap/>
            <w:hideMark/>
          </w:tcPr>
          <w:p w14:paraId="6F90DBE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30,996</w:t>
            </w:r>
          </w:p>
        </w:tc>
        <w:tc>
          <w:tcPr>
            <w:tcW w:w="1278" w:type="dxa"/>
            <w:noWrap/>
            <w:hideMark/>
          </w:tcPr>
          <w:p w14:paraId="23507F8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99.84</w:t>
            </w:r>
          </w:p>
        </w:tc>
      </w:tr>
      <w:tr w:rsidR="002F7E95" w:rsidRPr="00C23CE7" w14:paraId="6C4EDB93" w14:textId="77777777" w:rsidTr="005C4CE9">
        <w:trPr>
          <w:trHeight w:val="300"/>
        </w:trPr>
        <w:tc>
          <w:tcPr>
            <w:tcW w:w="2547" w:type="dxa"/>
            <w:noWrap/>
            <w:hideMark/>
          </w:tcPr>
          <w:p w14:paraId="30BB38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DEVON INTEGRATED CARE BOARD</w:t>
            </w:r>
          </w:p>
        </w:tc>
        <w:tc>
          <w:tcPr>
            <w:tcW w:w="4015" w:type="dxa"/>
            <w:noWrap/>
            <w:hideMark/>
          </w:tcPr>
          <w:p w14:paraId="196B432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DEVON ICB - 15N</w:t>
            </w:r>
          </w:p>
        </w:tc>
        <w:tc>
          <w:tcPr>
            <w:tcW w:w="774" w:type="dxa"/>
            <w:noWrap/>
            <w:hideMark/>
          </w:tcPr>
          <w:p w14:paraId="42FCFC7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42,134</w:t>
            </w:r>
          </w:p>
        </w:tc>
        <w:tc>
          <w:tcPr>
            <w:tcW w:w="1014" w:type="dxa"/>
            <w:noWrap/>
            <w:hideMark/>
          </w:tcPr>
          <w:p w14:paraId="7E6D9F3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41,995</w:t>
            </w:r>
          </w:p>
        </w:tc>
        <w:tc>
          <w:tcPr>
            <w:tcW w:w="1278" w:type="dxa"/>
            <w:noWrap/>
            <w:hideMark/>
          </w:tcPr>
          <w:p w14:paraId="4E8200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99.67</w:t>
            </w:r>
          </w:p>
        </w:tc>
      </w:tr>
      <w:tr w:rsidR="002F7E95" w:rsidRPr="00C23CE7" w14:paraId="3B172E4F" w14:textId="77777777" w:rsidTr="005C4CE9">
        <w:trPr>
          <w:trHeight w:val="300"/>
        </w:trPr>
        <w:tc>
          <w:tcPr>
            <w:tcW w:w="2547" w:type="dxa"/>
            <w:noWrap/>
            <w:hideMark/>
          </w:tcPr>
          <w:p w14:paraId="284A8CF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DORSET INTEGRATED CARE BOARD</w:t>
            </w:r>
          </w:p>
        </w:tc>
        <w:tc>
          <w:tcPr>
            <w:tcW w:w="4015" w:type="dxa"/>
            <w:noWrap/>
            <w:hideMark/>
          </w:tcPr>
          <w:p w14:paraId="4F0DBAD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DORSET ICB - 11J</w:t>
            </w:r>
          </w:p>
        </w:tc>
        <w:tc>
          <w:tcPr>
            <w:tcW w:w="774" w:type="dxa"/>
            <w:noWrap/>
            <w:hideMark/>
          </w:tcPr>
          <w:p w14:paraId="5CC49F6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26,719</w:t>
            </w:r>
          </w:p>
        </w:tc>
        <w:tc>
          <w:tcPr>
            <w:tcW w:w="1014" w:type="dxa"/>
            <w:noWrap/>
            <w:hideMark/>
          </w:tcPr>
          <w:p w14:paraId="7E24AE4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26,673</w:t>
            </w:r>
          </w:p>
        </w:tc>
        <w:tc>
          <w:tcPr>
            <w:tcW w:w="1278" w:type="dxa"/>
            <w:noWrap/>
            <w:hideMark/>
          </w:tcPr>
          <w:p w14:paraId="603DBA0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99.83</w:t>
            </w:r>
          </w:p>
        </w:tc>
      </w:tr>
      <w:tr w:rsidR="002F7E95" w:rsidRPr="00C23CE7" w14:paraId="2E8CE0D7" w14:textId="77777777" w:rsidTr="005C4CE9">
        <w:trPr>
          <w:trHeight w:val="300"/>
        </w:trPr>
        <w:tc>
          <w:tcPr>
            <w:tcW w:w="2547" w:type="dxa"/>
            <w:noWrap/>
            <w:hideMark/>
          </w:tcPr>
          <w:p w14:paraId="03585F4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FRIMLEY INTEGRATED CARE BOARD</w:t>
            </w:r>
          </w:p>
        </w:tc>
        <w:tc>
          <w:tcPr>
            <w:tcW w:w="4015" w:type="dxa"/>
            <w:noWrap/>
            <w:hideMark/>
          </w:tcPr>
          <w:p w14:paraId="704BBA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FRIMLEY ICB - D4U1Y</w:t>
            </w:r>
          </w:p>
        </w:tc>
        <w:tc>
          <w:tcPr>
            <w:tcW w:w="774" w:type="dxa"/>
            <w:noWrap/>
            <w:hideMark/>
          </w:tcPr>
          <w:p w14:paraId="2438D1D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14,448</w:t>
            </w:r>
          </w:p>
        </w:tc>
        <w:tc>
          <w:tcPr>
            <w:tcW w:w="1014" w:type="dxa"/>
            <w:noWrap/>
            <w:hideMark/>
          </w:tcPr>
          <w:p w14:paraId="32D6A8A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12,678</w:t>
            </w:r>
          </w:p>
        </w:tc>
        <w:tc>
          <w:tcPr>
            <w:tcW w:w="1278" w:type="dxa"/>
            <w:noWrap/>
            <w:hideMark/>
          </w:tcPr>
          <w:p w14:paraId="700FF09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87.75</w:t>
            </w:r>
          </w:p>
        </w:tc>
      </w:tr>
      <w:tr w:rsidR="002F7E95" w:rsidRPr="00C23CE7" w14:paraId="64DB766D" w14:textId="77777777" w:rsidTr="005C4CE9">
        <w:trPr>
          <w:trHeight w:val="300"/>
        </w:trPr>
        <w:tc>
          <w:tcPr>
            <w:tcW w:w="2547" w:type="dxa"/>
            <w:noWrap/>
            <w:hideMark/>
          </w:tcPr>
          <w:p w14:paraId="6D9A5CD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GLOUCESTERSHIRE INTEGRATED CARE BOARD</w:t>
            </w:r>
          </w:p>
        </w:tc>
        <w:tc>
          <w:tcPr>
            <w:tcW w:w="4015" w:type="dxa"/>
            <w:noWrap/>
            <w:hideMark/>
          </w:tcPr>
          <w:p w14:paraId="55E7870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GLOUCESTERSHIRE ICB - 11M</w:t>
            </w:r>
          </w:p>
        </w:tc>
        <w:tc>
          <w:tcPr>
            <w:tcW w:w="774" w:type="dxa"/>
            <w:noWrap/>
            <w:hideMark/>
          </w:tcPr>
          <w:p w14:paraId="2E3508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18,606</w:t>
            </w:r>
          </w:p>
        </w:tc>
        <w:tc>
          <w:tcPr>
            <w:tcW w:w="1014" w:type="dxa"/>
            <w:noWrap/>
            <w:hideMark/>
          </w:tcPr>
          <w:p w14:paraId="439C2C2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18,592</w:t>
            </w:r>
          </w:p>
        </w:tc>
        <w:tc>
          <w:tcPr>
            <w:tcW w:w="1278" w:type="dxa"/>
            <w:noWrap/>
            <w:hideMark/>
          </w:tcPr>
          <w:p w14:paraId="5956753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99.92</w:t>
            </w:r>
          </w:p>
        </w:tc>
      </w:tr>
      <w:tr w:rsidR="002F7E95" w:rsidRPr="00C23CE7" w14:paraId="00550DDD" w14:textId="77777777" w:rsidTr="005C4CE9">
        <w:trPr>
          <w:trHeight w:val="300"/>
        </w:trPr>
        <w:tc>
          <w:tcPr>
            <w:tcW w:w="2547" w:type="dxa"/>
            <w:noWrap/>
            <w:hideMark/>
          </w:tcPr>
          <w:p w14:paraId="525B1D5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0C80B7F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- 00T</w:t>
            </w:r>
          </w:p>
        </w:tc>
        <w:tc>
          <w:tcPr>
            <w:tcW w:w="774" w:type="dxa"/>
            <w:noWrap/>
            <w:hideMark/>
          </w:tcPr>
          <w:p w14:paraId="411D7AA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7,438</w:t>
            </w:r>
          </w:p>
        </w:tc>
        <w:tc>
          <w:tcPr>
            <w:tcW w:w="1014" w:type="dxa"/>
            <w:noWrap/>
            <w:hideMark/>
          </w:tcPr>
          <w:p w14:paraId="22F669C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7,404</w:t>
            </w:r>
          </w:p>
        </w:tc>
        <w:tc>
          <w:tcPr>
            <w:tcW w:w="1278" w:type="dxa"/>
            <w:noWrap/>
            <w:hideMark/>
          </w:tcPr>
          <w:p w14:paraId="6244B15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99.54</w:t>
            </w:r>
          </w:p>
        </w:tc>
      </w:tr>
      <w:tr w:rsidR="002F7E95" w:rsidRPr="00C23CE7" w14:paraId="506A5279" w14:textId="77777777" w:rsidTr="005C4CE9">
        <w:trPr>
          <w:trHeight w:val="300"/>
        </w:trPr>
        <w:tc>
          <w:tcPr>
            <w:tcW w:w="2547" w:type="dxa"/>
            <w:noWrap/>
            <w:hideMark/>
          </w:tcPr>
          <w:p w14:paraId="5A0178E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05890B4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- 00V</w:t>
            </w:r>
          </w:p>
        </w:tc>
        <w:tc>
          <w:tcPr>
            <w:tcW w:w="774" w:type="dxa"/>
            <w:noWrap/>
            <w:hideMark/>
          </w:tcPr>
          <w:p w14:paraId="758313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4,011</w:t>
            </w:r>
          </w:p>
        </w:tc>
        <w:tc>
          <w:tcPr>
            <w:tcW w:w="1014" w:type="dxa"/>
            <w:noWrap/>
            <w:hideMark/>
          </w:tcPr>
          <w:p w14:paraId="408BA05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2,594</w:t>
            </w:r>
          </w:p>
        </w:tc>
        <w:tc>
          <w:tcPr>
            <w:tcW w:w="1278" w:type="dxa"/>
            <w:noWrap/>
            <w:hideMark/>
          </w:tcPr>
          <w:p w14:paraId="47923E3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64.67</w:t>
            </w:r>
          </w:p>
        </w:tc>
      </w:tr>
      <w:tr w:rsidR="002F7E95" w:rsidRPr="00C23CE7" w14:paraId="58E5C626" w14:textId="77777777" w:rsidTr="005C4CE9">
        <w:trPr>
          <w:trHeight w:val="300"/>
        </w:trPr>
        <w:tc>
          <w:tcPr>
            <w:tcW w:w="2547" w:type="dxa"/>
            <w:noWrap/>
            <w:hideMark/>
          </w:tcPr>
          <w:p w14:paraId="19EABB2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5D1AC72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- 00Y</w:t>
            </w:r>
          </w:p>
        </w:tc>
        <w:tc>
          <w:tcPr>
            <w:tcW w:w="774" w:type="dxa"/>
            <w:noWrap/>
            <w:hideMark/>
          </w:tcPr>
          <w:p w14:paraId="6756B99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334</w:t>
            </w:r>
          </w:p>
        </w:tc>
        <w:tc>
          <w:tcPr>
            <w:tcW w:w="1014" w:type="dxa"/>
            <w:noWrap/>
            <w:hideMark/>
          </w:tcPr>
          <w:p w14:paraId="0519FBC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331</w:t>
            </w:r>
          </w:p>
        </w:tc>
        <w:tc>
          <w:tcPr>
            <w:tcW w:w="1278" w:type="dxa"/>
            <w:noWrap/>
            <w:hideMark/>
          </w:tcPr>
          <w:p w14:paraId="50DD67D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99.1</w:t>
            </w:r>
          </w:p>
        </w:tc>
      </w:tr>
      <w:tr w:rsidR="002F7E95" w:rsidRPr="00C23CE7" w14:paraId="0A1D2F38" w14:textId="77777777" w:rsidTr="005C4CE9">
        <w:trPr>
          <w:trHeight w:val="300"/>
        </w:trPr>
        <w:tc>
          <w:tcPr>
            <w:tcW w:w="2547" w:type="dxa"/>
            <w:noWrap/>
            <w:hideMark/>
          </w:tcPr>
          <w:p w14:paraId="01EF833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5C8A700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- 01D</w:t>
            </w:r>
          </w:p>
        </w:tc>
        <w:tc>
          <w:tcPr>
            <w:tcW w:w="774" w:type="dxa"/>
            <w:noWrap/>
            <w:hideMark/>
          </w:tcPr>
          <w:p w14:paraId="45F9D26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3,662</w:t>
            </w:r>
          </w:p>
        </w:tc>
        <w:tc>
          <w:tcPr>
            <w:tcW w:w="1014" w:type="dxa"/>
            <w:noWrap/>
            <w:hideMark/>
          </w:tcPr>
          <w:p w14:paraId="1C0AB4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1,863</w:t>
            </w:r>
          </w:p>
        </w:tc>
        <w:tc>
          <w:tcPr>
            <w:tcW w:w="1278" w:type="dxa"/>
            <w:noWrap/>
            <w:hideMark/>
          </w:tcPr>
          <w:p w14:paraId="61C628E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50.87</w:t>
            </w:r>
          </w:p>
        </w:tc>
      </w:tr>
      <w:tr w:rsidR="002F7E95" w:rsidRPr="00C23CE7" w14:paraId="0E71739E" w14:textId="77777777" w:rsidTr="005C4CE9">
        <w:trPr>
          <w:trHeight w:val="300"/>
        </w:trPr>
        <w:tc>
          <w:tcPr>
            <w:tcW w:w="2547" w:type="dxa"/>
            <w:noWrap/>
            <w:hideMark/>
          </w:tcPr>
          <w:p w14:paraId="1CA93B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2357CF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- 01G</w:t>
            </w:r>
          </w:p>
        </w:tc>
        <w:tc>
          <w:tcPr>
            <w:tcW w:w="774" w:type="dxa"/>
            <w:noWrap/>
            <w:hideMark/>
          </w:tcPr>
          <w:p w14:paraId="7ABB9F9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5,910</w:t>
            </w:r>
          </w:p>
        </w:tc>
        <w:tc>
          <w:tcPr>
            <w:tcW w:w="1014" w:type="dxa"/>
            <w:noWrap/>
            <w:hideMark/>
          </w:tcPr>
          <w:p w14:paraId="0AE65E8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5,726</w:t>
            </w:r>
          </w:p>
        </w:tc>
        <w:tc>
          <w:tcPr>
            <w:tcW w:w="1278" w:type="dxa"/>
            <w:noWrap/>
            <w:hideMark/>
          </w:tcPr>
          <w:p w14:paraId="42C4AEC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96.89</w:t>
            </w:r>
          </w:p>
        </w:tc>
      </w:tr>
      <w:tr w:rsidR="002F7E95" w:rsidRPr="00C23CE7" w14:paraId="07C899BF" w14:textId="77777777" w:rsidTr="005C4CE9">
        <w:trPr>
          <w:trHeight w:val="300"/>
        </w:trPr>
        <w:tc>
          <w:tcPr>
            <w:tcW w:w="2547" w:type="dxa"/>
            <w:noWrap/>
            <w:hideMark/>
          </w:tcPr>
          <w:p w14:paraId="316D22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42DC16D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- 01W</w:t>
            </w:r>
          </w:p>
        </w:tc>
        <w:tc>
          <w:tcPr>
            <w:tcW w:w="774" w:type="dxa"/>
            <w:noWrap/>
            <w:hideMark/>
          </w:tcPr>
          <w:p w14:paraId="10651B3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8,371</w:t>
            </w:r>
          </w:p>
        </w:tc>
        <w:tc>
          <w:tcPr>
            <w:tcW w:w="1014" w:type="dxa"/>
            <w:noWrap/>
            <w:hideMark/>
          </w:tcPr>
          <w:p w14:paraId="11D0B53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6,564</w:t>
            </w:r>
          </w:p>
        </w:tc>
        <w:tc>
          <w:tcPr>
            <w:tcW w:w="1278" w:type="dxa"/>
            <w:noWrap/>
            <w:hideMark/>
          </w:tcPr>
          <w:p w14:paraId="0EC3C77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78.41</w:t>
            </w:r>
          </w:p>
        </w:tc>
      </w:tr>
      <w:tr w:rsidR="002F7E95" w:rsidRPr="00C23CE7" w14:paraId="28E5070B" w14:textId="77777777" w:rsidTr="005C4CE9">
        <w:trPr>
          <w:trHeight w:val="300"/>
        </w:trPr>
        <w:tc>
          <w:tcPr>
            <w:tcW w:w="2547" w:type="dxa"/>
            <w:noWrap/>
            <w:hideMark/>
          </w:tcPr>
          <w:p w14:paraId="35BEE29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7708A40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- 01Y</w:t>
            </w:r>
          </w:p>
        </w:tc>
        <w:tc>
          <w:tcPr>
            <w:tcW w:w="774" w:type="dxa"/>
            <w:noWrap/>
            <w:hideMark/>
          </w:tcPr>
          <w:p w14:paraId="2188CE0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5,856</w:t>
            </w:r>
          </w:p>
        </w:tc>
        <w:tc>
          <w:tcPr>
            <w:tcW w:w="1014" w:type="dxa"/>
            <w:noWrap/>
            <w:hideMark/>
          </w:tcPr>
          <w:p w14:paraId="18557CC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5,833</w:t>
            </w:r>
          </w:p>
        </w:tc>
        <w:tc>
          <w:tcPr>
            <w:tcW w:w="1278" w:type="dxa"/>
            <w:noWrap/>
            <w:hideMark/>
          </w:tcPr>
          <w:p w14:paraId="22A1812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99.61</w:t>
            </w:r>
          </w:p>
        </w:tc>
      </w:tr>
      <w:tr w:rsidR="002F7E95" w:rsidRPr="00C23CE7" w14:paraId="6BCDD0F9" w14:textId="77777777" w:rsidTr="005C4CE9">
        <w:trPr>
          <w:trHeight w:val="300"/>
        </w:trPr>
        <w:tc>
          <w:tcPr>
            <w:tcW w:w="2547" w:type="dxa"/>
            <w:noWrap/>
            <w:hideMark/>
          </w:tcPr>
          <w:p w14:paraId="754C023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7FFDF44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- 02A</w:t>
            </w:r>
          </w:p>
        </w:tc>
        <w:tc>
          <w:tcPr>
            <w:tcW w:w="774" w:type="dxa"/>
            <w:noWrap/>
            <w:hideMark/>
          </w:tcPr>
          <w:p w14:paraId="4C917B8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5,860</w:t>
            </w:r>
          </w:p>
        </w:tc>
        <w:tc>
          <w:tcPr>
            <w:tcW w:w="1014" w:type="dxa"/>
            <w:noWrap/>
            <w:hideMark/>
          </w:tcPr>
          <w:p w14:paraId="043D7A6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5,859</w:t>
            </w:r>
          </w:p>
        </w:tc>
        <w:tc>
          <w:tcPr>
            <w:tcW w:w="1278" w:type="dxa"/>
            <w:noWrap/>
            <w:hideMark/>
          </w:tcPr>
          <w:p w14:paraId="458DCBB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99.98</w:t>
            </w:r>
          </w:p>
        </w:tc>
      </w:tr>
      <w:tr w:rsidR="002F7E95" w:rsidRPr="00C23CE7" w14:paraId="29155112" w14:textId="77777777" w:rsidTr="005C4CE9">
        <w:trPr>
          <w:trHeight w:val="300"/>
        </w:trPr>
        <w:tc>
          <w:tcPr>
            <w:tcW w:w="2547" w:type="dxa"/>
            <w:noWrap/>
            <w:hideMark/>
          </w:tcPr>
          <w:p w14:paraId="51D6CCF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3881871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- 02H</w:t>
            </w:r>
          </w:p>
        </w:tc>
        <w:tc>
          <w:tcPr>
            <w:tcW w:w="774" w:type="dxa"/>
            <w:noWrap/>
            <w:hideMark/>
          </w:tcPr>
          <w:p w14:paraId="5C27ED5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12,113</w:t>
            </w:r>
          </w:p>
        </w:tc>
        <w:tc>
          <w:tcPr>
            <w:tcW w:w="1014" w:type="dxa"/>
            <w:noWrap/>
            <w:hideMark/>
          </w:tcPr>
          <w:p w14:paraId="02C841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12,082</w:t>
            </w:r>
          </w:p>
        </w:tc>
        <w:tc>
          <w:tcPr>
            <w:tcW w:w="1278" w:type="dxa"/>
            <w:noWrap/>
            <w:hideMark/>
          </w:tcPr>
          <w:p w14:paraId="578875A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99.74</w:t>
            </w:r>
          </w:p>
        </w:tc>
      </w:tr>
      <w:tr w:rsidR="002F7E95" w:rsidRPr="00C23CE7" w14:paraId="4EB4F85A" w14:textId="77777777" w:rsidTr="005C4CE9">
        <w:trPr>
          <w:trHeight w:val="300"/>
        </w:trPr>
        <w:tc>
          <w:tcPr>
            <w:tcW w:w="2547" w:type="dxa"/>
            <w:noWrap/>
            <w:hideMark/>
          </w:tcPr>
          <w:p w14:paraId="31D3F7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INTEGRATED CARE BOARD</w:t>
            </w:r>
          </w:p>
        </w:tc>
        <w:tc>
          <w:tcPr>
            <w:tcW w:w="4015" w:type="dxa"/>
            <w:noWrap/>
            <w:hideMark/>
          </w:tcPr>
          <w:p w14:paraId="2BBC93C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GREATER MANCHESTER ICB - 14L</w:t>
            </w:r>
          </w:p>
        </w:tc>
        <w:tc>
          <w:tcPr>
            <w:tcW w:w="774" w:type="dxa"/>
            <w:noWrap/>
            <w:hideMark/>
          </w:tcPr>
          <w:p w14:paraId="7C7E8E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8,736</w:t>
            </w:r>
          </w:p>
        </w:tc>
        <w:tc>
          <w:tcPr>
            <w:tcW w:w="1014" w:type="dxa"/>
            <w:noWrap/>
            <w:hideMark/>
          </w:tcPr>
          <w:p w14:paraId="1E267C6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6,551</w:t>
            </w:r>
          </w:p>
        </w:tc>
        <w:tc>
          <w:tcPr>
            <w:tcW w:w="1278" w:type="dxa"/>
            <w:noWrap/>
            <w:hideMark/>
          </w:tcPr>
          <w:p w14:paraId="457FB0F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74.99</w:t>
            </w:r>
          </w:p>
        </w:tc>
      </w:tr>
      <w:tr w:rsidR="002F7E95" w:rsidRPr="00C23CE7" w14:paraId="6EA453B2" w14:textId="77777777" w:rsidTr="005C4CE9">
        <w:trPr>
          <w:trHeight w:val="300"/>
        </w:trPr>
        <w:tc>
          <w:tcPr>
            <w:tcW w:w="2547" w:type="dxa"/>
            <w:noWrap/>
            <w:hideMark/>
          </w:tcPr>
          <w:p w14:paraId="0FA881D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HAMPSHIRE AND ISLE OF WIGHT INTEGRATED CARE BOARD</w:t>
            </w:r>
          </w:p>
        </w:tc>
        <w:tc>
          <w:tcPr>
            <w:tcW w:w="4015" w:type="dxa"/>
            <w:noWrap/>
            <w:hideMark/>
          </w:tcPr>
          <w:p w14:paraId="4E8AEE1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HAMPSHIRE AND ISLE OF WIGHT ICB - 10R</w:t>
            </w:r>
          </w:p>
        </w:tc>
        <w:tc>
          <w:tcPr>
            <w:tcW w:w="774" w:type="dxa"/>
            <w:noWrap/>
            <w:hideMark/>
          </w:tcPr>
          <w:p w14:paraId="42DC333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4,855</w:t>
            </w:r>
          </w:p>
        </w:tc>
        <w:tc>
          <w:tcPr>
            <w:tcW w:w="1014" w:type="dxa"/>
            <w:noWrap/>
            <w:hideMark/>
          </w:tcPr>
          <w:p w14:paraId="14A6409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4,853</w:t>
            </w:r>
          </w:p>
        </w:tc>
        <w:tc>
          <w:tcPr>
            <w:tcW w:w="1278" w:type="dxa"/>
            <w:noWrap/>
            <w:hideMark/>
          </w:tcPr>
          <w:p w14:paraId="4908B8B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99.96</w:t>
            </w:r>
          </w:p>
        </w:tc>
      </w:tr>
      <w:tr w:rsidR="002F7E95" w:rsidRPr="00C23CE7" w14:paraId="27DD6708" w14:textId="77777777" w:rsidTr="005C4CE9">
        <w:trPr>
          <w:trHeight w:val="300"/>
        </w:trPr>
        <w:tc>
          <w:tcPr>
            <w:tcW w:w="2547" w:type="dxa"/>
            <w:noWrap/>
            <w:hideMark/>
          </w:tcPr>
          <w:p w14:paraId="312BCB7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HAMPSHIRE AND ISLE OF WIGHT INTEGRATED CARE BOARD</w:t>
            </w:r>
          </w:p>
        </w:tc>
        <w:tc>
          <w:tcPr>
            <w:tcW w:w="4015" w:type="dxa"/>
            <w:noWrap/>
            <w:hideMark/>
          </w:tcPr>
          <w:p w14:paraId="7829CB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HAMPSHIRE AND ISLE OF WIGHT ICB - D9Y0V</w:t>
            </w:r>
          </w:p>
        </w:tc>
        <w:tc>
          <w:tcPr>
            <w:tcW w:w="774" w:type="dxa"/>
            <w:noWrap/>
            <w:hideMark/>
          </w:tcPr>
          <w:p w14:paraId="767F584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45,604</w:t>
            </w:r>
          </w:p>
        </w:tc>
        <w:tc>
          <w:tcPr>
            <w:tcW w:w="1014" w:type="dxa"/>
            <w:noWrap/>
            <w:hideMark/>
          </w:tcPr>
          <w:p w14:paraId="0E6B224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42,740</w:t>
            </w:r>
          </w:p>
        </w:tc>
        <w:tc>
          <w:tcPr>
            <w:tcW w:w="1278" w:type="dxa"/>
            <w:noWrap/>
            <w:hideMark/>
          </w:tcPr>
          <w:p w14:paraId="3F0E6FA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93.72</w:t>
            </w:r>
          </w:p>
        </w:tc>
      </w:tr>
      <w:tr w:rsidR="002F7E95" w:rsidRPr="00C23CE7" w14:paraId="64B54A6D" w14:textId="77777777" w:rsidTr="005C4CE9">
        <w:trPr>
          <w:trHeight w:val="300"/>
        </w:trPr>
        <w:tc>
          <w:tcPr>
            <w:tcW w:w="2547" w:type="dxa"/>
            <w:noWrap/>
            <w:hideMark/>
          </w:tcPr>
          <w:p w14:paraId="73C654D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HEREFORDSHIRE AND WORCESTERSHIRE INTEGRATED CARE BOARD</w:t>
            </w:r>
          </w:p>
        </w:tc>
        <w:tc>
          <w:tcPr>
            <w:tcW w:w="4015" w:type="dxa"/>
            <w:noWrap/>
            <w:hideMark/>
          </w:tcPr>
          <w:p w14:paraId="1AB1285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HEREFORDSHIRE AND WORCESTERSHIRE ICB - 18C</w:t>
            </w:r>
          </w:p>
        </w:tc>
        <w:tc>
          <w:tcPr>
            <w:tcW w:w="774" w:type="dxa"/>
            <w:noWrap/>
            <w:hideMark/>
          </w:tcPr>
          <w:p w14:paraId="1964D3C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24,611</w:t>
            </w:r>
          </w:p>
        </w:tc>
        <w:tc>
          <w:tcPr>
            <w:tcW w:w="1014" w:type="dxa"/>
            <w:noWrap/>
            <w:hideMark/>
          </w:tcPr>
          <w:p w14:paraId="4C1DCBD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23,177</w:t>
            </w:r>
          </w:p>
        </w:tc>
        <w:tc>
          <w:tcPr>
            <w:tcW w:w="1278" w:type="dxa"/>
            <w:noWrap/>
            <w:hideMark/>
          </w:tcPr>
          <w:p w14:paraId="2E21E0A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94.17</w:t>
            </w:r>
          </w:p>
        </w:tc>
      </w:tr>
      <w:tr w:rsidR="002F7E95" w:rsidRPr="00C23CE7" w14:paraId="4E534300" w14:textId="77777777" w:rsidTr="005C4CE9">
        <w:trPr>
          <w:trHeight w:val="300"/>
        </w:trPr>
        <w:tc>
          <w:tcPr>
            <w:tcW w:w="2547" w:type="dxa"/>
            <w:noWrap/>
            <w:hideMark/>
          </w:tcPr>
          <w:p w14:paraId="19F521E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INTEGRATED CARE BOARD</w:t>
            </w:r>
          </w:p>
        </w:tc>
        <w:tc>
          <w:tcPr>
            <w:tcW w:w="4015" w:type="dxa"/>
            <w:noWrap/>
            <w:hideMark/>
          </w:tcPr>
          <w:p w14:paraId="6C232A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ICB - 06K</w:t>
            </w:r>
          </w:p>
        </w:tc>
        <w:tc>
          <w:tcPr>
            <w:tcW w:w="774" w:type="dxa"/>
            <w:noWrap/>
            <w:hideMark/>
          </w:tcPr>
          <w:p w14:paraId="1C31EDC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13,437</w:t>
            </w:r>
          </w:p>
        </w:tc>
        <w:tc>
          <w:tcPr>
            <w:tcW w:w="1014" w:type="dxa"/>
            <w:noWrap/>
            <w:hideMark/>
          </w:tcPr>
          <w:p w14:paraId="427AFF7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13,412</w:t>
            </w:r>
          </w:p>
        </w:tc>
        <w:tc>
          <w:tcPr>
            <w:tcW w:w="1278" w:type="dxa"/>
            <w:noWrap/>
            <w:hideMark/>
          </w:tcPr>
          <w:p w14:paraId="03A7903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99.81</w:t>
            </w:r>
          </w:p>
        </w:tc>
      </w:tr>
      <w:tr w:rsidR="002F7E95" w:rsidRPr="00C23CE7" w14:paraId="490CC06A" w14:textId="77777777" w:rsidTr="005C4CE9">
        <w:trPr>
          <w:trHeight w:val="300"/>
        </w:trPr>
        <w:tc>
          <w:tcPr>
            <w:tcW w:w="2547" w:type="dxa"/>
            <w:noWrap/>
            <w:hideMark/>
          </w:tcPr>
          <w:p w14:paraId="6B3E2E5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INTEGRATED CARE BOARD</w:t>
            </w:r>
          </w:p>
        </w:tc>
        <w:tc>
          <w:tcPr>
            <w:tcW w:w="4015" w:type="dxa"/>
            <w:noWrap/>
            <w:hideMark/>
          </w:tcPr>
          <w:p w14:paraId="4B859E0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ICB - 06N</w:t>
            </w:r>
          </w:p>
        </w:tc>
        <w:tc>
          <w:tcPr>
            <w:tcW w:w="774" w:type="dxa"/>
            <w:noWrap/>
            <w:hideMark/>
          </w:tcPr>
          <w:p w14:paraId="600CFA5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12,046</w:t>
            </w:r>
          </w:p>
        </w:tc>
        <w:tc>
          <w:tcPr>
            <w:tcW w:w="1014" w:type="dxa"/>
            <w:noWrap/>
            <w:hideMark/>
          </w:tcPr>
          <w:p w14:paraId="6CEDB0F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12,028</w:t>
            </w:r>
          </w:p>
        </w:tc>
        <w:tc>
          <w:tcPr>
            <w:tcW w:w="1278" w:type="dxa"/>
            <w:noWrap/>
            <w:hideMark/>
          </w:tcPr>
          <w:p w14:paraId="75AB55F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99.85</w:t>
            </w:r>
          </w:p>
        </w:tc>
      </w:tr>
      <w:tr w:rsidR="002F7E95" w:rsidRPr="00C23CE7" w14:paraId="484F7B7E" w14:textId="77777777" w:rsidTr="005C4CE9">
        <w:trPr>
          <w:trHeight w:val="300"/>
        </w:trPr>
        <w:tc>
          <w:tcPr>
            <w:tcW w:w="2547" w:type="dxa"/>
            <w:noWrap/>
            <w:hideMark/>
          </w:tcPr>
          <w:p w14:paraId="093E6F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INTEGRATED CARE BOARD</w:t>
            </w:r>
          </w:p>
        </w:tc>
        <w:tc>
          <w:tcPr>
            <w:tcW w:w="4015" w:type="dxa"/>
            <w:noWrap/>
            <w:hideMark/>
          </w:tcPr>
          <w:p w14:paraId="3B46CA4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HERTFORDSHIRE AND WEST ESSEX ICB - 07H</w:t>
            </w:r>
          </w:p>
        </w:tc>
        <w:tc>
          <w:tcPr>
            <w:tcW w:w="774" w:type="dxa"/>
            <w:noWrap/>
            <w:hideMark/>
          </w:tcPr>
          <w:p w14:paraId="25C9BE9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6,363</w:t>
            </w:r>
          </w:p>
        </w:tc>
        <w:tc>
          <w:tcPr>
            <w:tcW w:w="1014" w:type="dxa"/>
            <w:noWrap/>
            <w:hideMark/>
          </w:tcPr>
          <w:p w14:paraId="47A04E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6,338</w:t>
            </w:r>
          </w:p>
        </w:tc>
        <w:tc>
          <w:tcPr>
            <w:tcW w:w="1278" w:type="dxa"/>
            <w:noWrap/>
            <w:hideMark/>
          </w:tcPr>
          <w:p w14:paraId="6BEEEEE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99.61</w:t>
            </w:r>
          </w:p>
        </w:tc>
      </w:tr>
      <w:tr w:rsidR="002F7E95" w:rsidRPr="00C23CE7" w14:paraId="28C8BA75" w14:textId="77777777" w:rsidTr="005C4CE9">
        <w:trPr>
          <w:trHeight w:val="300"/>
        </w:trPr>
        <w:tc>
          <w:tcPr>
            <w:tcW w:w="2547" w:type="dxa"/>
            <w:noWrap/>
            <w:hideMark/>
          </w:tcPr>
          <w:p w14:paraId="2C41628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lastRenderedPageBreak/>
              <w:t>NHS HUMBER AND NORTH YORKSHIRE INTEGRATED CARE BOARD</w:t>
            </w:r>
          </w:p>
        </w:tc>
        <w:tc>
          <w:tcPr>
            <w:tcW w:w="4015" w:type="dxa"/>
            <w:noWrap/>
            <w:hideMark/>
          </w:tcPr>
          <w:p w14:paraId="636D68A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- 02Y</w:t>
            </w:r>
          </w:p>
        </w:tc>
        <w:tc>
          <w:tcPr>
            <w:tcW w:w="774" w:type="dxa"/>
            <w:noWrap/>
            <w:hideMark/>
          </w:tcPr>
          <w:p w14:paraId="77557E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11,201</w:t>
            </w:r>
          </w:p>
        </w:tc>
        <w:tc>
          <w:tcPr>
            <w:tcW w:w="1014" w:type="dxa"/>
            <w:noWrap/>
            <w:hideMark/>
          </w:tcPr>
          <w:p w14:paraId="25F422C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11,158</w:t>
            </w:r>
          </w:p>
        </w:tc>
        <w:tc>
          <w:tcPr>
            <w:tcW w:w="1278" w:type="dxa"/>
            <w:noWrap/>
            <w:hideMark/>
          </w:tcPr>
          <w:p w14:paraId="21E6A80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99.62</w:t>
            </w:r>
          </w:p>
        </w:tc>
      </w:tr>
      <w:tr w:rsidR="002F7E95" w:rsidRPr="00C23CE7" w14:paraId="19262EAC" w14:textId="77777777" w:rsidTr="005C4CE9">
        <w:trPr>
          <w:trHeight w:val="300"/>
        </w:trPr>
        <w:tc>
          <w:tcPr>
            <w:tcW w:w="2547" w:type="dxa"/>
            <w:noWrap/>
            <w:hideMark/>
          </w:tcPr>
          <w:p w14:paraId="37A5F0E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74176B9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- 03F</w:t>
            </w:r>
          </w:p>
        </w:tc>
        <w:tc>
          <w:tcPr>
            <w:tcW w:w="774" w:type="dxa"/>
            <w:noWrap/>
            <w:hideMark/>
          </w:tcPr>
          <w:p w14:paraId="418756F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6,517</w:t>
            </w:r>
          </w:p>
        </w:tc>
        <w:tc>
          <w:tcPr>
            <w:tcW w:w="1014" w:type="dxa"/>
            <w:noWrap/>
            <w:hideMark/>
          </w:tcPr>
          <w:p w14:paraId="0021581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6,507</w:t>
            </w:r>
          </w:p>
        </w:tc>
        <w:tc>
          <w:tcPr>
            <w:tcW w:w="1278" w:type="dxa"/>
            <w:noWrap/>
            <w:hideMark/>
          </w:tcPr>
          <w:p w14:paraId="1A3C5F7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99.85</w:t>
            </w:r>
          </w:p>
        </w:tc>
      </w:tr>
      <w:tr w:rsidR="002F7E95" w:rsidRPr="00C23CE7" w14:paraId="757CA6A1" w14:textId="77777777" w:rsidTr="005C4CE9">
        <w:trPr>
          <w:trHeight w:val="300"/>
        </w:trPr>
        <w:tc>
          <w:tcPr>
            <w:tcW w:w="2547" w:type="dxa"/>
            <w:noWrap/>
            <w:hideMark/>
          </w:tcPr>
          <w:p w14:paraId="68D93C4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70EB54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- 03H</w:t>
            </w:r>
          </w:p>
        </w:tc>
        <w:tc>
          <w:tcPr>
            <w:tcW w:w="774" w:type="dxa"/>
            <w:noWrap/>
            <w:hideMark/>
          </w:tcPr>
          <w:p w14:paraId="0F1E788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5,946</w:t>
            </w:r>
          </w:p>
        </w:tc>
        <w:tc>
          <w:tcPr>
            <w:tcW w:w="1014" w:type="dxa"/>
            <w:noWrap/>
            <w:hideMark/>
          </w:tcPr>
          <w:p w14:paraId="1F02B0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5,795</w:t>
            </w:r>
          </w:p>
        </w:tc>
        <w:tc>
          <w:tcPr>
            <w:tcW w:w="1278" w:type="dxa"/>
            <w:noWrap/>
            <w:hideMark/>
          </w:tcPr>
          <w:p w14:paraId="4544A50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97.46</w:t>
            </w:r>
          </w:p>
        </w:tc>
      </w:tr>
      <w:tr w:rsidR="002F7E95" w:rsidRPr="00C23CE7" w14:paraId="1C08DC0C" w14:textId="77777777" w:rsidTr="005C4CE9">
        <w:trPr>
          <w:trHeight w:val="300"/>
        </w:trPr>
        <w:tc>
          <w:tcPr>
            <w:tcW w:w="2547" w:type="dxa"/>
            <w:noWrap/>
            <w:hideMark/>
          </w:tcPr>
          <w:p w14:paraId="4A11768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1AFE206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- 03K</w:t>
            </w:r>
          </w:p>
        </w:tc>
        <w:tc>
          <w:tcPr>
            <w:tcW w:w="774" w:type="dxa"/>
            <w:noWrap/>
            <w:hideMark/>
          </w:tcPr>
          <w:p w14:paraId="222D915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6,838</w:t>
            </w:r>
          </w:p>
        </w:tc>
        <w:tc>
          <w:tcPr>
            <w:tcW w:w="1014" w:type="dxa"/>
            <w:noWrap/>
            <w:hideMark/>
          </w:tcPr>
          <w:p w14:paraId="492E92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6,785</w:t>
            </w:r>
          </w:p>
        </w:tc>
        <w:tc>
          <w:tcPr>
            <w:tcW w:w="1278" w:type="dxa"/>
            <w:noWrap/>
            <w:hideMark/>
          </w:tcPr>
          <w:p w14:paraId="1AB139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99.22</w:t>
            </w:r>
          </w:p>
        </w:tc>
      </w:tr>
      <w:tr w:rsidR="002F7E95" w:rsidRPr="00C23CE7" w14:paraId="7C3E803E" w14:textId="77777777" w:rsidTr="005C4CE9">
        <w:trPr>
          <w:trHeight w:val="300"/>
        </w:trPr>
        <w:tc>
          <w:tcPr>
            <w:tcW w:w="2547" w:type="dxa"/>
            <w:noWrap/>
            <w:hideMark/>
          </w:tcPr>
          <w:p w14:paraId="1AEE77C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4974CDD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- 03Q</w:t>
            </w:r>
          </w:p>
        </w:tc>
        <w:tc>
          <w:tcPr>
            <w:tcW w:w="774" w:type="dxa"/>
            <w:noWrap/>
            <w:hideMark/>
          </w:tcPr>
          <w:p w14:paraId="2109FA8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5,953</w:t>
            </w:r>
          </w:p>
        </w:tc>
        <w:tc>
          <w:tcPr>
            <w:tcW w:w="1014" w:type="dxa"/>
            <w:noWrap/>
            <w:hideMark/>
          </w:tcPr>
          <w:p w14:paraId="16DC570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5,929</w:t>
            </w:r>
          </w:p>
        </w:tc>
        <w:tc>
          <w:tcPr>
            <w:tcW w:w="1278" w:type="dxa"/>
            <w:noWrap/>
            <w:hideMark/>
          </w:tcPr>
          <w:p w14:paraId="1E03361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w:t>
            </w:r>
          </w:p>
        </w:tc>
      </w:tr>
      <w:tr w:rsidR="002F7E95" w:rsidRPr="00C23CE7" w14:paraId="782A0081" w14:textId="77777777" w:rsidTr="005C4CE9">
        <w:trPr>
          <w:trHeight w:val="300"/>
        </w:trPr>
        <w:tc>
          <w:tcPr>
            <w:tcW w:w="2547" w:type="dxa"/>
            <w:noWrap/>
            <w:hideMark/>
          </w:tcPr>
          <w:p w14:paraId="04CAC8B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INTEGRATED CARE BOARD</w:t>
            </w:r>
          </w:p>
        </w:tc>
        <w:tc>
          <w:tcPr>
            <w:tcW w:w="4015" w:type="dxa"/>
            <w:noWrap/>
            <w:hideMark/>
          </w:tcPr>
          <w:p w14:paraId="728276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HUMBER AND NORTH YORKSHIRE ICB - 42D</w:t>
            </w:r>
          </w:p>
        </w:tc>
        <w:tc>
          <w:tcPr>
            <w:tcW w:w="774" w:type="dxa"/>
            <w:noWrap/>
            <w:hideMark/>
          </w:tcPr>
          <w:p w14:paraId="1211DFD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17,011</w:t>
            </w:r>
          </w:p>
        </w:tc>
        <w:tc>
          <w:tcPr>
            <w:tcW w:w="1014" w:type="dxa"/>
            <w:noWrap/>
            <w:hideMark/>
          </w:tcPr>
          <w:p w14:paraId="52C60B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16,930</w:t>
            </w:r>
          </w:p>
        </w:tc>
        <w:tc>
          <w:tcPr>
            <w:tcW w:w="1278" w:type="dxa"/>
            <w:noWrap/>
            <w:hideMark/>
          </w:tcPr>
          <w:p w14:paraId="12C3AF5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99.52</w:t>
            </w:r>
          </w:p>
        </w:tc>
      </w:tr>
      <w:tr w:rsidR="002F7E95" w:rsidRPr="00C23CE7" w14:paraId="0B261678" w14:textId="77777777" w:rsidTr="005C4CE9">
        <w:trPr>
          <w:trHeight w:val="300"/>
        </w:trPr>
        <w:tc>
          <w:tcPr>
            <w:tcW w:w="2547" w:type="dxa"/>
            <w:noWrap/>
            <w:hideMark/>
          </w:tcPr>
          <w:p w14:paraId="7E6250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KENT AND MEDWAY INTEGRATED CARE BOARD</w:t>
            </w:r>
          </w:p>
        </w:tc>
        <w:tc>
          <w:tcPr>
            <w:tcW w:w="4015" w:type="dxa"/>
            <w:noWrap/>
            <w:hideMark/>
          </w:tcPr>
          <w:p w14:paraId="1CBCA67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KENT AND MEDWAY ICB - 91Q</w:t>
            </w:r>
          </w:p>
        </w:tc>
        <w:tc>
          <w:tcPr>
            <w:tcW w:w="774" w:type="dxa"/>
            <w:noWrap/>
            <w:hideMark/>
          </w:tcPr>
          <w:p w14:paraId="0C4B7CC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43,660</w:t>
            </w:r>
          </w:p>
        </w:tc>
        <w:tc>
          <w:tcPr>
            <w:tcW w:w="1014" w:type="dxa"/>
            <w:noWrap/>
            <w:hideMark/>
          </w:tcPr>
          <w:p w14:paraId="46FD90D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43,569</w:t>
            </w:r>
          </w:p>
        </w:tc>
        <w:tc>
          <w:tcPr>
            <w:tcW w:w="1278" w:type="dxa"/>
            <w:noWrap/>
            <w:hideMark/>
          </w:tcPr>
          <w:p w14:paraId="08AA5FB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99.79</w:t>
            </w:r>
          </w:p>
        </w:tc>
      </w:tr>
      <w:tr w:rsidR="002F7E95" w:rsidRPr="00C23CE7" w14:paraId="134DA091" w14:textId="77777777" w:rsidTr="005C4CE9">
        <w:trPr>
          <w:trHeight w:val="300"/>
        </w:trPr>
        <w:tc>
          <w:tcPr>
            <w:tcW w:w="2547" w:type="dxa"/>
            <w:noWrap/>
            <w:hideMark/>
          </w:tcPr>
          <w:p w14:paraId="4F38B52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4D8ACF3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- 00Q</w:t>
            </w:r>
          </w:p>
        </w:tc>
        <w:tc>
          <w:tcPr>
            <w:tcW w:w="774" w:type="dxa"/>
            <w:noWrap/>
            <w:hideMark/>
          </w:tcPr>
          <w:p w14:paraId="613D663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413</w:t>
            </w:r>
          </w:p>
        </w:tc>
        <w:tc>
          <w:tcPr>
            <w:tcW w:w="1014" w:type="dxa"/>
            <w:noWrap/>
            <w:hideMark/>
          </w:tcPr>
          <w:p w14:paraId="0B8682D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412</w:t>
            </w:r>
          </w:p>
        </w:tc>
        <w:tc>
          <w:tcPr>
            <w:tcW w:w="1278" w:type="dxa"/>
            <w:noWrap/>
            <w:hideMark/>
          </w:tcPr>
          <w:p w14:paraId="4256B43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99.76</w:t>
            </w:r>
          </w:p>
        </w:tc>
      </w:tr>
      <w:tr w:rsidR="002F7E95" w:rsidRPr="00C23CE7" w14:paraId="3AF6C51C" w14:textId="77777777" w:rsidTr="005C4CE9">
        <w:trPr>
          <w:trHeight w:val="300"/>
        </w:trPr>
        <w:tc>
          <w:tcPr>
            <w:tcW w:w="2547" w:type="dxa"/>
            <w:noWrap/>
            <w:hideMark/>
          </w:tcPr>
          <w:p w14:paraId="24159FB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6C9BE19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- 00R</w:t>
            </w:r>
          </w:p>
        </w:tc>
        <w:tc>
          <w:tcPr>
            <w:tcW w:w="774" w:type="dxa"/>
            <w:noWrap/>
            <w:hideMark/>
          </w:tcPr>
          <w:p w14:paraId="3329BEE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5,933</w:t>
            </w:r>
          </w:p>
        </w:tc>
        <w:tc>
          <w:tcPr>
            <w:tcW w:w="1014" w:type="dxa"/>
            <w:noWrap/>
            <w:hideMark/>
          </w:tcPr>
          <w:p w14:paraId="638DC9E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4,798</w:t>
            </w:r>
          </w:p>
        </w:tc>
        <w:tc>
          <w:tcPr>
            <w:tcW w:w="1278" w:type="dxa"/>
            <w:noWrap/>
            <w:hideMark/>
          </w:tcPr>
          <w:p w14:paraId="5186C9C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80.87</w:t>
            </w:r>
          </w:p>
        </w:tc>
      </w:tr>
      <w:tr w:rsidR="002F7E95" w:rsidRPr="00C23CE7" w14:paraId="2FD16D46" w14:textId="77777777" w:rsidTr="005C4CE9">
        <w:trPr>
          <w:trHeight w:val="300"/>
        </w:trPr>
        <w:tc>
          <w:tcPr>
            <w:tcW w:w="2547" w:type="dxa"/>
            <w:noWrap/>
            <w:hideMark/>
          </w:tcPr>
          <w:p w14:paraId="27F48E6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6C07C6F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- 00X</w:t>
            </w:r>
          </w:p>
        </w:tc>
        <w:tc>
          <w:tcPr>
            <w:tcW w:w="774" w:type="dxa"/>
            <w:noWrap/>
            <w:hideMark/>
          </w:tcPr>
          <w:p w14:paraId="0169628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4,987</w:t>
            </w:r>
          </w:p>
        </w:tc>
        <w:tc>
          <w:tcPr>
            <w:tcW w:w="1014" w:type="dxa"/>
            <w:noWrap/>
            <w:hideMark/>
          </w:tcPr>
          <w:p w14:paraId="42F68D4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4,941</w:t>
            </w:r>
          </w:p>
        </w:tc>
        <w:tc>
          <w:tcPr>
            <w:tcW w:w="1278" w:type="dxa"/>
            <w:noWrap/>
            <w:hideMark/>
          </w:tcPr>
          <w:p w14:paraId="079665F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99.08</w:t>
            </w:r>
          </w:p>
        </w:tc>
      </w:tr>
      <w:tr w:rsidR="002F7E95" w:rsidRPr="00C23CE7" w14:paraId="051D8026" w14:textId="77777777" w:rsidTr="005C4CE9">
        <w:trPr>
          <w:trHeight w:val="300"/>
        </w:trPr>
        <w:tc>
          <w:tcPr>
            <w:tcW w:w="2547" w:type="dxa"/>
            <w:noWrap/>
            <w:hideMark/>
          </w:tcPr>
          <w:p w14:paraId="1059DC0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625B3BA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- 01A</w:t>
            </w:r>
          </w:p>
        </w:tc>
        <w:tc>
          <w:tcPr>
            <w:tcW w:w="774" w:type="dxa"/>
            <w:noWrap/>
            <w:hideMark/>
          </w:tcPr>
          <w:p w14:paraId="610C759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13,281</w:t>
            </w:r>
          </w:p>
        </w:tc>
        <w:tc>
          <w:tcPr>
            <w:tcW w:w="1014" w:type="dxa"/>
            <w:noWrap/>
            <w:hideMark/>
          </w:tcPr>
          <w:p w14:paraId="36073E3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10,313</w:t>
            </w:r>
          </w:p>
        </w:tc>
        <w:tc>
          <w:tcPr>
            <w:tcW w:w="1278" w:type="dxa"/>
            <w:noWrap/>
            <w:hideMark/>
          </w:tcPr>
          <w:p w14:paraId="4EEA146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77.65</w:t>
            </w:r>
          </w:p>
        </w:tc>
      </w:tr>
      <w:tr w:rsidR="002F7E95" w:rsidRPr="00C23CE7" w14:paraId="74DC828C" w14:textId="77777777" w:rsidTr="005C4CE9">
        <w:trPr>
          <w:trHeight w:val="300"/>
        </w:trPr>
        <w:tc>
          <w:tcPr>
            <w:tcW w:w="2547" w:type="dxa"/>
            <w:noWrap/>
            <w:hideMark/>
          </w:tcPr>
          <w:p w14:paraId="57C9E54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776DCCD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- 01E</w:t>
            </w:r>
          </w:p>
        </w:tc>
        <w:tc>
          <w:tcPr>
            <w:tcW w:w="774" w:type="dxa"/>
            <w:noWrap/>
            <w:hideMark/>
          </w:tcPr>
          <w:p w14:paraId="4A57BA6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5,142</w:t>
            </w:r>
          </w:p>
        </w:tc>
        <w:tc>
          <w:tcPr>
            <w:tcW w:w="1014" w:type="dxa"/>
            <w:noWrap/>
            <w:hideMark/>
          </w:tcPr>
          <w:p w14:paraId="2296F61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5,092</w:t>
            </w:r>
          </w:p>
        </w:tc>
        <w:tc>
          <w:tcPr>
            <w:tcW w:w="1278" w:type="dxa"/>
            <w:noWrap/>
            <w:hideMark/>
          </w:tcPr>
          <w:p w14:paraId="146B56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99.03</w:t>
            </w:r>
          </w:p>
        </w:tc>
      </w:tr>
      <w:tr w:rsidR="002F7E95" w:rsidRPr="00C23CE7" w14:paraId="4F07634B" w14:textId="77777777" w:rsidTr="005C4CE9">
        <w:trPr>
          <w:trHeight w:val="300"/>
        </w:trPr>
        <w:tc>
          <w:tcPr>
            <w:tcW w:w="2547" w:type="dxa"/>
            <w:noWrap/>
            <w:hideMark/>
          </w:tcPr>
          <w:p w14:paraId="4A893C7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0DE20BD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- 01K</w:t>
            </w:r>
          </w:p>
        </w:tc>
        <w:tc>
          <w:tcPr>
            <w:tcW w:w="774" w:type="dxa"/>
            <w:noWrap/>
            <w:hideMark/>
          </w:tcPr>
          <w:p w14:paraId="33ECB95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11,068</w:t>
            </w:r>
          </w:p>
        </w:tc>
        <w:tc>
          <w:tcPr>
            <w:tcW w:w="1014" w:type="dxa"/>
            <w:noWrap/>
            <w:hideMark/>
          </w:tcPr>
          <w:p w14:paraId="1B8F9CC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11,004</w:t>
            </w:r>
          </w:p>
        </w:tc>
        <w:tc>
          <w:tcPr>
            <w:tcW w:w="1278" w:type="dxa"/>
            <w:noWrap/>
            <w:hideMark/>
          </w:tcPr>
          <w:p w14:paraId="6F7DFAB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99.42</w:t>
            </w:r>
          </w:p>
        </w:tc>
      </w:tr>
      <w:tr w:rsidR="002F7E95" w:rsidRPr="00C23CE7" w14:paraId="268AD5FE" w14:textId="77777777" w:rsidTr="005C4CE9">
        <w:trPr>
          <w:trHeight w:val="300"/>
        </w:trPr>
        <w:tc>
          <w:tcPr>
            <w:tcW w:w="2547" w:type="dxa"/>
            <w:noWrap/>
            <w:hideMark/>
          </w:tcPr>
          <w:p w14:paraId="69790B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63CDB74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- 02G</w:t>
            </w:r>
          </w:p>
        </w:tc>
        <w:tc>
          <w:tcPr>
            <w:tcW w:w="774" w:type="dxa"/>
            <w:noWrap/>
            <w:hideMark/>
          </w:tcPr>
          <w:p w14:paraId="65FD45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3,902</w:t>
            </w:r>
          </w:p>
        </w:tc>
        <w:tc>
          <w:tcPr>
            <w:tcW w:w="1014" w:type="dxa"/>
            <w:noWrap/>
            <w:hideMark/>
          </w:tcPr>
          <w:p w14:paraId="4054EC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3,900</w:t>
            </w:r>
          </w:p>
        </w:tc>
        <w:tc>
          <w:tcPr>
            <w:tcW w:w="1278" w:type="dxa"/>
            <w:noWrap/>
            <w:hideMark/>
          </w:tcPr>
          <w:p w14:paraId="14FC1A5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103439A6" w14:textId="77777777" w:rsidTr="005C4CE9">
        <w:trPr>
          <w:trHeight w:val="300"/>
        </w:trPr>
        <w:tc>
          <w:tcPr>
            <w:tcW w:w="2547" w:type="dxa"/>
            <w:noWrap/>
            <w:hideMark/>
          </w:tcPr>
          <w:p w14:paraId="3740441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INTEGRATED CARE BOARD</w:t>
            </w:r>
          </w:p>
        </w:tc>
        <w:tc>
          <w:tcPr>
            <w:tcW w:w="4015" w:type="dxa"/>
            <w:noWrap/>
            <w:hideMark/>
          </w:tcPr>
          <w:p w14:paraId="3780355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LANCASHIRE AND SOUTH CUMBRIA ICB - 02M</w:t>
            </w:r>
          </w:p>
        </w:tc>
        <w:tc>
          <w:tcPr>
            <w:tcW w:w="774" w:type="dxa"/>
            <w:noWrap/>
            <w:hideMark/>
          </w:tcPr>
          <w:p w14:paraId="4C8C0DE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8,378</w:t>
            </w:r>
          </w:p>
        </w:tc>
        <w:tc>
          <w:tcPr>
            <w:tcW w:w="1014" w:type="dxa"/>
            <w:noWrap/>
            <w:hideMark/>
          </w:tcPr>
          <w:p w14:paraId="33FEE81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7,857</w:t>
            </w:r>
          </w:p>
        </w:tc>
        <w:tc>
          <w:tcPr>
            <w:tcW w:w="1278" w:type="dxa"/>
            <w:noWrap/>
            <w:hideMark/>
          </w:tcPr>
          <w:p w14:paraId="551B37B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93.78</w:t>
            </w:r>
          </w:p>
        </w:tc>
      </w:tr>
      <w:tr w:rsidR="002F7E95" w:rsidRPr="00C23CE7" w14:paraId="6B75A9B7" w14:textId="77777777" w:rsidTr="005C4CE9">
        <w:trPr>
          <w:trHeight w:val="300"/>
        </w:trPr>
        <w:tc>
          <w:tcPr>
            <w:tcW w:w="2547" w:type="dxa"/>
            <w:noWrap/>
            <w:hideMark/>
          </w:tcPr>
          <w:p w14:paraId="3E945F8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INTEGRATED CARE BOARD</w:t>
            </w:r>
          </w:p>
        </w:tc>
        <w:tc>
          <w:tcPr>
            <w:tcW w:w="4015" w:type="dxa"/>
            <w:noWrap/>
            <w:hideMark/>
          </w:tcPr>
          <w:p w14:paraId="5D22CB0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ICB - 03W</w:t>
            </w:r>
          </w:p>
        </w:tc>
        <w:tc>
          <w:tcPr>
            <w:tcW w:w="774" w:type="dxa"/>
            <w:noWrap/>
            <w:hideMark/>
          </w:tcPr>
          <w:p w14:paraId="1AD318A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9,973</w:t>
            </w:r>
          </w:p>
        </w:tc>
        <w:tc>
          <w:tcPr>
            <w:tcW w:w="1014" w:type="dxa"/>
            <w:noWrap/>
            <w:hideMark/>
          </w:tcPr>
          <w:p w14:paraId="2F66252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9,939</w:t>
            </w:r>
          </w:p>
        </w:tc>
        <w:tc>
          <w:tcPr>
            <w:tcW w:w="1278" w:type="dxa"/>
            <w:noWrap/>
            <w:hideMark/>
          </w:tcPr>
          <w:p w14:paraId="7CABF22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99.66</w:t>
            </w:r>
          </w:p>
        </w:tc>
      </w:tr>
      <w:tr w:rsidR="002F7E95" w:rsidRPr="00C23CE7" w14:paraId="715D9DE3" w14:textId="77777777" w:rsidTr="005C4CE9">
        <w:trPr>
          <w:trHeight w:val="300"/>
        </w:trPr>
        <w:tc>
          <w:tcPr>
            <w:tcW w:w="2547" w:type="dxa"/>
            <w:noWrap/>
            <w:hideMark/>
          </w:tcPr>
          <w:p w14:paraId="1BFCD2E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INTEGRATED CARE BOARD</w:t>
            </w:r>
          </w:p>
        </w:tc>
        <w:tc>
          <w:tcPr>
            <w:tcW w:w="4015" w:type="dxa"/>
            <w:noWrap/>
            <w:hideMark/>
          </w:tcPr>
          <w:p w14:paraId="4D32F64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ICB - 04C</w:t>
            </w:r>
          </w:p>
        </w:tc>
        <w:tc>
          <w:tcPr>
            <w:tcW w:w="774" w:type="dxa"/>
            <w:noWrap/>
            <w:hideMark/>
          </w:tcPr>
          <w:p w14:paraId="371DE06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6,161</w:t>
            </w:r>
          </w:p>
        </w:tc>
        <w:tc>
          <w:tcPr>
            <w:tcW w:w="1014" w:type="dxa"/>
            <w:noWrap/>
            <w:hideMark/>
          </w:tcPr>
          <w:p w14:paraId="1036792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6,155</w:t>
            </w:r>
          </w:p>
        </w:tc>
        <w:tc>
          <w:tcPr>
            <w:tcW w:w="1278" w:type="dxa"/>
            <w:noWrap/>
            <w:hideMark/>
          </w:tcPr>
          <w:p w14:paraId="14D2ADA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w:t>
            </w:r>
          </w:p>
        </w:tc>
      </w:tr>
      <w:tr w:rsidR="002F7E95" w:rsidRPr="00C23CE7" w14:paraId="09764B78" w14:textId="77777777" w:rsidTr="005C4CE9">
        <w:trPr>
          <w:trHeight w:val="300"/>
        </w:trPr>
        <w:tc>
          <w:tcPr>
            <w:tcW w:w="2547" w:type="dxa"/>
            <w:noWrap/>
            <w:hideMark/>
          </w:tcPr>
          <w:p w14:paraId="2F7EF7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INTEGRATED CARE BOARD</w:t>
            </w:r>
          </w:p>
        </w:tc>
        <w:tc>
          <w:tcPr>
            <w:tcW w:w="4015" w:type="dxa"/>
            <w:noWrap/>
            <w:hideMark/>
          </w:tcPr>
          <w:p w14:paraId="34F1F0D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LEICESTER, LEICESTERSHIRE AND RUTLAND ICB - 04V</w:t>
            </w:r>
          </w:p>
        </w:tc>
        <w:tc>
          <w:tcPr>
            <w:tcW w:w="774" w:type="dxa"/>
            <w:noWrap/>
            <w:hideMark/>
          </w:tcPr>
          <w:p w14:paraId="40B114E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11,011</w:t>
            </w:r>
          </w:p>
        </w:tc>
        <w:tc>
          <w:tcPr>
            <w:tcW w:w="1014" w:type="dxa"/>
            <w:noWrap/>
            <w:hideMark/>
          </w:tcPr>
          <w:p w14:paraId="647C204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10,979</w:t>
            </w:r>
          </w:p>
        </w:tc>
        <w:tc>
          <w:tcPr>
            <w:tcW w:w="1278" w:type="dxa"/>
            <w:noWrap/>
            <w:hideMark/>
          </w:tcPr>
          <w:p w14:paraId="08F0659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99.71</w:t>
            </w:r>
          </w:p>
        </w:tc>
      </w:tr>
      <w:tr w:rsidR="002F7E95" w:rsidRPr="00C23CE7" w14:paraId="01B62E1F" w14:textId="77777777" w:rsidTr="005C4CE9">
        <w:trPr>
          <w:trHeight w:val="300"/>
        </w:trPr>
        <w:tc>
          <w:tcPr>
            <w:tcW w:w="2547" w:type="dxa"/>
            <w:noWrap/>
            <w:hideMark/>
          </w:tcPr>
          <w:p w14:paraId="1A39E68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LINCOLNSHIRE INTEGRATED CARE BOARD</w:t>
            </w:r>
          </w:p>
        </w:tc>
        <w:tc>
          <w:tcPr>
            <w:tcW w:w="4015" w:type="dxa"/>
            <w:noWrap/>
            <w:hideMark/>
          </w:tcPr>
          <w:p w14:paraId="3A4CA74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LINCOLNSHIRE ICB - 71E</w:t>
            </w:r>
          </w:p>
        </w:tc>
        <w:tc>
          <w:tcPr>
            <w:tcW w:w="774" w:type="dxa"/>
            <w:noWrap/>
            <w:hideMark/>
          </w:tcPr>
          <w:p w14:paraId="29B9FC0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26,877</w:t>
            </w:r>
          </w:p>
        </w:tc>
        <w:tc>
          <w:tcPr>
            <w:tcW w:w="1014" w:type="dxa"/>
            <w:noWrap/>
            <w:hideMark/>
          </w:tcPr>
          <w:p w14:paraId="5F074D7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26,674</w:t>
            </w:r>
          </w:p>
        </w:tc>
        <w:tc>
          <w:tcPr>
            <w:tcW w:w="1278" w:type="dxa"/>
            <w:noWrap/>
            <w:hideMark/>
          </w:tcPr>
          <w:p w14:paraId="3633F12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99.24</w:t>
            </w:r>
          </w:p>
        </w:tc>
      </w:tr>
      <w:tr w:rsidR="002F7E95" w:rsidRPr="00C23CE7" w14:paraId="7D424B27" w14:textId="77777777" w:rsidTr="005C4CE9">
        <w:trPr>
          <w:trHeight w:val="300"/>
        </w:trPr>
        <w:tc>
          <w:tcPr>
            <w:tcW w:w="2547" w:type="dxa"/>
            <w:noWrap/>
            <w:hideMark/>
          </w:tcPr>
          <w:p w14:paraId="4514186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INTEGRATED CARE BOARD</w:t>
            </w:r>
          </w:p>
        </w:tc>
        <w:tc>
          <w:tcPr>
            <w:tcW w:w="4015" w:type="dxa"/>
            <w:noWrap/>
            <w:hideMark/>
          </w:tcPr>
          <w:p w14:paraId="2EF909A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- 06Q</w:t>
            </w:r>
          </w:p>
        </w:tc>
        <w:tc>
          <w:tcPr>
            <w:tcW w:w="774" w:type="dxa"/>
            <w:noWrap/>
            <w:hideMark/>
          </w:tcPr>
          <w:p w14:paraId="22F41B2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12,179</w:t>
            </w:r>
          </w:p>
        </w:tc>
        <w:tc>
          <w:tcPr>
            <w:tcW w:w="1014" w:type="dxa"/>
            <w:noWrap/>
            <w:hideMark/>
          </w:tcPr>
          <w:p w14:paraId="09C30FC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12,127</w:t>
            </w:r>
          </w:p>
        </w:tc>
        <w:tc>
          <w:tcPr>
            <w:tcW w:w="1278" w:type="dxa"/>
            <w:noWrap/>
            <w:hideMark/>
          </w:tcPr>
          <w:p w14:paraId="1B3FE50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99.57</w:t>
            </w:r>
          </w:p>
        </w:tc>
      </w:tr>
      <w:tr w:rsidR="002F7E95" w:rsidRPr="00C23CE7" w14:paraId="09672D03" w14:textId="77777777" w:rsidTr="005C4CE9">
        <w:trPr>
          <w:trHeight w:val="300"/>
        </w:trPr>
        <w:tc>
          <w:tcPr>
            <w:tcW w:w="2547" w:type="dxa"/>
            <w:noWrap/>
            <w:hideMark/>
          </w:tcPr>
          <w:p w14:paraId="734A22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INTEGRATED CARE BOARD</w:t>
            </w:r>
          </w:p>
        </w:tc>
        <w:tc>
          <w:tcPr>
            <w:tcW w:w="4015" w:type="dxa"/>
            <w:noWrap/>
            <w:hideMark/>
          </w:tcPr>
          <w:p w14:paraId="7E2A155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- 07G</w:t>
            </w:r>
          </w:p>
        </w:tc>
        <w:tc>
          <w:tcPr>
            <w:tcW w:w="774" w:type="dxa"/>
            <w:noWrap/>
            <w:hideMark/>
          </w:tcPr>
          <w:p w14:paraId="2F819C9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4,226</w:t>
            </w:r>
          </w:p>
        </w:tc>
        <w:tc>
          <w:tcPr>
            <w:tcW w:w="1014" w:type="dxa"/>
            <w:noWrap/>
            <w:hideMark/>
          </w:tcPr>
          <w:p w14:paraId="1A60718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4,224</w:t>
            </w:r>
          </w:p>
        </w:tc>
        <w:tc>
          <w:tcPr>
            <w:tcW w:w="1278" w:type="dxa"/>
            <w:noWrap/>
            <w:hideMark/>
          </w:tcPr>
          <w:p w14:paraId="00EFC50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1D511277" w14:textId="77777777" w:rsidTr="005C4CE9">
        <w:trPr>
          <w:trHeight w:val="300"/>
        </w:trPr>
        <w:tc>
          <w:tcPr>
            <w:tcW w:w="2547" w:type="dxa"/>
            <w:noWrap/>
            <w:hideMark/>
          </w:tcPr>
          <w:p w14:paraId="563682C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INTEGRATED CARE BOARD</w:t>
            </w:r>
          </w:p>
        </w:tc>
        <w:tc>
          <w:tcPr>
            <w:tcW w:w="4015" w:type="dxa"/>
            <w:noWrap/>
            <w:hideMark/>
          </w:tcPr>
          <w:p w14:paraId="0444554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- 99E</w:t>
            </w:r>
          </w:p>
        </w:tc>
        <w:tc>
          <w:tcPr>
            <w:tcW w:w="774" w:type="dxa"/>
            <w:noWrap/>
            <w:hideMark/>
          </w:tcPr>
          <w:p w14:paraId="4C88C8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6,710</w:t>
            </w:r>
          </w:p>
        </w:tc>
        <w:tc>
          <w:tcPr>
            <w:tcW w:w="1014" w:type="dxa"/>
            <w:noWrap/>
            <w:hideMark/>
          </w:tcPr>
          <w:p w14:paraId="3675684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6,708</w:t>
            </w:r>
          </w:p>
        </w:tc>
        <w:tc>
          <w:tcPr>
            <w:tcW w:w="1278" w:type="dxa"/>
            <w:noWrap/>
            <w:hideMark/>
          </w:tcPr>
          <w:p w14:paraId="512F440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99.97</w:t>
            </w:r>
          </w:p>
        </w:tc>
      </w:tr>
      <w:tr w:rsidR="002F7E95" w:rsidRPr="00C23CE7" w14:paraId="7E1B23A1" w14:textId="77777777" w:rsidTr="005C4CE9">
        <w:trPr>
          <w:trHeight w:val="300"/>
        </w:trPr>
        <w:tc>
          <w:tcPr>
            <w:tcW w:w="2547" w:type="dxa"/>
            <w:noWrap/>
            <w:hideMark/>
          </w:tcPr>
          <w:p w14:paraId="4A3E1DD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INTEGRATED CARE BOARD</w:t>
            </w:r>
          </w:p>
        </w:tc>
        <w:tc>
          <w:tcPr>
            <w:tcW w:w="4015" w:type="dxa"/>
            <w:noWrap/>
            <w:hideMark/>
          </w:tcPr>
          <w:p w14:paraId="4C0CC82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- 99F</w:t>
            </w:r>
          </w:p>
        </w:tc>
        <w:tc>
          <w:tcPr>
            <w:tcW w:w="774" w:type="dxa"/>
            <w:noWrap/>
            <w:hideMark/>
          </w:tcPr>
          <w:p w14:paraId="21677FB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5,142</w:t>
            </w:r>
          </w:p>
        </w:tc>
        <w:tc>
          <w:tcPr>
            <w:tcW w:w="1014" w:type="dxa"/>
            <w:noWrap/>
            <w:hideMark/>
          </w:tcPr>
          <w:p w14:paraId="1A9AAF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5,132</w:t>
            </w:r>
          </w:p>
        </w:tc>
        <w:tc>
          <w:tcPr>
            <w:tcW w:w="1278" w:type="dxa"/>
            <w:noWrap/>
            <w:hideMark/>
          </w:tcPr>
          <w:p w14:paraId="3B45C17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99.81</w:t>
            </w:r>
          </w:p>
        </w:tc>
      </w:tr>
      <w:tr w:rsidR="002F7E95" w:rsidRPr="00C23CE7" w14:paraId="320939BA" w14:textId="77777777" w:rsidTr="005C4CE9">
        <w:trPr>
          <w:trHeight w:val="300"/>
        </w:trPr>
        <w:tc>
          <w:tcPr>
            <w:tcW w:w="2547" w:type="dxa"/>
            <w:noWrap/>
            <w:hideMark/>
          </w:tcPr>
          <w:p w14:paraId="7232C2E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lastRenderedPageBreak/>
              <w:t>NHS MID AND SOUTH ESSEX INTEGRATED CARE BOARD</w:t>
            </w:r>
          </w:p>
        </w:tc>
        <w:tc>
          <w:tcPr>
            <w:tcW w:w="4015" w:type="dxa"/>
            <w:noWrap/>
            <w:hideMark/>
          </w:tcPr>
          <w:p w14:paraId="206D36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MID AND SOUTH ESSEX ICB - 99G</w:t>
            </w:r>
          </w:p>
        </w:tc>
        <w:tc>
          <w:tcPr>
            <w:tcW w:w="774" w:type="dxa"/>
            <w:noWrap/>
            <w:hideMark/>
          </w:tcPr>
          <w:p w14:paraId="18E1BFF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6,170</w:t>
            </w:r>
          </w:p>
        </w:tc>
        <w:tc>
          <w:tcPr>
            <w:tcW w:w="1014" w:type="dxa"/>
            <w:noWrap/>
            <w:hideMark/>
          </w:tcPr>
          <w:p w14:paraId="278DA58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6,164</w:t>
            </w:r>
          </w:p>
        </w:tc>
        <w:tc>
          <w:tcPr>
            <w:tcW w:w="1278" w:type="dxa"/>
            <w:noWrap/>
            <w:hideMark/>
          </w:tcPr>
          <w:p w14:paraId="00149E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w:t>
            </w:r>
          </w:p>
        </w:tc>
      </w:tr>
      <w:tr w:rsidR="002F7E95" w:rsidRPr="00C23CE7" w14:paraId="454A71B2" w14:textId="77777777" w:rsidTr="005C4CE9">
        <w:trPr>
          <w:trHeight w:val="300"/>
        </w:trPr>
        <w:tc>
          <w:tcPr>
            <w:tcW w:w="2547" w:type="dxa"/>
            <w:noWrap/>
            <w:hideMark/>
          </w:tcPr>
          <w:p w14:paraId="26F85AE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NORFOLK AND WAVENEY INTEGRATED CARE BOARD</w:t>
            </w:r>
          </w:p>
        </w:tc>
        <w:tc>
          <w:tcPr>
            <w:tcW w:w="4015" w:type="dxa"/>
            <w:noWrap/>
            <w:hideMark/>
          </w:tcPr>
          <w:p w14:paraId="20C5331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NORFOLK AND WAVENEY ICB - 26A</w:t>
            </w:r>
          </w:p>
        </w:tc>
        <w:tc>
          <w:tcPr>
            <w:tcW w:w="774" w:type="dxa"/>
            <w:noWrap/>
            <w:hideMark/>
          </w:tcPr>
          <w:p w14:paraId="48455F3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35,735</w:t>
            </w:r>
          </w:p>
        </w:tc>
        <w:tc>
          <w:tcPr>
            <w:tcW w:w="1014" w:type="dxa"/>
            <w:noWrap/>
            <w:hideMark/>
          </w:tcPr>
          <w:p w14:paraId="28623F0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35,456</w:t>
            </w:r>
          </w:p>
        </w:tc>
        <w:tc>
          <w:tcPr>
            <w:tcW w:w="1278" w:type="dxa"/>
            <w:noWrap/>
            <w:hideMark/>
          </w:tcPr>
          <w:p w14:paraId="5C18FA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99.22</w:t>
            </w:r>
          </w:p>
        </w:tc>
      </w:tr>
      <w:tr w:rsidR="002F7E95" w:rsidRPr="00C23CE7" w14:paraId="34E1805E" w14:textId="77777777" w:rsidTr="005C4CE9">
        <w:trPr>
          <w:trHeight w:val="300"/>
        </w:trPr>
        <w:tc>
          <w:tcPr>
            <w:tcW w:w="2547" w:type="dxa"/>
            <w:noWrap/>
            <w:hideMark/>
          </w:tcPr>
          <w:p w14:paraId="53F889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CENTRAL LONDON INTEGRATED CARE BOARD</w:t>
            </w:r>
          </w:p>
        </w:tc>
        <w:tc>
          <w:tcPr>
            <w:tcW w:w="4015" w:type="dxa"/>
            <w:noWrap/>
            <w:hideMark/>
          </w:tcPr>
          <w:p w14:paraId="00B89F2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CENTRAL LONDON ICB - 93C</w:t>
            </w:r>
          </w:p>
        </w:tc>
        <w:tc>
          <w:tcPr>
            <w:tcW w:w="774" w:type="dxa"/>
            <w:noWrap/>
            <w:hideMark/>
          </w:tcPr>
          <w:p w14:paraId="45BD590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20,567</w:t>
            </w:r>
          </w:p>
        </w:tc>
        <w:tc>
          <w:tcPr>
            <w:tcW w:w="1014" w:type="dxa"/>
            <w:noWrap/>
            <w:hideMark/>
          </w:tcPr>
          <w:p w14:paraId="0C0D498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20,464</w:t>
            </w:r>
          </w:p>
        </w:tc>
        <w:tc>
          <w:tcPr>
            <w:tcW w:w="1278" w:type="dxa"/>
            <w:noWrap/>
            <w:hideMark/>
          </w:tcPr>
          <w:p w14:paraId="74CB434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w:t>
            </w:r>
          </w:p>
        </w:tc>
      </w:tr>
      <w:tr w:rsidR="002F7E95" w:rsidRPr="00C23CE7" w14:paraId="3F2A7AE1" w14:textId="77777777" w:rsidTr="005C4CE9">
        <w:trPr>
          <w:trHeight w:val="300"/>
        </w:trPr>
        <w:tc>
          <w:tcPr>
            <w:tcW w:w="2547" w:type="dxa"/>
            <w:noWrap/>
            <w:hideMark/>
          </w:tcPr>
          <w:p w14:paraId="4A06742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74A4075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- 00L</w:t>
            </w:r>
          </w:p>
        </w:tc>
        <w:tc>
          <w:tcPr>
            <w:tcW w:w="774" w:type="dxa"/>
            <w:noWrap/>
            <w:hideMark/>
          </w:tcPr>
          <w:p w14:paraId="53BA6D6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10,886</w:t>
            </w:r>
          </w:p>
        </w:tc>
        <w:tc>
          <w:tcPr>
            <w:tcW w:w="1014" w:type="dxa"/>
            <w:noWrap/>
            <w:hideMark/>
          </w:tcPr>
          <w:p w14:paraId="32039EF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10,868</w:t>
            </w:r>
          </w:p>
        </w:tc>
        <w:tc>
          <w:tcPr>
            <w:tcW w:w="1278" w:type="dxa"/>
            <w:noWrap/>
            <w:hideMark/>
          </w:tcPr>
          <w:p w14:paraId="4FF683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99.83</w:t>
            </w:r>
          </w:p>
        </w:tc>
      </w:tr>
      <w:tr w:rsidR="002F7E95" w:rsidRPr="00C23CE7" w14:paraId="5A77A97B" w14:textId="77777777" w:rsidTr="005C4CE9">
        <w:trPr>
          <w:trHeight w:val="300"/>
        </w:trPr>
        <w:tc>
          <w:tcPr>
            <w:tcW w:w="2547" w:type="dxa"/>
            <w:noWrap/>
            <w:hideMark/>
          </w:tcPr>
          <w:p w14:paraId="5BB8E0C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5E951B3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- 00N</w:t>
            </w:r>
          </w:p>
        </w:tc>
        <w:tc>
          <w:tcPr>
            <w:tcW w:w="774" w:type="dxa"/>
            <w:noWrap/>
            <w:hideMark/>
          </w:tcPr>
          <w:p w14:paraId="1942322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4,131</w:t>
            </w:r>
          </w:p>
        </w:tc>
        <w:tc>
          <w:tcPr>
            <w:tcW w:w="1014" w:type="dxa"/>
            <w:noWrap/>
            <w:hideMark/>
          </w:tcPr>
          <w:p w14:paraId="1B89B5F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4,129</w:t>
            </w:r>
          </w:p>
        </w:tc>
        <w:tc>
          <w:tcPr>
            <w:tcW w:w="1278" w:type="dxa"/>
            <w:noWrap/>
            <w:hideMark/>
          </w:tcPr>
          <w:p w14:paraId="0D1785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34C07301" w14:textId="77777777" w:rsidTr="005C4CE9">
        <w:trPr>
          <w:trHeight w:val="300"/>
        </w:trPr>
        <w:tc>
          <w:tcPr>
            <w:tcW w:w="2547" w:type="dxa"/>
            <w:noWrap/>
            <w:hideMark/>
          </w:tcPr>
          <w:p w14:paraId="3BADBB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1311866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- 00P</w:t>
            </w:r>
          </w:p>
        </w:tc>
        <w:tc>
          <w:tcPr>
            <w:tcW w:w="774" w:type="dxa"/>
            <w:noWrap/>
            <w:hideMark/>
          </w:tcPr>
          <w:p w14:paraId="225D8D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8,351</w:t>
            </w:r>
          </w:p>
        </w:tc>
        <w:tc>
          <w:tcPr>
            <w:tcW w:w="1014" w:type="dxa"/>
            <w:noWrap/>
            <w:hideMark/>
          </w:tcPr>
          <w:p w14:paraId="7A1CC6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8,309</w:t>
            </w:r>
          </w:p>
        </w:tc>
        <w:tc>
          <w:tcPr>
            <w:tcW w:w="1278" w:type="dxa"/>
            <w:noWrap/>
            <w:hideMark/>
          </w:tcPr>
          <w:p w14:paraId="3CF241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99.5</w:t>
            </w:r>
          </w:p>
        </w:tc>
      </w:tr>
      <w:tr w:rsidR="002F7E95" w:rsidRPr="00C23CE7" w14:paraId="36D6E7D2" w14:textId="77777777" w:rsidTr="005C4CE9">
        <w:trPr>
          <w:trHeight w:val="300"/>
        </w:trPr>
        <w:tc>
          <w:tcPr>
            <w:tcW w:w="2547" w:type="dxa"/>
            <w:noWrap/>
            <w:hideMark/>
          </w:tcPr>
          <w:p w14:paraId="5608B82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278D218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- 01H</w:t>
            </w:r>
          </w:p>
        </w:tc>
        <w:tc>
          <w:tcPr>
            <w:tcW w:w="774" w:type="dxa"/>
            <w:noWrap/>
            <w:hideMark/>
          </w:tcPr>
          <w:p w14:paraId="6C4D34A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8,543</w:t>
            </w:r>
          </w:p>
        </w:tc>
        <w:tc>
          <w:tcPr>
            <w:tcW w:w="1014" w:type="dxa"/>
            <w:noWrap/>
            <w:hideMark/>
          </w:tcPr>
          <w:p w14:paraId="68EAC6D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8,513</w:t>
            </w:r>
          </w:p>
        </w:tc>
        <w:tc>
          <w:tcPr>
            <w:tcW w:w="1278" w:type="dxa"/>
            <w:noWrap/>
            <w:hideMark/>
          </w:tcPr>
          <w:p w14:paraId="11DBC31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99.65</w:t>
            </w:r>
          </w:p>
        </w:tc>
      </w:tr>
      <w:tr w:rsidR="002F7E95" w:rsidRPr="00C23CE7" w14:paraId="2455CE05" w14:textId="77777777" w:rsidTr="005C4CE9">
        <w:trPr>
          <w:trHeight w:val="300"/>
        </w:trPr>
        <w:tc>
          <w:tcPr>
            <w:tcW w:w="2547" w:type="dxa"/>
            <w:noWrap/>
            <w:hideMark/>
          </w:tcPr>
          <w:p w14:paraId="6D88472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201F1B5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- 13T</w:t>
            </w:r>
          </w:p>
        </w:tc>
        <w:tc>
          <w:tcPr>
            <w:tcW w:w="774" w:type="dxa"/>
            <w:noWrap/>
            <w:hideMark/>
          </w:tcPr>
          <w:p w14:paraId="646856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14,088</w:t>
            </w:r>
          </w:p>
        </w:tc>
        <w:tc>
          <w:tcPr>
            <w:tcW w:w="1014" w:type="dxa"/>
            <w:noWrap/>
            <w:hideMark/>
          </w:tcPr>
          <w:p w14:paraId="11BD306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14,071</w:t>
            </w:r>
          </w:p>
        </w:tc>
        <w:tc>
          <w:tcPr>
            <w:tcW w:w="1278" w:type="dxa"/>
            <w:noWrap/>
            <w:hideMark/>
          </w:tcPr>
          <w:p w14:paraId="21F7391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99.88</w:t>
            </w:r>
          </w:p>
        </w:tc>
      </w:tr>
      <w:tr w:rsidR="002F7E95" w:rsidRPr="00C23CE7" w14:paraId="2FCF1CA3" w14:textId="77777777" w:rsidTr="005C4CE9">
        <w:trPr>
          <w:trHeight w:val="300"/>
        </w:trPr>
        <w:tc>
          <w:tcPr>
            <w:tcW w:w="2547" w:type="dxa"/>
            <w:noWrap/>
            <w:hideMark/>
          </w:tcPr>
          <w:p w14:paraId="0ACD652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04AEE3D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- 16C</w:t>
            </w:r>
          </w:p>
        </w:tc>
        <w:tc>
          <w:tcPr>
            <w:tcW w:w="774" w:type="dxa"/>
            <w:noWrap/>
            <w:hideMark/>
          </w:tcPr>
          <w:p w14:paraId="4466571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20,299</w:t>
            </w:r>
          </w:p>
        </w:tc>
        <w:tc>
          <w:tcPr>
            <w:tcW w:w="1014" w:type="dxa"/>
            <w:noWrap/>
            <w:hideMark/>
          </w:tcPr>
          <w:p w14:paraId="2527CD7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20,296</w:t>
            </w:r>
          </w:p>
        </w:tc>
        <w:tc>
          <w:tcPr>
            <w:tcW w:w="1278" w:type="dxa"/>
            <w:noWrap/>
            <w:hideMark/>
          </w:tcPr>
          <w:p w14:paraId="0303473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99.99</w:t>
            </w:r>
          </w:p>
        </w:tc>
      </w:tr>
      <w:tr w:rsidR="002F7E95" w:rsidRPr="00C23CE7" w14:paraId="3401BC80" w14:textId="77777777" w:rsidTr="005C4CE9">
        <w:trPr>
          <w:trHeight w:val="300"/>
        </w:trPr>
        <w:tc>
          <w:tcPr>
            <w:tcW w:w="2547" w:type="dxa"/>
            <w:noWrap/>
            <w:hideMark/>
          </w:tcPr>
          <w:p w14:paraId="378A5A0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51ACB3F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- 84H</w:t>
            </w:r>
          </w:p>
        </w:tc>
        <w:tc>
          <w:tcPr>
            <w:tcW w:w="774" w:type="dxa"/>
            <w:noWrap/>
            <w:hideMark/>
          </w:tcPr>
          <w:p w14:paraId="698089A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15,899</w:t>
            </w:r>
          </w:p>
        </w:tc>
        <w:tc>
          <w:tcPr>
            <w:tcW w:w="1014" w:type="dxa"/>
            <w:noWrap/>
            <w:hideMark/>
          </w:tcPr>
          <w:p w14:paraId="032EC39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15,884</w:t>
            </w:r>
          </w:p>
        </w:tc>
        <w:tc>
          <w:tcPr>
            <w:tcW w:w="1278" w:type="dxa"/>
            <w:noWrap/>
            <w:hideMark/>
          </w:tcPr>
          <w:p w14:paraId="341210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65B4FF91" w14:textId="77777777" w:rsidTr="005C4CE9">
        <w:trPr>
          <w:trHeight w:val="300"/>
        </w:trPr>
        <w:tc>
          <w:tcPr>
            <w:tcW w:w="2547" w:type="dxa"/>
            <w:noWrap/>
            <w:hideMark/>
          </w:tcPr>
          <w:p w14:paraId="41A9444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INTEGRATED CARE BOARD</w:t>
            </w:r>
          </w:p>
        </w:tc>
        <w:tc>
          <w:tcPr>
            <w:tcW w:w="4015" w:type="dxa"/>
            <w:noWrap/>
            <w:hideMark/>
          </w:tcPr>
          <w:p w14:paraId="15AE3AF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AND NORTH CUMBRIA ICB - 99C</w:t>
            </w:r>
          </w:p>
        </w:tc>
        <w:tc>
          <w:tcPr>
            <w:tcW w:w="774" w:type="dxa"/>
            <w:noWrap/>
            <w:hideMark/>
          </w:tcPr>
          <w:p w14:paraId="58187B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6,416</w:t>
            </w:r>
          </w:p>
        </w:tc>
        <w:tc>
          <w:tcPr>
            <w:tcW w:w="1014" w:type="dxa"/>
            <w:noWrap/>
            <w:hideMark/>
          </w:tcPr>
          <w:p w14:paraId="3E49CD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6,382</w:t>
            </w:r>
          </w:p>
        </w:tc>
        <w:tc>
          <w:tcPr>
            <w:tcW w:w="1278" w:type="dxa"/>
            <w:noWrap/>
            <w:hideMark/>
          </w:tcPr>
          <w:p w14:paraId="306D21C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99.47</w:t>
            </w:r>
          </w:p>
        </w:tc>
      </w:tr>
      <w:tr w:rsidR="002F7E95" w:rsidRPr="00C23CE7" w14:paraId="2CD02F70" w14:textId="77777777" w:rsidTr="005C4CE9">
        <w:trPr>
          <w:trHeight w:val="300"/>
        </w:trPr>
        <w:tc>
          <w:tcPr>
            <w:tcW w:w="2547" w:type="dxa"/>
            <w:noWrap/>
            <w:hideMark/>
          </w:tcPr>
          <w:p w14:paraId="6BBD53A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LONDON INTEGRATED CARE BOARD</w:t>
            </w:r>
          </w:p>
        </w:tc>
        <w:tc>
          <w:tcPr>
            <w:tcW w:w="4015" w:type="dxa"/>
            <w:noWrap/>
            <w:hideMark/>
          </w:tcPr>
          <w:p w14:paraId="594063F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EAST LONDON ICB - A3A8R</w:t>
            </w:r>
          </w:p>
        </w:tc>
        <w:tc>
          <w:tcPr>
            <w:tcW w:w="774" w:type="dxa"/>
            <w:noWrap/>
            <w:hideMark/>
          </w:tcPr>
          <w:p w14:paraId="16491E8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28,526</w:t>
            </w:r>
          </w:p>
        </w:tc>
        <w:tc>
          <w:tcPr>
            <w:tcW w:w="1014" w:type="dxa"/>
            <w:noWrap/>
            <w:hideMark/>
          </w:tcPr>
          <w:p w14:paraId="0E25FD2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28,456</w:t>
            </w:r>
          </w:p>
        </w:tc>
        <w:tc>
          <w:tcPr>
            <w:tcW w:w="1278" w:type="dxa"/>
            <w:noWrap/>
            <w:hideMark/>
          </w:tcPr>
          <w:p w14:paraId="626DE3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99.75</w:t>
            </w:r>
          </w:p>
        </w:tc>
      </w:tr>
      <w:tr w:rsidR="002F7E95" w:rsidRPr="00C23CE7" w14:paraId="28676DAD" w14:textId="77777777" w:rsidTr="005C4CE9">
        <w:trPr>
          <w:trHeight w:val="300"/>
        </w:trPr>
        <w:tc>
          <w:tcPr>
            <w:tcW w:w="2547" w:type="dxa"/>
            <w:noWrap/>
            <w:hideMark/>
          </w:tcPr>
          <w:p w14:paraId="49B89C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WEST LONDON INTEGRATED CARE BOARD</w:t>
            </w:r>
          </w:p>
        </w:tc>
        <w:tc>
          <w:tcPr>
            <w:tcW w:w="4015" w:type="dxa"/>
            <w:noWrap/>
            <w:hideMark/>
          </w:tcPr>
          <w:p w14:paraId="4A69F82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 WEST LONDON ICB - W2U3Z</w:t>
            </w:r>
          </w:p>
        </w:tc>
        <w:tc>
          <w:tcPr>
            <w:tcW w:w="774" w:type="dxa"/>
            <w:noWrap/>
            <w:hideMark/>
          </w:tcPr>
          <w:p w14:paraId="5E6112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28,037</w:t>
            </w:r>
          </w:p>
        </w:tc>
        <w:tc>
          <w:tcPr>
            <w:tcW w:w="1014" w:type="dxa"/>
            <w:noWrap/>
            <w:hideMark/>
          </w:tcPr>
          <w:p w14:paraId="4D187CB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27,934</w:t>
            </w:r>
          </w:p>
        </w:tc>
        <w:tc>
          <w:tcPr>
            <w:tcW w:w="1278" w:type="dxa"/>
            <w:noWrap/>
            <w:hideMark/>
          </w:tcPr>
          <w:p w14:paraId="3F75E1E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99.63</w:t>
            </w:r>
          </w:p>
        </w:tc>
      </w:tr>
      <w:tr w:rsidR="002F7E95" w:rsidRPr="00C23CE7" w14:paraId="574974CC" w14:textId="77777777" w:rsidTr="005C4CE9">
        <w:trPr>
          <w:trHeight w:val="300"/>
        </w:trPr>
        <w:tc>
          <w:tcPr>
            <w:tcW w:w="2547" w:type="dxa"/>
            <w:noWrap/>
            <w:hideMark/>
          </w:tcPr>
          <w:p w14:paraId="22E73FC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NORTHAMPTONSHIRE INTEGRATED CARE BOARD</w:t>
            </w:r>
          </w:p>
        </w:tc>
        <w:tc>
          <w:tcPr>
            <w:tcW w:w="4015" w:type="dxa"/>
            <w:noWrap/>
            <w:hideMark/>
          </w:tcPr>
          <w:p w14:paraId="1C862BB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NORTHAMPTONSHIRE ICB - 78H</w:t>
            </w:r>
          </w:p>
        </w:tc>
        <w:tc>
          <w:tcPr>
            <w:tcW w:w="774" w:type="dxa"/>
            <w:noWrap/>
            <w:hideMark/>
          </w:tcPr>
          <w:p w14:paraId="624768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20,555</w:t>
            </w:r>
          </w:p>
        </w:tc>
        <w:tc>
          <w:tcPr>
            <w:tcW w:w="1014" w:type="dxa"/>
            <w:noWrap/>
            <w:hideMark/>
          </w:tcPr>
          <w:p w14:paraId="688623A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20,046</w:t>
            </w:r>
          </w:p>
        </w:tc>
        <w:tc>
          <w:tcPr>
            <w:tcW w:w="1278" w:type="dxa"/>
            <w:noWrap/>
            <w:hideMark/>
          </w:tcPr>
          <w:p w14:paraId="7D12DA3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97.52</w:t>
            </w:r>
          </w:p>
        </w:tc>
      </w:tr>
      <w:tr w:rsidR="002F7E95" w:rsidRPr="00C23CE7" w14:paraId="60B6E6B5" w14:textId="77777777" w:rsidTr="005C4CE9">
        <w:trPr>
          <w:trHeight w:val="300"/>
        </w:trPr>
        <w:tc>
          <w:tcPr>
            <w:tcW w:w="2547" w:type="dxa"/>
            <w:noWrap/>
            <w:hideMark/>
          </w:tcPr>
          <w:p w14:paraId="38129E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NOTTINGHAM AND NOTTINGHAMSHIRE INTEGRATED CARE BOARD</w:t>
            </w:r>
          </w:p>
        </w:tc>
        <w:tc>
          <w:tcPr>
            <w:tcW w:w="4015" w:type="dxa"/>
            <w:noWrap/>
            <w:hideMark/>
          </w:tcPr>
          <w:p w14:paraId="3D5C959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NOTTINGHAM AND NOTTINGHAMSHIRE ICB - 02Q</w:t>
            </w:r>
          </w:p>
        </w:tc>
        <w:tc>
          <w:tcPr>
            <w:tcW w:w="774" w:type="dxa"/>
            <w:noWrap/>
            <w:hideMark/>
          </w:tcPr>
          <w:p w14:paraId="23E40C3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3,733</w:t>
            </w:r>
          </w:p>
        </w:tc>
        <w:tc>
          <w:tcPr>
            <w:tcW w:w="1014" w:type="dxa"/>
            <w:noWrap/>
            <w:hideMark/>
          </w:tcPr>
          <w:p w14:paraId="7EB64B1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3,731</w:t>
            </w:r>
          </w:p>
        </w:tc>
        <w:tc>
          <w:tcPr>
            <w:tcW w:w="1278" w:type="dxa"/>
            <w:noWrap/>
            <w:hideMark/>
          </w:tcPr>
          <w:p w14:paraId="326B7D6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4F8A5CAE" w14:textId="77777777" w:rsidTr="005C4CE9">
        <w:trPr>
          <w:trHeight w:val="300"/>
        </w:trPr>
        <w:tc>
          <w:tcPr>
            <w:tcW w:w="2547" w:type="dxa"/>
            <w:noWrap/>
            <w:hideMark/>
          </w:tcPr>
          <w:p w14:paraId="63BD851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NOTTINGHAM AND NOTTINGHAMSHIRE INTEGRATED CARE BOARD</w:t>
            </w:r>
          </w:p>
        </w:tc>
        <w:tc>
          <w:tcPr>
            <w:tcW w:w="4015" w:type="dxa"/>
            <w:noWrap/>
            <w:hideMark/>
          </w:tcPr>
          <w:p w14:paraId="78A8C82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NOTTINGHAM AND NOTTINGHAMSHIRE ICB - 52R</w:t>
            </w:r>
          </w:p>
        </w:tc>
        <w:tc>
          <w:tcPr>
            <w:tcW w:w="774" w:type="dxa"/>
            <w:noWrap/>
            <w:hideMark/>
          </w:tcPr>
          <w:p w14:paraId="7E1394D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23,665</w:t>
            </w:r>
          </w:p>
        </w:tc>
        <w:tc>
          <w:tcPr>
            <w:tcW w:w="1014" w:type="dxa"/>
            <w:noWrap/>
            <w:hideMark/>
          </w:tcPr>
          <w:p w14:paraId="50414A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23,610</w:t>
            </w:r>
          </w:p>
        </w:tc>
        <w:tc>
          <w:tcPr>
            <w:tcW w:w="1278" w:type="dxa"/>
            <w:noWrap/>
            <w:hideMark/>
          </w:tcPr>
          <w:p w14:paraId="73E266B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99.77</w:t>
            </w:r>
          </w:p>
        </w:tc>
      </w:tr>
      <w:tr w:rsidR="002F7E95" w:rsidRPr="00C23CE7" w14:paraId="4BB9157A" w14:textId="77777777" w:rsidTr="005C4CE9">
        <w:trPr>
          <w:trHeight w:val="300"/>
        </w:trPr>
        <w:tc>
          <w:tcPr>
            <w:tcW w:w="2547" w:type="dxa"/>
            <w:noWrap/>
            <w:hideMark/>
          </w:tcPr>
          <w:p w14:paraId="0A126B0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SHROPSHIRE, TELFORD AND WREKIN INTEGRATED CARE BOARD</w:t>
            </w:r>
          </w:p>
        </w:tc>
        <w:tc>
          <w:tcPr>
            <w:tcW w:w="4015" w:type="dxa"/>
            <w:noWrap/>
            <w:hideMark/>
          </w:tcPr>
          <w:p w14:paraId="7FA0FA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SHROPSHIRE, TELFORD AND WREKIN ICB - M2L0M</w:t>
            </w:r>
          </w:p>
        </w:tc>
        <w:tc>
          <w:tcPr>
            <w:tcW w:w="774" w:type="dxa"/>
            <w:noWrap/>
            <w:hideMark/>
          </w:tcPr>
          <w:p w14:paraId="5DB156D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15,810</w:t>
            </w:r>
          </w:p>
        </w:tc>
        <w:tc>
          <w:tcPr>
            <w:tcW w:w="1014" w:type="dxa"/>
            <w:noWrap/>
            <w:hideMark/>
          </w:tcPr>
          <w:p w14:paraId="775D519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15,474</w:t>
            </w:r>
          </w:p>
        </w:tc>
        <w:tc>
          <w:tcPr>
            <w:tcW w:w="1278" w:type="dxa"/>
            <w:noWrap/>
            <w:hideMark/>
          </w:tcPr>
          <w:p w14:paraId="521005B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97.87</w:t>
            </w:r>
          </w:p>
        </w:tc>
      </w:tr>
      <w:tr w:rsidR="002F7E95" w:rsidRPr="00C23CE7" w14:paraId="6C4BFB2B" w14:textId="77777777" w:rsidTr="005C4CE9">
        <w:trPr>
          <w:trHeight w:val="300"/>
        </w:trPr>
        <w:tc>
          <w:tcPr>
            <w:tcW w:w="2547" w:type="dxa"/>
            <w:noWrap/>
            <w:hideMark/>
          </w:tcPr>
          <w:p w14:paraId="1679BFC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SOMERSET INTEGRATED CARE BOARD</w:t>
            </w:r>
          </w:p>
        </w:tc>
        <w:tc>
          <w:tcPr>
            <w:tcW w:w="4015" w:type="dxa"/>
            <w:noWrap/>
            <w:hideMark/>
          </w:tcPr>
          <w:p w14:paraId="57BF736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SOMERSET ICB - 11X</w:t>
            </w:r>
          </w:p>
        </w:tc>
        <w:tc>
          <w:tcPr>
            <w:tcW w:w="774" w:type="dxa"/>
            <w:noWrap/>
            <w:hideMark/>
          </w:tcPr>
          <w:p w14:paraId="66BA6F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18,090</w:t>
            </w:r>
          </w:p>
        </w:tc>
        <w:tc>
          <w:tcPr>
            <w:tcW w:w="1014" w:type="dxa"/>
            <w:noWrap/>
            <w:hideMark/>
          </w:tcPr>
          <w:p w14:paraId="1966FA4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18,074</w:t>
            </w:r>
          </w:p>
        </w:tc>
        <w:tc>
          <w:tcPr>
            <w:tcW w:w="1278" w:type="dxa"/>
            <w:noWrap/>
            <w:hideMark/>
          </w:tcPr>
          <w:p w14:paraId="1E9C469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61ECF7FF" w14:textId="77777777" w:rsidTr="005C4CE9">
        <w:trPr>
          <w:trHeight w:val="300"/>
        </w:trPr>
        <w:tc>
          <w:tcPr>
            <w:tcW w:w="2547" w:type="dxa"/>
            <w:noWrap/>
            <w:hideMark/>
          </w:tcPr>
          <w:p w14:paraId="39EFA04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EAST LONDON INTEGRATED CARE BOARD</w:t>
            </w:r>
          </w:p>
        </w:tc>
        <w:tc>
          <w:tcPr>
            <w:tcW w:w="4015" w:type="dxa"/>
            <w:noWrap/>
            <w:hideMark/>
          </w:tcPr>
          <w:p w14:paraId="38E5713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EAST LONDON ICB - 72Q</w:t>
            </w:r>
          </w:p>
        </w:tc>
        <w:tc>
          <w:tcPr>
            <w:tcW w:w="774" w:type="dxa"/>
            <w:noWrap/>
            <w:hideMark/>
          </w:tcPr>
          <w:p w14:paraId="5535B44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24,592</w:t>
            </w:r>
          </w:p>
        </w:tc>
        <w:tc>
          <w:tcPr>
            <w:tcW w:w="1014" w:type="dxa"/>
            <w:noWrap/>
            <w:hideMark/>
          </w:tcPr>
          <w:p w14:paraId="0853064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24,569</w:t>
            </w:r>
          </w:p>
        </w:tc>
        <w:tc>
          <w:tcPr>
            <w:tcW w:w="1278" w:type="dxa"/>
            <w:noWrap/>
            <w:hideMark/>
          </w:tcPr>
          <w:p w14:paraId="74259C6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510CD488" w14:textId="77777777" w:rsidTr="005C4CE9">
        <w:trPr>
          <w:trHeight w:val="300"/>
        </w:trPr>
        <w:tc>
          <w:tcPr>
            <w:tcW w:w="2547" w:type="dxa"/>
            <w:noWrap/>
            <w:hideMark/>
          </w:tcPr>
          <w:p w14:paraId="5AF2EBD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WEST LONDON INTEGRATED CARE BOARD</w:t>
            </w:r>
          </w:p>
        </w:tc>
        <w:tc>
          <w:tcPr>
            <w:tcW w:w="4015" w:type="dxa"/>
            <w:noWrap/>
            <w:hideMark/>
          </w:tcPr>
          <w:p w14:paraId="344EA12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WEST LONDON ICB - 36L</w:t>
            </w:r>
          </w:p>
        </w:tc>
        <w:tc>
          <w:tcPr>
            <w:tcW w:w="774" w:type="dxa"/>
            <w:noWrap/>
            <w:hideMark/>
          </w:tcPr>
          <w:p w14:paraId="4788126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22,853</w:t>
            </w:r>
          </w:p>
        </w:tc>
        <w:tc>
          <w:tcPr>
            <w:tcW w:w="1014" w:type="dxa"/>
            <w:noWrap/>
            <w:hideMark/>
          </w:tcPr>
          <w:p w14:paraId="4A37DC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22,013</w:t>
            </w:r>
          </w:p>
        </w:tc>
        <w:tc>
          <w:tcPr>
            <w:tcW w:w="1278" w:type="dxa"/>
            <w:noWrap/>
            <w:hideMark/>
          </w:tcPr>
          <w:p w14:paraId="5C15F2B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96.32</w:t>
            </w:r>
          </w:p>
        </w:tc>
      </w:tr>
      <w:tr w:rsidR="002F7E95" w:rsidRPr="00C23CE7" w14:paraId="49ADE30B" w14:textId="77777777" w:rsidTr="005C4CE9">
        <w:trPr>
          <w:trHeight w:val="300"/>
        </w:trPr>
        <w:tc>
          <w:tcPr>
            <w:tcW w:w="2547" w:type="dxa"/>
            <w:noWrap/>
            <w:hideMark/>
          </w:tcPr>
          <w:p w14:paraId="744249E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INTEGRATED CARE BOARD</w:t>
            </w:r>
          </w:p>
        </w:tc>
        <w:tc>
          <w:tcPr>
            <w:tcW w:w="4015" w:type="dxa"/>
            <w:noWrap/>
            <w:hideMark/>
          </w:tcPr>
          <w:p w14:paraId="2E19533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ICB - 02P</w:t>
            </w:r>
          </w:p>
        </w:tc>
        <w:tc>
          <w:tcPr>
            <w:tcW w:w="774" w:type="dxa"/>
            <w:noWrap/>
            <w:hideMark/>
          </w:tcPr>
          <w:p w14:paraId="1C9974D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7,985</w:t>
            </w:r>
          </w:p>
        </w:tc>
        <w:tc>
          <w:tcPr>
            <w:tcW w:w="1014" w:type="dxa"/>
            <w:noWrap/>
            <w:hideMark/>
          </w:tcPr>
          <w:p w14:paraId="46232CA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7,964</w:t>
            </w:r>
          </w:p>
        </w:tc>
        <w:tc>
          <w:tcPr>
            <w:tcW w:w="1278" w:type="dxa"/>
            <w:noWrap/>
            <w:hideMark/>
          </w:tcPr>
          <w:p w14:paraId="4E73C08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99.74</w:t>
            </w:r>
          </w:p>
        </w:tc>
      </w:tr>
      <w:tr w:rsidR="002F7E95" w:rsidRPr="00C23CE7" w14:paraId="2A804F83" w14:textId="77777777" w:rsidTr="005C4CE9">
        <w:trPr>
          <w:trHeight w:val="300"/>
        </w:trPr>
        <w:tc>
          <w:tcPr>
            <w:tcW w:w="2547" w:type="dxa"/>
            <w:noWrap/>
            <w:hideMark/>
          </w:tcPr>
          <w:p w14:paraId="2EEBFB5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INTEGRATED CARE BOARD</w:t>
            </w:r>
          </w:p>
        </w:tc>
        <w:tc>
          <w:tcPr>
            <w:tcW w:w="4015" w:type="dxa"/>
            <w:noWrap/>
            <w:hideMark/>
          </w:tcPr>
          <w:p w14:paraId="2E15B9A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ICB - 02X</w:t>
            </w:r>
          </w:p>
        </w:tc>
        <w:tc>
          <w:tcPr>
            <w:tcW w:w="774" w:type="dxa"/>
            <w:noWrap/>
            <w:hideMark/>
          </w:tcPr>
          <w:p w14:paraId="12802A5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11,124</w:t>
            </w:r>
          </w:p>
        </w:tc>
        <w:tc>
          <w:tcPr>
            <w:tcW w:w="1014" w:type="dxa"/>
            <w:noWrap/>
            <w:hideMark/>
          </w:tcPr>
          <w:p w14:paraId="59E509F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11,122</w:t>
            </w:r>
          </w:p>
        </w:tc>
        <w:tc>
          <w:tcPr>
            <w:tcW w:w="1278" w:type="dxa"/>
            <w:noWrap/>
            <w:hideMark/>
          </w:tcPr>
          <w:p w14:paraId="42BB678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99.98</w:t>
            </w:r>
          </w:p>
        </w:tc>
      </w:tr>
      <w:tr w:rsidR="002F7E95" w:rsidRPr="00C23CE7" w14:paraId="3439D122" w14:textId="77777777" w:rsidTr="005C4CE9">
        <w:trPr>
          <w:trHeight w:val="300"/>
        </w:trPr>
        <w:tc>
          <w:tcPr>
            <w:tcW w:w="2547" w:type="dxa"/>
            <w:noWrap/>
            <w:hideMark/>
          </w:tcPr>
          <w:p w14:paraId="17770C6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INTEGRATED CARE BOARD</w:t>
            </w:r>
          </w:p>
        </w:tc>
        <w:tc>
          <w:tcPr>
            <w:tcW w:w="4015" w:type="dxa"/>
            <w:noWrap/>
            <w:hideMark/>
          </w:tcPr>
          <w:p w14:paraId="4D23FE5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ICB - 03L</w:t>
            </w:r>
          </w:p>
        </w:tc>
        <w:tc>
          <w:tcPr>
            <w:tcW w:w="774" w:type="dxa"/>
            <w:noWrap/>
            <w:hideMark/>
          </w:tcPr>
          <w:p w14:paraId="78E16CE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7,449</w:t>
            </w:r>
          </w:p>
        </w:tc>
        <w:tc>
          <w:tcPr>
            <w:tcW w:w="1014" w:type="dxa"/>
            <w:noWrap/>
            <w:hideMark/>
          </w:tcPr>
          <w:p w14:paraId="7B1AD7B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7,445</w:t>
            </w:r>
          </w:p>
        </w:tc>
        <w:tc>
          <w:tcPr>
            <w:tcW w:w="1278" w:type="dxa"/>
            <w:noWrap/>
            <w:hideMark/>
          </w:tcPr>
          <w:p w14:paraId="4FD1872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99.95</w:t>
            </w:r>
          </w:p>
        </w:tc>
      </w:tr>
      <w:tr w:rsidR="002F7E95" w:rsidRPr="00C23CE7" w14:paraId="46003736" w14:textId="77777777" w:rsidTr="005C4CE9">
        <w:trPr>
          <w:trHeight w:val="300"/>
        </w:trPr>
        <w:tc>
          <w:tcPr>
            <w:tcW w:w="2547" w:type="dxa"/>
            <w:noWrap/>
            <w:hideMark/>
          </w:tcPr>
          <w:p w14:paraId="2918DE8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INTEGRATED CARE BOARD</w:t>
            </w:r>
          </w:p>
        </w:tc>
        <w:tc>
          <w:tcPr>
            <w:tcW w:w="4015" w:type="dxa"/>
            <w:noWrap/>
            <w:hideMark/>
          </w:tcPr>
          <w:p w14:paraId="3A1D4D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SOUTH YORKSHIRE ICB - 03N</w:t>
            </w:r>
          </w:p>
        </w:tc>
        <w:tc>
          <w:tcPr>
            <w:tcW w:w="774" w:type="dxa"/>
            <w:noWrap/>
            <w:hideMark/>
          </w:tcPr>
          <w:p w14:paraId="11383E5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17,984</w:t>
            </w:r>
          </w:p>
        </w:tc>
        <w:tc>
          <w:tcPr>
            <w:tcW w:w="1014" w:type="dxa"/>
            <w:noWrap/>
            <w:hideMark/>
          </w:tcPr>
          <w:p w14:paraId="35BC0DB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17,887</w:t>
            </w:r>
          </w:p>
        </w:tc>
        <w:tc>
          <w:tcPr>
            <w:tcW w:w="1278" w:type="dxa"/>
            <w:noWrap/>
            <w:hideMark/>
          </w:tcPr>
          <w:p w14:paraId="0A67AA6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99.46</w:t>
            </w:r>
          </w:p>
        </w:tc>
      </w:tr>
      <w:tr w:rsidR="002F7E95" w:rsidRPr="00C23CE7" w14:paraId="2CFB6C73" w14:textId="77777777" w:rsidTr="005C4CE9">
        <w:trPr>
          <w:trHeight w:val="300"/>
        </w:trPr>
        <w:tc>
          <w:tcPr>
            <w:tcW w:w="2547" w:type="dxa"/>
            <w:noWrap/>
            <w:hideMark/>
          </w:tcPr>
          <w:p w14:paraId="1152E2A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33CD871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- 04Y</w:t>
            </w:r>
          </w:p>
        </w:tc>
        <w:tc>
          <w:tcPr>
            <w:tcW w:w="774" w:type="dxa"/>
            <w:noWrap/>
            <w:hideMark/>
          </w:tcPr>
          <w:p w14:paraId="6EC5660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4,977</w:t>
            </w:r>
          </w:p>
        </w:tc>
        <w:tc>
          <w:tcPr>
            <w:tcW w:w="1014" w:type="dxa"/>
            <w:noWrap/>
            <w:hideMark/>
          </w:tcPr>
          <w:p w14:paraId="25E9375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4,971</w:t>
            </w:r>
          </w:p>
        </w:tc>
        <w:tc>
          <w:tcPr>
            <w:tcW w:w="1278" w:type="dxa"/>
            <w:noWrap/>
            <w:hideMark/>
          </w:tcPr>
          <w:p w14:paraId="7EFC37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99.88</w:t>
            </w:r>
          </w:p>
        </w:tc>
      </w:tr>
      <w:tr w:rsidR="002F7E95" w:rsidRPr="00C23CE7" w14:paraId="348B1983" w14:textId="77777777" w:rsidTr="005C4CE9">
        <w:trPr>
          <w:trHeight w:val="300"/>
        </w:trPr>
        <w:tc>
          <w:tcPr>
            <w:tcW w:w="2547" w:type="dxa"/>
            <w:noWrap/>
            <w:hideMark/>
          </w:tcPr>
          <w:p w14:paraId="447C455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lastRenderedPageBreak/>
              <w:t>NHS STAFFORDSHIRE AND STOKE-ON-TRENT INTEGRATED CARE BOARD</w:t>
            </w:r>
          </w:p>
        </w:tc>
        <w:tc>
          <w:tcPr>
            <w:tcW w:w="4015" w:type="dxa"/>
            <w:noWrap/>
            <w:hideMark/>
          </w:tcPr>
          <w:p w14:paraId="6E7C814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- 05D</w:t>
            </w:r>
          </w:p>
        </w:tc>
        <w:tc>
          <w:tcPr>
            <w:tcW w:w="774" w:type="dxa"/>
            <w:noWrap/>
            <w:hideMark/>
          </w:tcPr>
          <w:p w14:paraId="397871D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3,157</w:t>
            </w:r>
          </w:p>
        </w:tc>
        <w:tc>
          <w:tcPr>
            <w:tcW w:w="1014" w:type="dxa"/>
            <w:noWrap/>
            <w:hideMark/>
          </w:tcPr>
          <w:p w14:paraId="5CB4E28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3,151</w:t>
            </w:r>
          </w:p>
        </w:tc>
        <w:tc>
          <w:tcPr>
            <w:tcW w:w="1278" w:type="dxa"/>
            <w:noWrap/>
            <w:hideMark/>
          </w:tcPr>
          <w:p w14:paraId="22626A0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99.81</w:t>
            </w:r>
          </w:p>
        </w:tc>
      </w:tr>
      <w:tr w:rsidR="002F7E95" w:rsidRPr="00C23CE7" w14:paraId="28AF46F4" w14:textId="77777777" w:rsidTr="005C4CE9">
        <w:trPr>
          <w:trHeight w:val="300"/>
        </w:trPr>
        <w:tc>
          <w:tcPr>
            <w:tcW w:w="2547" w:type="dxa"/>
            <w:noWrap/>
            <w:hideMark/>
          </w:tcPr>
          <w:p w14:paraId="575E978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62E8B15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- 05G</w:t>
            </w:r>
          </w:p>
        </w:tc>
        <w:tc>
          <w:tcPr>
            <w:tcW w:w="774" w:type="dxa"/>
            <w:noWrap/>
            <w:hideMark/>
          </w:tcPr>
          <w:p w14:paraId="13E874D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7,513</w:t>
            </w:r>
          </w:p>
        </w:tc>
        <w:tc>
          <w:tcPr>
            <w:tcW w:w="1014" w:type="dxa"/>
            <w:noWrap/>
            <w:hideMark/>
          </w:tcPr>
          <w:p w14:paraId="57D7C10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7,513</w:t>
            </w:r>
          </w:p>
        </w:tc>
        <w:tc>
          <w:tcPr>
            <w:tcW w:w="1278" w:type="dxa"/>
            <w:noWrap/>
            <w:hideMark/>
          </w:tcPr>
          <w:p w14:paraId="0B14669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100</w:t>
            </w:r>
          </w:p>
        </w:tc>
      </w:tr>
      <w:tr w:rsidR="002F7E95" w:rsidRPr="00C23CE7" w14:paraId="728BEA63" w14:textId="77777777" w:rsidTr="005C4CE9">
        <w:trPr>
          <w:trHeight w:val="300"/>
        </w:trPr>
        <w:tc>
          <w:tcPr>
            <w:tcW w:w="2547" w:type="dxa"/>
            <w:noWrap/>
            <w:hideMark/>
          </w:tcPr>
          <w:p w14:paraId="6741D1A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631524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- 05Q</w:t>
            </w:r>
          </w:p>
        </w:tc>
        <w:tc>
          <w:tcPr>
            <w:tcW w:w="774" w:type="dxa"/>
            <w:noWrap/>
            <w:hideMark/>
          </w:tcPr>
          <w:p w14:paraId="3D17B06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6,812</w:t>
            </w:r>
          </w:p>
        </w:tc>
        <w:tc>
          <w:tcPr>
            <w:tcW w:w="1014" w:type="dxa"/>
            <w:noWrap/>
            <w:hideMark/>
          </w:tcPr>
          <w:p w14:paraId="50D70B8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6,800</w:t>
            </w:r>
          </w:p>
        </w:tc>
        <w:tc>
          <w:tcPr>
            <w:tcW w:w="1278" w:type="dxa"/>
            <w:noWrap/>
            <w:hideMark/>
          </w:tcPr>
          <w:p w14:paraId="64E2F98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99.82</w:t>
            </w:r>
          </w:p>
        </w:tc>
      </w:tr>
      <w:tr w:rsidR="002F7E95" w:rsidRPr="00C23CE7" w14:paraId="46DFA4F0" w14:textId="77777777" w:rsidTr="005C4CE9">
        <w:trPr>
          <w:trHeight w:val="300"/>
        </w:trPr>
        <w:tc>
          <w:tcPr>
            <w:tcW w:w="2547" w:type="dxa"/>
            <w:noWrap/>
            <w:hideMark/>
          </w:tcPr>
          <w:p w14:paraId="7CABCE3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66126CA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- 05V</w:t>
            </w:r>
          </w:p>
        </w:tc>
        <w:tc>
          <w:tcPr>
            <w:tcW w:w="774" w:type="dxa"/>
            <w:noWrap/>
            <w:hideMark/>
          </w:tcPr>
          <w:p w14:paraId="6BDEC1F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5,609</w:t>
            </w:r>
          </w:p>
        </w:tc>
        <w:tc>
          <w:tcPr>
            <w:tcW w:w="1014" w:type="dxa"/>
            <w:noWrap/>
            <w:hideMark/>
          </w:tcPr>
          <w:p w14:paraId="5BC515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5,589</w:t>
            </w:r>
          </w:p>
        </w:tc>
        <w:tc>
          <w:tcPr>
            <w:tcW w:w="1278" w:type="dxa"/>
            <w:noWrap/>
            <w:hideMark/>
          </w:tcPr>
          <w:p w14:paraId="32C83D2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99.64</w:t>
            </w:r>
          </w:p>
        </w:tc>
      </w:tr>
      <w:tr w:rsidR="002F7E95" w:rsidRPr="00C23CE7" w14:paraId="4104EBC7" w14:textId="77777777" w:rsidTr="005C4CE9">
        <w:trPr>
          <w:trHeight w:val="300"/>
        </w:trPr>
        <w:tc>
          <w:tcPr>
            <w:tcW w:w="2547" w:type="dxa"/>
            <w:noWrap/>
            <w:hideMark/>
          </w:tcPr>
          <w:p w14:paraId="0CC770D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INTEGRATED CARE BOARD</w:t>
            </w:r>
          </w:p>
        </w:tc>
        <w:tc>
          <w:tcPr>
            <w:tcW w:w="4015" w:type="dxa"/>
            <w:noWrap/>
            <w:hideMark/>
          </w:tcPr>
          <w:p w14:paraId="5A41BA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STAFFORDSHIRE AND STOKE-ON-TRENT ICB - 05W</w:t>
            </w:r>
          </w:p>
        </w:tc>
        <w:tc>
          <w:tcPr>
            <w:tcW w:w="774" w:type="dxa"/>
            <w:noWrap/>
            <w:hideMark/>
          </w:tcPr>
          <w:p w14:paraId="26A7651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7,714</w:t>
            </w:r>
          </w:p>
        </w:tc>
        <w:tc>
          <w:tcPr>
            <w:tcW w:w="1014" w:type="dxa"/>
            <w:noWrap/>
            <w:hideMark/>
          </w:tcPr>
          <w:p w14:paraId="7EDE2CC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7,711</w:t>
            </w:r>
          </w:p>
        </w:tc>
        <w:tc>
          <w:tcPr>
            <w:tcW w:w="1278" w:type="dxa"/>
            <w:noWrap/>
            <w:hideMark/>
          </w:tcPr>
          <w:p w14:paraId="2C6886B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99.96</w:t>
            </w:r>
          </w:p>
        </w:tc>
      </w:tr>
      <w:tr w:rsidR="002F7E95" w:rsidRPr="00C23CE7" w14:paraId="067A42DA" w14:textId="77777777" w:rsidTr="005C4CE9">
        <w:trPr>
          <w:trHeight w:val="300"/>
        </w:trPr>
        <w:tc>
          <w:tcPr>
            <w:tcW w:w="2547" w:type="dxa"/>
            <w:noWrap/>
            <w:hideMark/>
          </w:tcPr>
          <w:p w14:paraId="74D60E3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INTEGRATED CARE BOARD</w:t>
            </w:r>
          </w:p>
        </w:tc>
        <w:tc>
          <w:tcPr>
            <w:tcW w:w="4015" w:type="dxa"/>
            <w:noWrap/>
            <w:hideMark/>
          </w:tcPr>
          <w:p w14:paraId="52EBC3B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ICB - 06L</w:t>
            </w:r>
          </w:p>
        </w:tc>
        <w:tc>
          <w:tcPr>
            <w:tcW w:w="774" w:type="dxa"/>
            <w:noWrap/>
            <w:hideMark/>
          </w:tcPr>
          <w:p w14:paraId="39C05A2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11,785</w:t>
            </w:r>
          </w:p>
        </w:tc>
        <w:tc>
          <w:tcPr>
            <w:tcW w:w="1014" w:type="dxa"/>
            <w:noWrap/>
            <w:hideMark/>
          </w:tcPr>
          <w:p w14:paraId="234FBB7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11,767</w:t>
            </w:r>
          </w:p>
        </w:tc>
        <w:tc>
          <w:tcPr>
            <w:tcW w:w="1278" w:type="dxa"/>
            <w:noWrap/>
            <w:hideMark/>
          </w:tcPr>
          <w:p w14:paraId="44D6FB7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99.85</w:t>
            </w:r>
          </w:p>
        </w:tc>
      </w:tr>
      <w:tr w:rsidR="002F7E95" w:rsidRPr="00C23CE7" w14:paraId="3187E7C0" w14:textId="77777777" w:rsidTr="005C4CE9">
        <w:trPr>
          <w:trHeight w:val="300"/>
        </w:trPr>
        <w:tc>
          <w:tcPr>
            <w:tcW w:w="2547" w:type="dxa"/>
            <w:noWrap/>
            <w:hideMark/>
          </w:tcPr>
          <w:p w14:paraId="1B635C4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INTEGRATED CARE BOARD</w:t>
            </w:r>
          </w:p>
        </w:tc>
        <w:tc>
          <w:tcPr>
            <w:tcW w:w="4015" w:type="dxa"/>
            <w:noWrap/>
            <w:hideMark/>
          </w:tcPr>
          <w:p w14:paraId="4DD789F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ICB - 06T</w:t>
            </w:r>
          </w:p>
        </w:tc>
        <w:tc>
          <w:tcPr>
            <w:tcW w:w="774" w:type="dxa"/>
            <w:noWrap/>
            <w:hideMark/>
          </w:tcPr>
          <w:p w14:paraId="60D402A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10,650</w:t>
            </w:r>
          </w:p>
        </w:tc>
        <w:tc>
          <w:tcPr>
            <w:tcW w:w="1014" w:type="dxa"/>
            <w:noWrap/>
            <w:hideMark/>
          </w:tcPr>
          <w:p w14:paraId="407760B1"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10,647</w:t>
            </w:r>
          </w:p>
        </w:tc>
        <w:tc>
          <w:tcPr>
            <w:tcW w:w="1278" w:type="dxa"/>
            <w:noWrap/>
            <w:hideMark/>
          </w:tcPr>
          <w:p w14:paraId="3EC548D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99.97</w:t>
            </w:r>
          </w:p>
        </w:tc>
      </w:tr>
      <w:tr w:rsidR="002F7E95" w:rsidRPr="00C23CE7" w14:paraId="3803E771" w14:textId="77777777" w:rsidTr="005C4CE9">
        <w:trPr>
          <w:trHeight w:val="300"/>
        </w:trPr>
        <w:tc>
          <w:tcPr>
            <w:tcW w:w="2547" w:type="dxa"/>
            <w:noWrap/>
            <w:hideMark/>
          </w:tcPr>
          <w:p w14:paraId="45D2787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INTEGRATED CARE BOARD</w:t>
            </w:r>
          </w:p>
        </w:tc>
        <w:tc>
          <w:tcPr>
            <w:tcW w:w="4015" w:type="dxa"/>
            <w:noWrap/>
            <w:hideMark/>
          </w:tcPr>
          <w:p w14:paraId="3663F3D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SUFFOLK AND NORTH EAST ESSEX ICB - 07K</w:t>
            </w:r>
          </w:p>
        </w:tc>
        <w:tc>
          <w:tcPr>
            <w:tcW w:w="774" w:type="dxa"/>
            <w:noWrap/>
            <w:hideMark/>
          </w:tcPr>
          <w:p w14:paraId="338DBEE5"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7,788</w:t>
            </w:r>
          </w:p>
        </w:tc>
        <w:tc>
          <w:tcPr>
            <w:tcW w:w="1014" w:type="dxa"/>
            <w:noWrap/>
            <w:hideMark/>
          </w:tcPr>
          <w:p w14:paraId="5FE1177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7,730</w:t>
            </w:r>
          </w:p>
        </w:tc>
        <w:tc>
          <w:tcPr>
            <w:tcW w:w="1278" w:type="dxa"/>
            <w:noWrap/>
            <w:hideMark/>
          </w:tcPr>
          <w:p w14:paraId="594E9DA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99.26</w:t>
            </w:r>
          </w:p>
        </w:tc>
      </w:tr>
      <w:tr w:rsidR="002F7E95" w:rsidRPr="00C23CE7" w14:paraId="4C134165" w14:textId="77777777" w:rsidTr="005C4CE9">
        <w:trPr>
          <w:trHeight w:val="300"/>
        </w:trPr>
        <w:tc>
          <w:tcPr>
            <w:tcW w:w="2547" w:type="dxa"/>
            <w:noWrap/>
            <w:hideMark/>
          </w:tcPr>
          <w:p w14:paraId="08D29B9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SURREY HEARTLANDS INTEGRATED CARE BOARD</w:t>
            </w:r>
          </w:p>
        </w:tc>
        <w:tc>
          <w:tcPr>
            <w:tcW w:w="4015" w:type="dxa"/>
            <w:noWrap/>
            <w:hideMark/>
          </w:tcPr>
          <w:p w14:paraId="12A8AD6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SURREY HEARTLANDS  ICB - 92A</w:t>
            </w:r>
          </w:p>
        </w:tc>
        <w:tc>
          <w:tcPr>
            <w:tcW w:w="774" w:type="dxa"/>
            <w:noWrap/>
            <w:hideMark/>
          </w:tcPr>
          <w:p w14:paraId="6C111A5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25,363</w:t>
            </w:r>
          </w:p>
        </w:tc>
        <w:tc>
          <w:tcPr>
            <w:tcW w:w="1014" w:type="dxa"/>
            <w:noWrap/>
            <w:hideMark/>
          </w:tcPr>
          <w:p w14:paraId="672B5D5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25,339</w:t>
            </w:r>
          </w:p>
        </w:tc>
        <w:tc>
          <w:tcPr>
            <w:tcW w:w="1278" w:type="dxa"/>
            <w:noWrap/>
            <w:hideMark/>
          </w:tcPr>
          <w:p w14:paraId="05A954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22269483" w14:textId="77777777" w:rsidTr="005C4CE9">
        <w:trPr>
          <w:trHeight w:val="300"/>
        </w:trPr>
        <w:tc>
          <w:tcPr>
            <w:tcW w:w="2547" w:type="dxa"/>
            <w:noWrap/>
            <w:hideMark/>
          </w:tcPr>
          <w:p w14:paraId="19C0A77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INTEGRATED CARE BOARD</w:t>
            </w:r>
          </w:p>
        </w:tc>
        <w:tc>
          <w:tcPr>
            <w:tcW w:w="4015" w:type="dxa"/>
            <w:noWrap/>
            <w:hideMark/>
          </w:tcPr>
          <w:p w14:paraId="0EE57007"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ICB - 09D</w:t>
            </w:r>
          </w:p>
        </w:tc>
        <w:tc>
          <w:tcPr>
            <w:tcW w:w="774" w:type="dxa"/>
            <w:noWrap/>
            <w:hideMark/>
          </w:tcPr>
          <w:p w14:paraId="1307705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6,317</w:t>
            </w:r>
          </w:p>
        </w:tc>
        <w:tc>
          <w:tcPr>
            <w:tcW w:w="1014" w:type="dxa"/>
            <w:noWrap/>
            <w:hideMark/>
          </w:tcPr>
          <w:p w14:paraId="1F6CC0F9"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6,309</w:t>
            </w:r>
          </w:p>
        </w:tc>
        <w:tc>
          <w:tcPr>
            <w:tcW w:w="1278" w:type="dxa"/>
            <w:noWrap/>
            <w:hideMark/>
          </w:tcPr>
          <w:p w14:paraId="2A33D95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99.87</w:t>
            </w:r>
          </w:p>
        </w:tc>
      </w:tr>
      <w:tr w:rsidR="002F7E95" w:rsidRPr="00C23CE7" w14:paraId="51EF9AE9" w14:textId="77777777" w:rsidTr="005C4CE9">
        <w:trPr>
          <w:trHeight w:val="300"/>
        </w:trPr>
        <w:tc>
          <w:tcPr>
            <w:tcW w:w="2547" w:type="dxa"/>
            <w:noWrap/>
            <w:hideMark/>
          </w:tcPr>
          <w:p w14:paraId="3D1C234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INTEGRATED CARE BOARD</w:t>
            </w:r>
          </w:p>
        </w:tc>
        <w:tc>
          <w:tcPr>
            <w:tcW w:w="4015" w:type="dxa"/>
            <w:noWrap/>
            <w:hideMark/>
          </w:tcPr>
          <w:p w14:paraId="7B81614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ICB - 70F</w:t>
            </w:r>
          </w:p>
        </w:tc>
        <w:tc>
          <w:tcPr>
            <w:tcW w:w="774" w:type="dxa"/>
            <w:noWrap/>
            <w:hideMark/>
          </w:tcPr>
          <w:p w14:paraId="2D7D095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25,224</w:t>
            </w:r>
          </w:p>
        </w:tc>
        <w:tc>
          <w:tcPr>
            <w:tcW w:w="1014" w:type="dxa"/>
            <w:noWrap/>
            <w:hideMark/>
          </w:tcPr>
          <w:p w14:paraId="30DC9C9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25,177</w:t>
            </w:r>
          </w:p>
        </w:tc>
        <w:tc>
          <w:tcPr>
            <w:tcW w:w="1278" w:type="dxa"/>
            <w:noWrap/>
            <w:hideMark/>
          </w:tcPr>
          <w:p w14:paraId="1A6FE6A2"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99.81</w:t>
            </w:r>
          </w:p>
        </w:tc>
      </w:tr>
      <w:tr w:rsidR="002F7E95" w:rsidRPr="00C23CE7" w14:paraId="4E060EF5" w14:textId="77777777" w:rsidTr="005C4CE9">
        <w:trPr>
          <w:trHeight w:val="300"/>
        </w:trPr>
        <w:tc>
          <w:tcPr>
            <w:tcW w:w="2547" w:type="dxa"/>
            <w:noWrap/>
            <w:hideMark/>
          </w:tcPr>
          <w:p w14:paraId="7016B01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INTEGRATED CARE BOARD</w:t>
            </w:r>
          </w:p>
        </w:tc>
        <w:tc>
          <w:tcPr>
            <w:tcW w:w="4015" w:type="dxa"/>
            <w:noWrap/>
            <w:hideMark/>
          </w:tcPr>
          <w:p w14:paraId="316F2FB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SUSSEX ICB - 97R</w:t>
            </w:r>
          </w:p>
        </w:tc>
        <w:tc>
          <w:tcPr>
            <w:tcW w:w="774" w:type="dxa"/>
            <w:noWrap/>
            <w:hideMark/>
          </w:tcPr>
          <w:p w14:paraId="1186379B"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20,815</w:t>
            </w:r>
          </w:p>
        </w:tc>
        <w:tc>
          <w:tcPr>
            <w:tcW w:w="1014" w:type="dxa"/>
            <w:noWrap/>
            <w:hideMark/>
          </w:tcPr>
          <w:p w14:paraId="650FEAA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20,790</w:t>
            </w:r>
          </w:p>
        </w:tc>
        <w:tc>
          <w:tcPr>
            <w:tcW w:w="1278" w:type="dxa"/>
            <w:noWrap/>
            <w:hideMark/>
          </w:tcPr>
          <w:p w14:paraId="2EAA15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99.88</w:t>
            </w:r>
          </w:p>
        </w:tc>
      </w:tr>
      <w:tr w:rsidR="002F7E95" w:rsidRPr="00C23CE7" w14:paraId="0F6EF386" w14:textId="77777777" w:rsidTr="005C4CE9">
        <w:trPr>
          <w:trHeight w:val="300"/>
        </w:trPr>
        <w:tc>
          <w:tcPr>
            <w:tcW w:w="2547" w:type="dxa"/>
            <w:noWrap/>
            <w:hideMark/>
          </w:tcPr>
          <w:p w14:paraId="5978A49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044F420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- 02T</w:t>
            </w:r>
          </w:p>
        </w:tc>
        <w:tc>
          <w:tcPr>
            <w:tcW w:w="774" w:type="dxa"/>
            <w:noWrap/>
            <w:hideMark/>
          </w:tcPr>
          <w:p w14:paraId="6FA49BB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4,882</w:t>
            </w:r>
          </w:p>
        </w:tc>
        <w:tc>
          <w:tcPr>
            <w:tcW w:w="1014" w:type="dxa"/>
            <w:noWrap/>
            <w:hideMark/>
          </w:tcPr>
          <w:p w14:paraId="18F7D7B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4,880</w:t>
            </w:r>
          </w:p>
        </w:tc>
        <w:tc>
          <w:tcPr>
            <w:tcW w:w="1278" w:type="dxa"/>
            <w:noWrap/>
            <w:hideMark/>
          </w:tcPr>
          <w:p w14:paraId="771C301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99.96</w:t>
            </w:r>
          </w:p>
        </w:tc>
      </w:tr>
      <w:tr w:rsidR="002F7E95" w:rsidRPr="00C23CE7" w14:paraId="2F0450B6" w14:textId="77777777" w:rsidTr="005C4CE9">
        <w:trPr>
          <w:trHeight w:val="300"/>
        </w:trPr>
        <w:tc>
          <w:tcPr>
            <w:tcW w:w="2547" w:type="dxa"/>
            <w:noWrap/>
            <w:hideMark/>
          </w:tcPr>
          <w:p w14:paraId="2E8122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2B1AA19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- 03R</w:t>
            </w:r>
          </w:p>
        </w:tc>
        <w:tc>
          <w:tcPr>
            <w:tcW w:w="774" w:type="dxa"/>
            <w:noWrap/>
            <w:hideMark/>
          </w:tcPr>
          <w:p w14:paraId="37B586D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12,268</w:t>
            </w:r>
          </w:p>
        </w:tc>
        <w:tc>
          <w:tcPr>
            <w:tcW w:w="1014" w:type="dxa"/>
            <w:noWrap/>
            <w:hideMark/>
          </w:tcPr>
          <w:p w14:paraId="4A033C1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12,257</w:t>
            </w:r>
          </w:p>
        </w:tc>
        <w:tc>
          <w:tcPr>
            <w:tcW w:w="1278" w:type="dxa"/>
            <w:noWrap/>
            <w:hideMark/>
          </w:tcPr>
          <w:p w14:paraId="7925824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99.91</w:t>
            </w:r>
          </w:p>
        </w:tc>
      </w:tr>
      <w:tr w:rsidR="002F7E95" w:rsidRPr="00C23CE7" w14:paraId="16F39870" w14:textId="77777777" w:rsidTr="005C4CE9">
        <w:trPr>
          <w:trHeight w:val="300"/>
        </w:trPr>
        <w:tc>
          <w:tcPr>
            <w:tcW w:w="2547" w:type="dxa"/>
            <w:noWrap/>
            <w:hideMark/>
          </w:tcPr>
          <w:p w14:paraId="53992B76"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36252370"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- 15F</w:t>
            </w:r>
          </w:p>
        </w:tc>
        <w:tc>
          <w:tcPr>
            <w:tcW w:w="774" w:type="dxa"/>
            <w:noWrap/>
            <w:hideMark/>
          </w:tcPr>
          <w:p w14:paraId="49CD43C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20,802</w:t>
            </w:r>
          </w:p>
        </w:tc>
        <w:tc>
          <w:tcPr>
            <w:tcW w:w="1014" w:type="dxa"/>
            <w:noWrap/>
            <w:hideMark/>
          </w:tcPr>
          <w:p w14:paraId="62AEC73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20,795</w:t>
            </w:r>
          </w:p>
        </w:tc>
        <w:tc>
          <w:tcPr>
            <w:tcW w:w="1278" w:type="dxa"/>
            <w:noWrap/>
            <w:hideMark/>
          </w:tcPr>
          <w:p w14:paraId="661D8E9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99.97</w:t>
            </w:r>
          </w:p>
        </w:tc>
      </w:tr>
      <w:tr w:rsidR="002F7E95" w:rsidRPr="00C23CE7" w14:paraId="129A91BA" w14:textId="77777777" w:rsidTr="005C4CE9">
        <w:trPr>
          <w:trHeight w:val="300"/>
        </w:trPr>
        <w:tc>
          <w:tcPr>
            <w:tcW w:w="2547" w:type="dxa"/>
            <w:noWrap/>
            <w:hideMark/>
          </w:tcPr>
          <w:p w14:paraId="1A2BBDE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1B21301F"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- 36J</w:t>
            </w:r>
          </w:p>
        </w:tc>
        <w:tc>
          <w:tcPr>
            <w:tcW w:w="774" w:type="dxa"/>
            <w:noWrap/>
            <w:hideMark/>
          </w:tcPr>
          <w:p w14:paraId="633FC9A3"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13,509</w:t>
            </w:r>
          </w:p>
        </w:tc>
        <w:tc>
          <w:tcPr>
            <w:tcW w:w="1014" w:type="dxa"/>
            <w:noWrap/>
            <w:hideMark/>
          </w:tcPr>
          <w:p w14:paraId="21274AC8"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13,504</w:t>
            </w:r>
          </w:p>
        </w:tc>
        <w:tc>
          <w:tcPr>
            <w:tcW w:w="1278" w:type="dxa"/>
            <w:noWrap/>
            <w:hideMark/>
          </w:tcPr>
          <w:p w14:paraId="7B6CA8F4"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99.96</w:t>
            </w:r>
          </w:p>
        </w:tc>
      </w:tr>
      <w:tr w:rsidR="002F7E95" w:rsidRPr="005C4CE9" w14:paraId="74A026AA" w14:textId="77777777" w:rsidTr="005C4CE9">
        <w:trPr>
          <w:trHeight w:val="300"/>
        </w:trPr>
        <w:tc>
          <w:tcPr>
            <w:tcW w:w="2547" w:type="dxa"/>
            <w:noWrap/>
            <w:hideMark/>
          </w:tcPr>
          <w:p w14:paraId="4ED5546D"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INTEGRATED CARE BOARD</w:t>
            </w:r>
          </w:p>
        </w:tc>
        <w:tc>
          <w:tcPr>
            <w:tcW w:w="4015" w:type="dxa"/>
            <w:noWrap/>
            <w:hideMark/>
          </w:tcPr>
          <w:p w14:paraId="6914BADA"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rPr>
                <w:rFonts w:ascii="Aptos Narrow" w:eastAsia="Times New Roman" w:hAnsi="Aptos Narrow" w:cs="Times New Roman"/>
                <w:sz w:val="18"/>
                <w:szCs w:val="18"/>
              </w:rPr>
            </w:pPr>
            <w:r w:rsidRPr="00C23CE7">
              <w:rPr>
                <w:rFonts w:ascii="Aptos Narrow" w:eastAsia="Times New Roman" w:hAnsi="Aptos Narrow" w:cs="Times New Roman"/>
                <w:sz w:val="18"/>
                <w:szCs w:val="18"/>
              </w:rPr>
              <w:t>NHS WEST YORKSHIRE ICB - X2C4Y</w:t>
            </w:r>
          </w:p>
        </w:tc>
        <w:tc>
          <w:tcPr>
            <w:tcW w:w="774" w:type="dxa"/>
            <w:noWrap/>
            <w:hideMark/>
          </w:tcPr>
          <w:p w14:paraId="5B51348E"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10,653</w:t>
            </w:r>
          </w:p>
        </w:tc>
        <w:tc>
          <w:tcPr>
            <w:tcW w:w="1014" w:type="dxa"/>
            <w:noWrap/>
            <w:hideMark/>
          </w:tcPr>
          <w:p w14:paraId="555A12FC" w14:textId="77777777" w:rsidR="002F7E95" w:rsidRPr="00C23CE7"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10,638</w:t>
            </w:r>
          </w:p>
        </w:tc>
        <w:tc>
          <w:tcPr>
            <w:tcW w:w="1278" w:type="dxa"/>
            <w:noWrap/>
            <w:hideMark/>
          </w:tcPr>
          <w:p w14:paraId="7B9740DC" w14:textId="77777777" w:rsidR="002F7E95" w:rsidRPr="002F7E95" w:rsidRDefault="002F7E95" w:rsidP="002F7E95">
            <w:pPr>
              <w:pBdr>
                <w:top w:val="none" w:sz="0" w:space="0" w:color="auto"/>
                <w:left w:val="none" w:sz="0" w:space="0" w:color="auto"/>
                <w:bottom w:val="none" w:sz="0" w:space="0" w:color="auto"/>
                <w:right w:val="none" w:sz="0" w:space="0" w:color="auto"/>
                <w:between w:val="none" w:sz="0" w:space="0" w:color="auto"/>
              </w:pBdr>
              <w:jc w:val="right"/>
              <w:rPr>
                <w:rFonts w:ascii="Aptos Narrow" w:eastAsia="Times New Roman" w:hAnsi="Aptos Narrow" w:cs="Times New Roman"/>
                <w:sz w:val="18"/>
                <w:szCs w:val="18"/>
              </w:rPr>
            </w:pPr>
            <w:r w:rsidRPr="00C23CE7">
              <w:rPr>
                <w:rFonts w:ascii="Aptos Narrow" w:eastAsia="Times New Roman" w:hAnsi="Aptos Narrow" w:cs="Times New Roman"/>
                <w:sz w:val="18"/>
                <w:szCs w:val="18"/>
              </w:rPr>
              <w:t>99.86</w:t>
            </w:r>
          </w:p>
        </w:tc>
      </w:tr>
    </w:tbl>
    <w:p w14:paraId="26D28457" w14:textId="77777777" w:rsidR="002F7E95" w:rsidRDefault="002F7E95" w:rsidP="002F7E95"/>
    <w:p w14:paraId="6EC50502" w14:textId="04A89934" w:rsidR="006E026A" w:rsidRPr="00C23CE7" w:rsidRDefault="006E026A" w:rsidP="006E026A">
      <w:pPr>
        <w:pStyle w:val="Heading1"/>
      </w:pPr>
      <w:bookmarkStart w:id="42" w:name="_Toc180492672"/>
      <w:r w:rsidRPr="00C23CE7">
        <w:t xml:space="preserve">Appendix </w:t>
      </w:r>
      <w:r>
        <w:t>2</w:t>
      </w:r>
      <w:r w:rsidRPr="00C23CE7">
        <w:t>: Working Group</w:t>
      </w:r>
      <w:bookmarkEnd w:id="42"/>
    </w:p>
    <w:p w14:paraId="175DFFCF" w14:textId="77777777" w:rsidR="006E026A" w:rsidRPr="00C23CE7" w:rsidRDefault="006E026A" w:rsidP="006E026A">
      <w:r w:rsidRPr="00C23CE7">
        <w:t>The following people have been involved in the development of this dashboard:</w:t>
      </w:r>
    </w:p>
    <w:p w14:paraId="0C2B7933" w14:textId="77777777" w:rsidR="006E026A" w:rsidRPr="00C23CE7" w:rsidRDefault="006E026A" w:rsidP="006E026A">
      <w:pPr>
        <w:spacing w:after="0"/>
        <w:rPr>
          <w:color w:val="auto"/>
        </w:rPr>
      </w:pPr>
      <w:r w:rsidRPr="00C23CE7">
        <w:rPr>
          <w:color w:val="auto"/>
        </w:rPr>
        <w:t>Elizabeth Beech MBE - Regional Antimicrobial Stewardship Lead South-West Region, NHS England</w:t>
      </w:r>
    </w:p>
    <w:p w14:paraId="7AD55A90" w14:textId="77777777" w:rsidR="006E026A" w:rsidRPr="00C23CE7" w:rsidRDefault="006E026A" w:rsidP="006E026A">
      <w:pPr>
        <w:spacing w:after="0"/>
        <w:rPr>
          <w:color w:val="auto"/>
        </w:rPr>
      </w:pPr>
      <w:r w:rsidRPr="00C23CE7">
        <w:rPr>
          <w:color w:val="auto"/>
        </w:rPr>
        <w:t>Lydia Harman – Senior Analytical Lead, NHS England</w:t>
      </w:r>
    </w:p>
    <w:p w14:paraId="660039A0" w14:textId="77777777" w:rsidR="006E026A" w:rsidRPr="00C23CE7" w:rsidRDefault="006E026A" w:rsidP="006E026A">
      <w:pPr>
        <w:spacing w:after="0"/>
        <w:rPr>
          <w:color w:val="auto"/>
        </w:rPr>
      </w:pPr>
      <w:r w:rsidRPr="00C23CE7">
        <w:rPr>
          <w:color w:val="auto"/>
        </w:rPr>
        <w:t>Mark Gordon – Senior Information Analyst, NHSBSA</w:t>
      </w:r>
    </w:p>
    <w:p w14:paraId="31AF9DF2" w14:textId="77777777" w:rsidR="006E026A" w:rsidRPr="00C23CE7" w:rsidRDefault="006E026A" w:rsidP="006E026A">
      <w:pPr>
        <w:spacing w:after="0"/>
        <w:rPr>
          <w:color w:val="auto"/>
        </w:rPr>
      </w:pPr>
      <w:r w:rsidRPr="00C23CE7">
        <w:rPr>
          <w:color w:val="auto"/>
        </w:rPr>
        <w:t>Nick O’Mahoney – BI Developer, NHSBSA</w:t>
      </w:r>
    </w:p>
    <w:p w14:paraId="70079AA8" w14:textId="77777777" w:rsidR="006E026A" w:rsidRPr="002F7E95" w:rsidRDefault="006E026A" w:rsidP="002F7E95"/>
    <w:sectPr w:rsidR="006E026A" w:rsidRPr="002F7E95" w:rsidSect="00C75FA5">
      <w:footerReference w:type="default" r:id="rId49"/>
      <w:headerReference w:type="first" r:id="rId50"/>
      <w:footerReference w:type="first" r:id="rId51"/>
      <w:pgSz w:w="11906" w:h="16838"/>
      <w:pgMar w:top="1077" w:right="1134" w:bottom="1077" w:left="1134" w:header="709" w:footer="709"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BEECH, Elizabeth (NHS ENGLAND - X24)" w:date="2024-10-22T09:52:00Z" w:initials="EB">
    <w:p w14:paraId="4ED57BBE" w14:textId="77777777" w:rsidR="00CA4895" w:rsidRDefault="00CA4895" w:rsidP="00CA4895">
      <w:pPr>
        <w:pStyle w:val="CommentText"/>
      </w:pPr>
      <w:r>
        <w:rPr>
          <w:rStyle w:val="CommentReference"/>
        </w:rPr>
        <w:annotationRef/>
      </w:r>
      <w:r>
        <w:t>Revised wording and order to improve clarity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D57B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F0663B" w16cex:dateUtc="2024-10-22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D57BBE" w16cid:durableId="19F06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5DF9A" w14:textId="77777777" w:rsidR="00C36CB5" w:rsidRDefault="00C36CB5">
      <w:pPr>
        <w:spacing w:after="0" w:line="240" w:lineRule="auto"/>
      </w:pPr>
      <w:r>
        <w:separator/>
      </w:r>
    </w:p>
  </w:endnote>
  <w:endnote w:type="continuationSeparator" w:id="0">
    <w:p w14:paraId="4C41A37C" w14:textId="77777777" w:rsidR="00C36CB5" w:rsidRDefault="00C36CB5">
      <w:pPr>
        <w:spacing w:after="0" w:line="240" w:lineRule="auto"/>
      </w:pPr>
      <w:r>
        <w:continuationSeparator/>
      </w:r>
    </w:p>
  </w:endnote>
  <w:endnote w:type="continuationNotice" w:id="1">
    <w:p w14:paraId="119CE957" w14:textId="77777777" w:rsidR="00C36CB5" w:rsidRDefault="00C3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310206"/>
      <w:docPartObj>
        <w:docPartGallery w:val="Page Numbers (Bottom of Page)"/>
        <w:docPartUnique/>
      </w:docPartObj>
    </w:sdtPr>
    <w:sdtEndPr>
      <w:rPr>
        <w:noProof/>
      </w:rPr>
    </w:sdtEndPr>
    <w:sdtContent>
      <w:p w14:paraId="259152C0" w14:textId="1C630455" w:rsidR="00A07A73" w:rsidRDefault="00A07A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4084DF" w14:textId="1C954553" w:rsidR="004023EF" w:rsidRDefault="004023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7CFA" w14:textId="7E9295C2" w:rsidR="004023EF" w:rsidRDefault="009A7E12" w:rsidP="00971788">
    <w:pPr>
      <w:jc w:val="right"/>
    </w:pPr>
    <w:r>
      <w:rPr>
        <w:b/>
        <w:sz w:val="24"/>
        <w:szCs w:val="24"/>
      </w:rPr>
      <w:t>Version No. 1.0</w:t>
    </w:r>
    <w:r w:rsidR="004023EF">
      <w:rPr>
        <w:b/>
        <w:sz w:val="24"/>
        <w:szCs w:val="24"/>
      </w:rPr>
      <w:tab/>
    </w:r>
    <w:r w:rsidR="004023EF">
      <w:rPr>
        <w:b/>
        <w:sz w:val="24"/>
        <w:szCs w:val="24"/>
      </w:rPr>
      <w:tab/>
      <w:t xml:space="preserve">  </w:t>
    </w:r>
    <w:r w:rsidR="004023EF">
      <w:rPr>
        <w:b/>
        <w:sz w:val="24"/>
        <w:szCs w:val="24"/>
      </w:rPr>
      <w:tab/>
    </w:r>
    <w:r w:rsidR="004023EF">
      <w:rPr>
        <w:b/>
        <w:sz w:val="24"/>
        <w:szCs w:val="24"/>
      </w:rPr>
      <w:tab/>
    </w:r>
    <w:r w:rsidR="00971788">
      <w:rPr>
        <w:b/>
        <w:sz w:val="24"/>
        <w:szCs w:val="24"/>
      </w:rPr>
      <w:tab/>
    </w:r>
    <w:r w:rsidR="00971788">
      <w:rPr>
        <w:rFonts w:ascii="Arial" w:eastAsia="Arial" w:hAnsi="Arial" w:cs="Arial"/>
        <w:sz w:val="20"/>
        <w:szCs w:val="20"/>
      </w:rPr>
      <w:t>Copyright</w:t>
    </w:r>
    <w:r w:rsidR="004023EF">
      <w:rPr>
        <w:rFonts w:ascii="Arial" w:eastAsia="Arial" w:hAnsi="Arial" w:cs="Arial"/>
        <w:sz w:val="20"/>
        <w:szCs w:val="20"/>
      </w:rPr>
      <w:t xml:space="preserve"> </w:t>
    </w:r>
    <w:r w:rsidR="00971788">
      <w:rPr>
        <w:rFonts w:ascii="Arial" w:eastAsia="Arial" w:hAnsi="Arial" w:cs="Arial"/>
        <w:sz w:val="20"/>
        <w:szCs w:val="20"/>
      </w:rPr>
      <w:t xml:space="preserve">© </w:t>
    </w:r>
    <w:r w:rsidR="004023EF">
      <w:rPr>
        <w:rFonts w:ascii="Arial" w:eastAsia="Arial" w:hAnsi="Arial" w:cs="Arial"/>
        <w:sz w:val="20"/>
        <w:szCs w:val="20"/>
      </w:rPr>
      <w:t>202</w:t>
    </w:r>
    <w:r>
      <w:rPr>
        <w:rFonts w:ascii="Arial" w:eastAsia="Arial" w:hAnsi="Arial" w:cs="Arial"/>
        <w:sz w:val="20"/>
        <w:szCs w:val="20"/>
      </w:rPr>
      <w:t>3</w:t>
    </w:r>
    <w:r w:rsidR="00971788">
      <w:rPr>
        <w:rFonts w:ascii="Arial" w:eastAsia="Arial" w:hAnsi="Arial" w:cs="Arial"/>
        <w:sz w:val="20"/>
        <w:szCs w:val="20"/>
      </w:rPr>
      <w:t xml:space="preserve"> NHS Business Services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3B431" w14:textId="77777777" w:rsidR="00C36CB5" w:rsidRDefault="00C36CB5">
      <w:pPr>
        <w:spacing w:after="0" w:line="240" w:lineRule="auto"/>
      </w:pPr>
      <w:r>
        <w:separator/>
      </w:r>
    </w:p>
  </w:footnote>
  <w:footnote w:type="continuationSeparator" w:id="0">
    <w:p w14:paraId="085A0F0C" w14:textId="77777777" w:rsidR="00C36CB5" w:rsidRDefault="00C36CB5">
      <w:pPr>
        <w:spacing w:after="0" w:line="240" w:lineRule="auto"/>
      </w:pPr>
      <w:r>
        <w:continuationSeparator/>
      </w:r>
    </w:p>
  </w:footnote>
  <w:footnote w:type="continuationNotice" w:id="1">
    <w:p w14:paraId="54C8B9C1" w14:textId="77777777" w:rsidR="00C36CB5" w:rsidRDefault="00C36CB5">
      <w:pPr>
        <w:spacing w:after="0" w:line="240" w:lineRule="auto"/>
      </w:pPr>
    </w:p>
  </w:footnote>
  <w:footnote w:id="2">
    <w:p w14:paraId="205A2D81" w14:textId="5BA0B7F3" w:rsidR="004F12BA" w:rsidRDefault="004F12BA">
      <w:pPr>
        <w:pStyle w:val="FootnoteText"/>
      </w:pPr>
      <w:r>
        <w:rPr>
          <w:rStyle w:val="FootnoteReference"/>
        </w:rPr>
        <w:footnoteRef/>
      </w:r>
      <w:r>
        <w:t xml:space="preserve"> </w:t>
      </w:r>
      <w:r w:rsidR="00301449" w:rsidRPr="00301449">
        <w:t>https://www.nhsbsa.nhs.uk/pharmacies-gp-practices-and-appliance-contractors/payments-and-pricing/how-we-process-prescriptions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1B7BA" w14:textId="77777777" w:rsidR="004023EF" w:rsidRDefault="004023EF">
    <w:pPr>
      <w:tabs>
        <w:tab w:val="center" w:pos="4513"/>
        <w:tab w:val="right" w:pos="9026"/>
      </w:tabs>
      <w:spacing w:after="0" w:line="240" w:lineRule="auto"/>
    </w:pPr>
    <w:r>
      <w:rPr>
        <w:noProof/>
      </w:rPr>
      <w:drawing>
        <wp:anchor distT="0" distB="0" distL="114300" distR="114300" simplePos="0" relativeHeight="251658240" behindDoc="0" locked="0" layoutInCell="1" hidden="0" allowOverlap="1" wp14:anchorId="16923440" wp14:editId="01EB376C">
          <wp:simplePos x="0" y="0"/>
          <wp:positionH relativeFrom="margin">
            <wp:posOffset>-720089</wp:posOffset>
          </wp:positionH>
          <wp:positionV relativeFrom="paragraph">
            <wp:posOffset>0</wp:posOffset>
          </wp:positionV>
          <wp:extent cx="7559675" cy="1543050"/>
          <wp:effectExtent l="0" t="0" r="0" b="0"/>
          <wp:wrapSquare wrapText="bothSides" distT="0" distB="0" distL="114300" distR="114300"/>
          <wp:docPr id="1865350891" name="Picture 186535089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1543050"/>
                  </a:xfrm>
                  <a:prstGeom prst="rect">
                    <a:avLst/>
                  </a:prstGeom>
                  <a:ln/>
                </pic:spPr>
              </pic:pic>
            </a:graphicData>
          </a:graphic>
        </wp:anchor>
      </w:drawing>
    </w:r>
  </w:p>
  <w:p w14:paraId="7DD24890" w14:textId="77777777" w:rsidR="004023EF" w:rsidRDefault="004023EF">
    <w:pPr>
      <w:tabs>
        <w:tab w:val="center" w:pos="4513"/>
        <w:tab w:val="right" w:pos="9026"/>
      </w:tabs>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6EA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2F3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861C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1C17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13A92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0867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02F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030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3AA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0A2C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F3655DA"/>
    <w:multiLevelType w:val="hybridMultilevel"/>
    <w:tmpl w:val="950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7731F"/>
    <w:multiLevelType w:val="hybridMultilevel"/>
    <w:tmpl w:val="7E8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530AA"/>
    <w:multiLevelType w:val="multilevel"/>
    <w:tmpl w:val="31969B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31741551">
    <w:abstractNumId w:val="12"/>
  </w:num>
  <w:num w:numId="2" w16cid:durableId="1609046016">
    <w:abstractNumId w:val="10"/>
  </w:num>
  <w:num w:numId="3" w16cid:durableId="92937838">
    <w:abstractNumId w:val="9"/>
  </w:num>
  <w:num w:numId="4" w16cid:durableId="975722072">
    <w:abstractNumId w:val="7"/>
  </w:num>
  <w:num w:numId="5" w16cid:durableId="294649909">
    <w:abstractNumId w:val="6"/>
  </w:num>
  <w:num w:numId="6" w16cid:durableId="1547646199">
    <w:abstractNumId w:val="5"/>
  </w:num>
  <w:num w:numId="7" w16cid:durableId="525826841">
    <w:abstractNumId w:val="4"/>
  </w:num>
  <w:num w:numId="8" w16cid:durableId="338317981">
    <w:abstractNumId w:val="8"/>
  </w:num>
  <w:num w:numId="9" w16cid:durableId="369650799">
    <w:abstractNumId w:val="3"/>
  </w:num>
  <w:num w:numId="10" w16cid:durableId="243419203">
    <w:abstractNumId w:val="2"/>
  </w:num>
  <w:num w:numId="11" w16cid:durableId="1861359005">
    <w:abstractNumId w:val="1"/>
  </w:num>
  <w:num w:numId="12" w16cid:durableId="244153547">
    <w:abstractNumId w:val="0"/>
  </w:num>
  <w:num w:numId="13" w16cid:durableId="18785905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ECH, Elizabeth (NHS ENGLAND - X24)">
    <w15:presenceInfo w15:providerId="AD" w15:userId="S::elizabeth.beech@nhs.net::51944559-7472-4411-9611-17b3f253c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7"/>
    <w:rsid w:val="000009B1"/>
    <w:rsid w:val="000029A0"/>
    <w:rsid w:val="000153BE"/>
    <w:rsid w:val="00021069"/>
    <w:rsid w:val="00021ADC"/>
    <w:rsid w:val="00024000"/>
    <w:rsid w:val="00024BEC"/>
    <w:rsid w:val="0003346B"/>
    <w:rsid w:val="000419D0"/>
    <w:rsid w:val="000430CE"/>
    <w:rsid w:val="00056BE9"/>
    <w:rsid w:val="0006366E"/>
    <w:rsid w:val="000718AD"/>
    <w:rsid w:val="0008087F"/>
    <w:rsid w:val="000818C3"/>
    <w:rsid w:val="00084544"/>
    <w:rsid w:val="00087EBF"/>
    <w:rsid w:val="000917B7"/>
    <w:rsid w:val="00093242"/>
    <w:rsid w:val="00094F86"/>
    <w:rsid w:val="000955AB"/>
    <w:rsid w:val="000A3626"/>
    <w:rsid w:val="000B31F9"/>
    <w:rsid w:val="000B455B"/>
    <w:rsid w:val="000C0C81"/>
    <w:rsid w:val="000C38D1"/>
    <w:rsid w:val="000C40C8"/>
    <w:rsid w:val="000C6968"/>
    <w:rsid w:val="000E1BE4"/>
    <w:rsid w:val="000E1F77"/>
    <w:rsid w:val="000E65F1"/>
    <w:rsid w:val="000F2284"/>
    <w:rsid w:val="000F4988"/>
    <w:rsid w:val="00113781"/>
    <w:rsid w:val="0011384E"/>
    <w:rsid w:val="00122089"/>
    <w:rsid w:val="0012329C"/>
    <w:rsid w:val="00124CAE"/>
    <w:rsid w:val="001456FC"/>
    <w:rsid w:val="00147CDA"/>
    <w:rsid w:val="001514EA"/>
    <w:rsid w:val="00151D93"/>
    <w:rsid w:val="0015596A"/>
    <w:rsid w:val="001620B8"/>
    <w:rsid w:val="00164C4D"/>
    <w:rsid w:val="00166AF2"/>
    <w:rsid w:val="00172342"/>
    <w:rsid w:val="00174ED2"/>
    <w:rsid w:val="00175482"/>
    <w:rsid w:val="00190109"/>
    <w:rsid w:val="001A0889"/>
    <w:rsid w:val="001A5748"/>
    <w:rsid w:val="001A6746"/>
    <w:rsid w:val="001A77A3"/>
    <w:rsid w:val="001A7DBC"/>
    <w:rsid w:val="001C7208"/>
    <w:rsid w:val="001E2F84"/>
    <w:rsid w:val="001F60F2"/>
    <w:rsid w:val="00205B95"/>
    <w:rsid w:val="00221E82"/>
    <w:rsid w:val="002321C1"/>
    <w:rsid w:val="002335CB"/>
    <w:rsid w:val="00242F79"/>
    <w:rsid w:val="00253966"/>
    <w:rsid w:val="00255DD4"/>
    <w:rsid w:val="00263288"/>
    <w:rsid w:val="00271A02"/>
    <w:rsid w:val="0029121A"/>
    <w:rsid w:val="00295581"/>
    <w:rsid w:val="002A5046"/>
    <w:rsid w:val="002A79E5"/>
    <w:rsid w:val="002C11B4"/>
    <w:rsid w:val="002E3C83"/>
    <w:rsid w:val="002F278B"/>
    <w:rsid w:val="002F7E95"/>
    <w:rsid w:val="00301449"/>
    <w:rsid w:val="0031416E"/>
    <w:rsid w:val="0032176B"/>
    <w:rsid w:val="003271BC"/>
    <w:rsid w:val="003328A2"/>
    <w:rsid w:val="0033537A"/>
    <w:rsid w:val="00337B85"/>
    <w:rsid w:val="00345F75"/>
    <w:rsid w:val="003463A6"/>
    <w:rsid w:val="00354FB4"/>
    <w:rsid w:val="00361AD8"/>
    <w:rsid w:val="003628D6"/>
    <w:rsid w:val="0036324F"/>
    <w:rsid w:val="0036454A"/>
    <w:rsid w:val="0036546F"/>
    <w:rsid w:val="00366A50"/>
    <w:rsid w:val="00377851"/>
    <w:rsid w:val="00380304"/>
    <w:rsid w:val="00382AA4"/>
    <w:rsid w:val="00385A8C"/>
    <w:rsid w:val="00385CC3"/>
    <w:rsid w:val="003A5896"/>
    <w:rsid w:val="003B60B5"/>
    <w:rsid w:val="003C251E"/>
    <w:rsid w:val="003C3CBD"/>
    <w:rsid w:val="003C60BA"/>
    <w:rsid w:val="003D67EA"/>
    <w:rsid w:val="003F1520"/>
    <w:rsid w:val="003F6830"/>
    <w:rsid w:val="004023EF"/>
    <w:rsid w:val="0040431B"/>
    <w:rsid w:val="004155E4"/>
    <w:rsid w:val="00415ACF"/>
    <w:rsid w:val="004177B1"/>
    <w:rsid w:val="004220E6"/>
    <w:rsid w:val="00431764"/>
    <w:rsid w:val="004318D3"/>
    <w:rsid w:val="004416F7"/>
    <w:rsid w:val="0044692C"/>
    <w:rsid w:val="004474D9"/>
    <w:rsid w:val="00457A27"/>
    <w:rsid w:val="0047099A"/>
    <w:rsid w:val="00486B7B"/>
    <w:rsid w:val="00487B06"/>
    <w:rsid w:val="00487B1E"/>
    <w:rsid w:val="004A7E0E"/>
    <w:rsid w:val="004B3F6A"/>
    <w:rsid w:val="004C2B84"/>
    <w:rsid w:val="004C3E0D"/>
    <w:rsid w:val="004D2C71"/>
    <w:rsid w:val="004D44EC"/>
    <w:rsid w:val="004D6D55"/>
    <w:rsid w:val="004E779E"/>
    <w:rsid w:val="004F12BA"/>
    <w:rsid w:val="004F19AC"/>
    <w:rsid w:val="004F2219"/>
    <w:rsid w:val="004F53F9"/>
    <w:rsid w:val="005003D9"/>
    <w:rsid w:val="005035A9"/>
    <w:rsid w:val="00505641"/>
    <w:rsid w:val="005159F3"/>
    <w:rsid w:val="00516FA2"/>
    <w:rsid w:val="005305E4"/>
    <w:rsid w:val="0053396D"/>
    <w:rsid w:val="0053674D"/>
    <w:rsid w:val="005430C4"/>
    <w:rsid w:val="00543374"/>
    <w:rsid w:val="00545C0A"/>
    <w:rsid w:val="00545D39"/>
    <w:rsid w:val="00573253"/>
    <w:rsid w:val="0058687D"/>
    <w:rsid w:val="005A115B"/>
    <w:rsid w:val="005A2C28"/>
    <w:rsid w:val="005A6A52"/>
    <w:rsid w:val="005B2630"/>
    <w:rsid w:val="005C4CE9"/>
    <w:rsid w:val="005D53EC"/>
    <w:rsid w:val="005E3A7D"/>
    <w:rsid w:val="005F0CFF"/>
    <w:rsid w:val="005F4DCD"/>
    <w:rsid w:val="00600419"/>
    <w:rsid w:val="00601532"/>
    <w:rsid w:val="00607A5B"/>
    <w:rsid w:val="00614D52"/>
    <w:rsid w:val="00617E5F"/>
    <w:rsid w:val="00625DF9"/>
    <w:rsid w:val="006375F2"/>
    <w:rsid w:val="00643D4A"/>
    <w:rsid w:val="0064496E"/>
    <w:rsid w:val="006616D8"/>
    <w:rsid w:val="0066270A"/>
    <w:rsid w:val="00663A27"/>
    <w:rsid w:val="006852FF"/>
    <w:rsid w:val="006A0B56"/>
    <w:rsid w:val="006A0E24"/>
    <w:rsid w:val="006A3218"/>
    <w:rsid w:val="006A584B"/>
    <w:rsid w:val="006A6493"/>
    <w:rsid w:val="006B5EC6"/>
    <w:rsid w:val="006B70CC"/>
    <w:rsid w:val="006C0303"/>
    <w:rsid w:val="006C09C0"/>
    <w:rsid w:val="006D18E4"/>
    <w:rsid w:val="006D396C"/>
    <w:rsid w:val="006E026A"/>
    <w:rsid w:val="006E1FCA"/>
    <w:rsid w:val="006E3781"/>
    <w:rsid w:val="006E506F"/>
    <w:rsid w:val="006F50AA"/>
    <w:rsid w:val="0070304A"/>
    <w:rsid w:val="00703642"/>
    <w:rsid w:val="0070516F"/>
    <w:rsid w:val="00711D3B"/>
    <w:rsid w:val="00713023"/>
    <w:rsid w:val="00721F19"/>
    <w:rsid w:val="007339DA"/>
    <w:rsid w:val="00734AA0"/>
    <w:rsid w:val="00770D19"/>
    <w:rsid w:val="007911FB"/>
    <w:rsid w:val="00792103"/>
    <w:rsid w:val="0079383E"/>
    <w:rsid w:val="007938B6"/>
    <w:rsid w:val="007A393D"/>
    <w:rsid w:val="007A50BC"/>
    <w:rsid w:val="007B11A9"/>
    <w:rsid w:val="007B54BF"/>
    <w:rsid w:val="007C269D"/>
    <w:rsid w:val="007C4F8E"/>
    <w:rsid w:val="007D3866"/>
    <w:rsid w:val="007D4074"/>
    <w:rsid w:val="007D7C2F"/>
    <w:rsid w:val="007E2527"/>
    <w:rsid w:val="007F119B"/>
    <w:rsid w:val="007F2250"/>
    <w:rsid w:val="007F3BCA"/>
    <w:rsid w:val="008055BE"/>
    <w:rsid w:val="00805F3C"/>
    <w:rsid w:val="00810077"/>
    <w:rsid w:val="00812FA9"/>
    <w:rsid w:val="00813104"/>
    <w:rsid w:val="008160F6"/>
    <w:rsid w:val="0084100A"/>
    <w:rsid w:val="008419CE"/>
    <w:rsid w:val="00845C5E"/>
    <w:rsid w:val="00855C24"/>
    <w:rsid w:val="00860008"/>
    <w:rsid w:val="00863C92"/>
    <w:rsid w:val="00885AA3"/>
    <w:rsid w:val="00892110"/>
    <w:rsid w:val="0089544D"/>
    <w:rsid w:val="00896BDC"/>
    <w:rsid w:val="00897C30"/>
    <w:rsid w:val="008A095F"/>
    <w:rsid w:val="008A3DD1"/>
    <w:rsid w:val="008A79C1"/>
    <w:rsid w:val="008C348E"/>
    <w:rsid w:val="008C3D48"/>
    <w:rsid w:val="008C75BB"/>
    <w:rsid w:val="008D0FCD"/>
    <w:rsid w:val="008D5FD6"/>
    <w:rsid w:val="008E209F"/>
    <w:rsid w:val="008E6447"/>
    <w:rsid w:val="008F2699"/>
    <w:rsid w:val="008F7A07"/>
    <w:rsid w:val="00904735"/>
    <w:rsid w:val="0092031B"/>
    <w:rsid w:val="009274DC"/>
    <w:rsid w:val="00933193"/>
    <w:rsid w:val="0093557C"/>
    <w:rsid w:val="00954B73"/>
    <w:rsid w:val="0095568C"/>
    <w:rsid w:val="00956E6C"/>
    <w:rsid w:val="00960B1A"/>
    <w:rsid w:val="00961C7A"/>
    <w:rsid w:val="00961FF0"/>
    <w:rsid w:val="00971788"/>
    <w:rsid w:val="00972E49"/>
    <w:rsid w:val="00973E78"/>
    <w:rsid w:val="00980134"/>
    <w:rsid w:val="00991A31"/>
    <w:rsid w:val="00993B42"/>
    <w:rsid w:val="009A25F1"/>
    <w:rsid w:val="009A26A2"/>
    <w:rsid w:val="009A3813"/>
    <w:rsid w:val="009A7E12"/>
    <w:rsid w:val="009B4433"/>
    <w:rsid w:val="009C447B"/>
    <w:rsid w:val="009D35A3"/>
    <w:rsid w:val="009F2EA7"/>
    <w:rsid w:val="009F5668"/>
    <w:rsid w:val="009F61DF"/>
    <w:rsid w:val="00A0091A"/>
    <w:rsid w:val="00A00F2F"/>
    <w:rsid w:val="00A0316F"/>
    <w:rsid w:val="00A067ED"/>
    <w:rsid w:val="00A07A73"/>
    <w:rsid w:val="00A1010A"/>
    <w:rsid w:val="00A1079B"/>
    <w:rsid w:val="00A12004"/>
    <w:rsid w:val="00A15E5C"/>
    <w:rsid w:val="00A256BC"/>
    <w:rsid w:val="00A40E70"/>
    <w:rsid w:val="00A40E81"/>
    <w:rsid w:val="00A442A3"/>
    <w:rsid w:val="00A449FA"/>
    <w:rsid w:val="00A465CA"/>
    <w:rsid w:val="00A5500C"/>
    <w:rsid w:val="00A55577"/>
    <w:rsid w:val="00A5627F"/>
    <w:rsid w:val="00A6005C"/>
    <w:rsid w:val="00A76237"/>
    <w:rsid w:val="00A76C86"/>
    <w:rsid w:val="00A81C32"/>
    <w:rsid w:val="00A87D1D"/>
    <w:rsid w:val="00A90071"/>
    <w:rsid w:val="00A94E4B"/>
    <w:rsid w:val="00AB3745"/>
    <w:rsid w:val="00AC38E8"/>
    <w:rsid w:val="00AD480B"/>
    <w:rsid w:val="00AE2A4F"/>
    <w:rsid w:val="00AE2CC1"/>
    <w:rsid w:val="00B06D88"/>
    <w:rsid w:val="00B1035C"/>
    <w:rsid w:val="00B20F38"/>
    <w:rsid w:val="00B2256C"/>
    <w:rsid w:val="00B25259"/>
    <w:rsid w:val="00B2779E"/>
    <w:rsid w:val="00B40D96"/>
    <w:rsid w:val="00B4382A"/>
    <w:rsid w:val="00B451F7"/>
    <w:rsid w:val="00B45D09"/>
    <w:rsid w:val="00B6045E"/>
    <w:rsid w:val="00B6137A"/>
    <w:rsid w:val="00B6604B"/>
    <w:rsid w:val="00B6630E"/>
    <w:rsid w:val="00B6765D"/>
    <w:rsid w:val="00B7492C"/>
    <w:rsid w:val="00B77029"/>
    <w:rsid w:val="00B8270D"/>
    <w:rsid w:val="00B86AD8"/>
    <w:rsid w:val="00B86D3E"/>
    <w:rsid w:val="00B95447"/>
    <w:rsid w:val="00BA0AF6"/>
    <w:rsid w:val="00BB15BF"/>
    <w:rsid w:val="00BC0286"/>
    <w:rsid w:val="00BC50B3"/>
    <w:rsid w:val="00BD2FC1"/>
    <w:rsid w:val="00BD446A"/>
    <w:rsid w:val="00BD7702"/>
    <w:rsid w:val="00BF6905"/>
    <w:rsid w:val="00BF77BB"/>
    <w:rsid w:val="00C04FAA"/>
    <w:rsid w:val="00C10302"/>
    <w:rsid w:val="00C17E6F"/>
    <w:rsid w:val="00C237CA"/>
    <w:rsid w:val="00C23CE7"/>
    <w:rsid w:val="00C243C6"/>
    <w:rsid w:val="00C33486"/>
    <w:rsid w:val="00C362D4"/>
    <w:rsid w:val="00C36CB5"/>
    <w:rsid w:val="00C4419C"/>
    <w:rsid w:val="00C4565A"/>
    <w:rsid w:val="00C45C63"/>
    <w:rsid w:val="00C531EB"/>
    <w:rsid w:val="00C60FC2"/>
    <w:rsid w:val="00C72D14"/>
    <w:rsid w:val="00C75FA5"/>
    <w:rsid w:val="00C80CB6"/>
    <w:rsid w:val="00C82073"/>
    <w:rsid w:val="00C83036"/>
    <w:rsid w:val="00CA4895"/>
    <w:rsid w:val="00CA7E29"/>
    <w:rsid w:val="00CB0995"/>
    <w:rsid w:val="00CB7C6B"/>
    <w:rsid w:val="00CC56ED"/>
    <w:rsid w:val="00CD45F2"/>
    <w:rsid w:val="00CD5B0A"/>
    <w:rsid w:val="00CF3D1A"/>
    <w:rsid w:val="00CF6EDE"/>
    <w:rsid w:val="00D0796A"/>
    <w:rsid w:val="00D1135D"/>
    <w:rsid w:val="00D20626"/>
    <w:rsid w:val="00D212DC"/>
    <w:rsid w:val="00D24519"/>
    <w:rsid w:val="00D27DAC"/>
    <w:rsid w:val="00D3542C"/>
    <w:rsid w:val="00D500FA"/>
    <w:rsid w:val="00D50C7D"/>
    <w:rsid w:val="00D56B86"/>
    <w:rsid w:val="00D638F9"/>
    <w:rsid w:val="00D66008"/>
    <w:rsid w:val="00D66921"/>
    <w:rsid w:val="00D6783A"/>
    <w:rsid w:val="00D71ECB"/>
    <w:rsid w:val="00D73036"/>
    <w:rsid w:val="00D76F34"/>
    <w:rsid w:val="00D821CA"/>
    <w:rsid w:val="00D82F86"/>
    <w:rsid w:val="00D845E5"/>
    <w:rsid w:val="00D92E47"/>
    <w:rsid w:val="00D93D8F"/>
    <w:rsid w:val="00D94A3E"/>
    <w:rsid w:val="00D9714A"/>
    <w:rsid w:val="00D97DF6"/>
    <w:rsid w:val="00DA6B3E"/>
    <w:rsid w:val="00DB2D98"/>
    <w:rsid w:val="00DC00B6"/>
    <w:rsid w:val="00DD1213"/>
    <w:rsid w:val="00DE1CE2"/>
    <w:rsid w:val="00DF23EF"/>
    <w:rsid w:val="00DF5828"/>
    <w:rsid w:val="00E06D50"/>
    <w:rsid w:val="00E21B40"/>
    <w:rsid w:val="00E25DFF"/>
    <w:rsid w:val="00E27AA0"/>
    <w:rsid w:val="00E354F7"/>
    <w:rsid w:val="00E35C80"/>
    <w:rsid w:val="00E4145A"/>
    <w:rsid w:val="00E420FF"/>
    <w:rsid w:val="00E447DA"/>
    <w:rsid w:val="00E52801"/>
    <w:rsid w:val="00E71615"/>
    <w:rsid w:val="00E71972"/>
    <w:rsid w:val="00E8067C"/>
    <w:rsid w:val="00E96AA1"/>
    <w:rsid w:val="00EB07B3"/>
    <w:rsid w:val="00EB359A"/>
    <w:rsid w:val="00EB370F"/>
    <w:rsid w:val="00EB467D"/>
    <w:rsid w:val="00ED3E58"/>
    <w:rsid w:val="00ED717C"/>
    <w:rsid w:val="00EE09D0"/>
    <w:rsid w:val="00EE31DF"/>
    <w:rsid w:val="00EF54AE"/>
    <w:rsid w:val="00F02BEA"/>
    <w:rsid w:val="00F04ECF"/>
    <w:rsid w:val="00F061D0"/>
    <w:rsid w:val="00F13FD4"/>
    <w:rsid w:val="00F14462"/>
    <w:rsid w:val="00F14DAD"/>
    <w:rsid w:val="00F23CE9"/>
    <w:rsid w:val="00F2453A"/>
    <w:rsid w:val="00F25141"/>
    <w:rsid w:val="00F273AC"/>
    <w:rsid w:val="00F341FB"/>
    <w:rsid w:val="00F36F24"/>
    <w:rsid w:val="00F40211"/>
    <w:rsid w:val="00F54962"/>
    <w:rsid w:val="00F54D61"/>
    <w:rsid w:val="00F54FF8"/>
    <w:rsid w:val="00F60DC4"/>
    <w:rsid w:val="00F63B09"/>
    <w:rsid w:val="00F72CA1"/>
    <w:rsid w:val="00F75ACE"/>
    <w:rsid w:val="00F82C43"/>
    <w:rsid w:val="00F86FA6"/>
    <w:rsid w:val="00F90194"/>
    <w:rsid w:val="00F91EFA"/>
    <w:rsid w:val="00F93107"/>
    <w:rsid w:val="00F95A94"/>
    <w:rsid w:val="00F96B0E"/>
    <w:rsid w:val="00FC084D"/>
    <w:rsid w:val="00FC131D"/>
    <w:rsid w:val="00FD688B"/>
    <w:rsid w:val="00FD797D"/>
    <w:rsid w:val="00FF207A"/>
    <w:rsid w:val="00FF4904"/>
    <w:rsid w:val="00FF5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8A3B"/>
  <w15:docId w15:val="{7C91508B-5396-46A2-A9E3-E6D4B031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68"/>
  </w:style>
  <w:style w:type="paragraph" w:styleId="Heading1">
    <w:name w:val="heading 1"/>
    <w:basedOn w:val="Normal"/>
    <w:next w:val="Normal"/>
    <w:qFormat/>
    <w:pPr>
      <w:keepNext/>
      <w:keepLines/>
      <w:spacing w:before="480" w:after="0"/>
      <w:outlineLvl w:val="0"/>
    </w:pPr>
    <w:rPr>
      <w:rFonts w:ascii="Arial" w:eastAsia="Arial" w:hAnsi="Arial" w:cs="Arial"/>
      <w:b/>
      <w:sz w:val="24"/>
      <w:szCs w:val="24"/>
    </w:rPr>
  </w:style>
  <w:style w:type="paragraph" w:styleId="Heading2">
    <w:name w:val="heading 2"/>
    <w:basedOn w:val="Normal"/>
    <w:next w:val="Normal"/>
    <w:pPr>
      <w:keepNext/>
      <w:keepLines/>
      <w:spacing w:before="200" w:after="0"/>
      <w:outlineLvl w:val="1"/>
    </w:pPr>
    <w:rPr>
      <w:rFonts w:ascii="Arial" w:eastAsia="Arial" w:hAnsi="Arial" w:cs="Arial"/>
      <w:b/>
      <w:sz w:val="20"/>
      <w:szCs w:val="20"/>
    </w:rPr>
  </w:style>
  <w:style w:type="paragraph" w:styleId="Heading3">
    <w:name w:val="heading 3"/>
    <w:basedOn w:val="Normal"/>
    <w:next w:val="Normal"/>
    <w:pPr>
      <w:keepNext/>
      <w:spacing w:before="240" w:after="60"/>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6270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42F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F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28" w:type="dxa"/>
        <w:left w:w="57" w:type="dxa"/>
        <w:bottom w:w="28" w:type="dxa"/>
        <w:right w:w="57"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28" w:type="dxa"/>
        <w:left w:w="57" w:type="dxa"/>
        <w:bottom w:w="28"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28" w:type="dxa"/>
        <w:left w:w="57" w:type="dxa"/>
        <w:bottom w:w="28" w:type="dxa"/>
        <w:right w:w="57" w:type="dxa"/>
      </w:tblCellMar>
    </w:tblPr>
  </w:style>
  <w:style w:type="table" w:customStyle="1" w:styleId="a5">
    <w:basedOn w:val="TableNormal"/>
    <w:tblPr>
      <w:tblStyleRowBandSize w:val="1"/>
      <w:tblStyleColBandSize w:val="1"/>
      <w:tblCellMar>
        <w:top w:w="28" w:type="dxa"/>
        <w:left w:w="57" w:type="dxa"/>
        <w:bottom w:w="28" w:type="dxa"/>
        <w:right w:w="57" w:type="dxa"/>
      </w:tblCellMar>
    </w:tblPr>
  </w:style>
  <w:style w:type="table" w:customStyle="1" w:styleId="a6">
    <w:basedOn w:val="TableNormal"/>
    <w:tblPr>
      <w:tblStyleRowBandSize w:val="1"/>
      <w:tblStyleColBandSize w:val="1"/>
      <w:tblCellMar>
        <w:top w:w="28" w:type="dxa"/>
        <w:left w:w="57" w:type="dxa"/>
        <w:bottom w:w="28"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28" w:type="dxa"/>
        <w:left w:w="57" w:type="dxa"/>
        <w:bottom w:w="28" w:type="dxa"/>
        <w:right w:w="57"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28" w:type="dxa"/>
        <w:left w:w="57" w:type="dxa"/>
        <w:bottom w:w="28" w:type="dxa"/>
        <w:right w:w="57" w:type="dxa"/>
      </w:tblCellMar>
    </w:tblPr>
  </w:style>
  <w:style w:type="table" w:customStyle="1" w:styleId="ab">
    <w:basedOn w:val="TableNormal"/>
    <w:tblPr>
      <w:tblStyleRowBandSize w:val="1"/>
      <w:tblStyleColBandSize w:val="1"/>
      <w:tblCellMar>
        <w:top w:w="28" w:type="dxa"/>
        <w:left w:w="57" w:type="dxa"/>
        <w:bottom w:w="28" w:type="dxa"/>
        <w:right w:w="57"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28" w:type="dxa"/>
        <w:left w:w="57" w:type="dxa"/>
        <w:bottom w:w="28" w:type="dxa"/>
        <w:right w:w="57"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28" w:type="dxa"/>
        <w:left w:w="57" w:type="dxa"/>
        <w:bottom w:w="28" w:type="dxa"/>
        <w:right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A0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56"/>
    <w:rPr>
      <w:rFonts w:ascii="Tahoma" w:hAnsi="Tahoma" w:cs="Tahoma"/>
      <w:sz w:val="16"/>
      <w:szCs w:val="16"/>
    </w:rPr>
  </w:style>
  <w:style w:type="character" w:styleId="CommentReference">
    <w:name w:val="annotation reference"/>
    <w:basedOn w:val="DefaultParagraphFont"/>
    <w:uiPriority w:val="99"/>
    <w:semiHidden/>
    <w:unhideWhenUsed/>
    <w:rsid w:val="0089544D"/>
    <w:rPr>
      <w:sz w:val="16"/>
      <w:szCs w:val="16"/>
    </w:rPr>
  </w:style>
  <w:style w:type="paragraph" w:styleId="CommentText">
    <w:name w:val="annotation text"/>
    <w:basedOn w:val="Normal"/>
    <w:link w:val="CommentTextChar"/>
    <w:uiPriority w:val="99"/>
    <w:unhideWhenUsed/>
    <w:rsid w:val="0089544D"/>
    <w:pPr>
      <w:spacing w:line="240" w:lineRule="auto"/>
    </w:pPr>
    <w:rPr>
      <w:sz w:val="20"/>
      <w:szCs w:val="20"/>
    </w:rPr>
  </w:style>
  <w:style w:type="character" w:customStyle="1" w:styleId="CommentTextChar">
    <w:name w:val="Comment Text Char"/>
    <w:basedOn w:val="DefaultParagraphFont"/>
    <w:link w:val="CommentText"/>
    <w:uiPriority w:val="99"/>
    <w:rsid w:val="0089544D"/>
    <w:rPr>
      <w:sz w:val="20"/>
      <w:szCs w:val="20"/>
    </w:rPr>
  </w:style>
  <w:style w:type="paragraph" w:styleId="CommentSubject">
    <w:name w:val="annotation subject"/>
    <w:basedOn w:val="CommentText"/>
    <w:next w:val="CommentText"/>
    <w:link w:val="CommentSubjectChar"/>
    <w:uiPriority w:val="99"/>
    <w:semiHidden/>
    <w:unhideWhenUsed/>
    <w:rsid w:val="0089544D"/>
    <w:rPr>
      <w:b/>
      <w:bCs/>
    </w:rPr>
  </w:style>
  <w:style w:type="character" w:customStyle="1" w:styleId="CommentSubjectChar">
    <w:name w:val="Comment Subject Char"/>
    <w:basedOn w:val="CommentTextChar"/>
    <w:link w:val="CommentSubject"/>
    <w:uiPriority w:val="99"/>
    <w:semiHidden/>
    <w:rsid w:val="0089544D"/>
    <w:rPr>
      <w:b/>
      <w:bCs/>
      <w:sz w:val="20"/>
      <w:szCs w:val="20"/>
    </w:rPr>
  </w:style>
  <w:style w:type="paragraph" w:styleId="Header">
    <w:name w:val="header"/>
    <w:basedOn w:val="Normal"/>
    <w:link w:val="HeaderChar"/>
    <w:uiPriority w:val="99"/>
    <w:unhideWhenUsed/>
    <w:rsid w:val="00D7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ECB"/>
  </w:style>
  <w:style w:type="paragraph" w:styleId="Footer">
    <w:name w:val="footer"/>
    <w:basedOn w:val="Normal"/>
    <w:link w:val="FooterChar"/>
    <w:uiPriority w:val="99"/>
    <w:unhideWhenUsed/>
    <w:rsid w:val="00D7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ECB"/>
  </w:style>
  <w:style w:type="paragraph" w:styleId="TOC1">
    <w:name w:val="toc 1"/>
    <w:basedOn w:val="Normal"/>
    <w:next w:val="Normal"/>
    <w:autoRedefine/>
    <w:uiPriority w:val="39"/>
    <w:unhideWhenUsed/>
    <w:rsid w:val="004177B1"/>
    <w:pPr>
      <w:spacing w:after="100"/>
    </w:pPr>
  </w:style>
  <w:style w:type="paragraph" w:styleId="TOC2">
    <w:name w:val="toc 2"/>
    <w:basedOn w:val="Normal"/>
    <w:next w:val="Normal"/>
    <w:autoRedefine/>
    <w:uiPriority w:val="39"/>
    <w:unhideWhenUsed/>
    <w:rsid w:val="004177B1"/>
    <w:pPr>
      <w:spacing w:after="100"/>
      <w:ind w:left="220"/>
    </w:pPr>
  </w:style>
  <w:style w:type="character" w:styleId="Hyperlink">
    <w:name w:val="Hyperlink"/>
    <w:basedOn w:val="DefaultParagraphFont"/>
    <w:uiPriority w:val="99"/>
    <w:unhideWhenUsed/>
    <w:rsid w:val="004177B1"/>
    <w:rPr>
      <w:color w:val="0000FF" w:themeColor="hyperlink"/>
      <w:u w:val="single"/>
    </w:rPr>
  </w:style>
  <w:style w:type="table" w:styleId="TableGrid">
    <w:name w:val="Table Grid"/>
    <w:basedOn w:val="TableNormal"/>
    <w:uiPriority w:val="59"/>
    <w:rsid w:val="00E71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719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19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6">
    <w:name w:val="Light List Accent 6"/>
    <w:basedOn w:val="TableNormal"/>
    <w:uiPriority w:val="61"/>
    <w:rsid w:val="00E7197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noteText">
    <w:name w:val="footnote text"/>
    <w:basedOn w:val="Normal"/>
    <w:link w:val="FootnoteTextChar"/>
    <w:uiPriority w:val="99"/>
    <w:semiHidden/>
    <w:unhideWhenUsed/>
    <w:rsid w:val="00C75FA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C75FA5"/>
    <w:rPr>
      <w:rFonts w:asciiTheme="minorHAnsi" w:eastAsiaTheme="minorHAnsi"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C75FA5"/>
    <w:rPr>
      <w:vertAlign w:val="superscript"/>
    </w:rPr>
  </w:style>
  <w:style w:type="character" w:styleId="UnresolvedMention">
    <w:name w:val="Unresolved Mention"/>
    <w:basedOn w:val="DefaultParagraphFont"/>
    <w:uiPriority w:val="99"/>
    <w:semiHidden/>
    <w:unhideWhenUsed/>
    <w:rsid w:val="00C75FA5"/>
    <w:rPr>
      <w:color w:val="605E5C"/>
      <w:shd w:val="clear" w:color="auto" w:fill="E1DFDD"/>
    </w:rPr>
  </w:style>
  <w:style w:type="paragraph" w:styleId="ListParagraph">
    <w:name w:val="List Paragraph"/>
    <w:basedOn w:val="Normal"/>
    <w:uiPriority w:val="34"/>
    <w:qFormat/>
    <w:rsid w:val="00C75FA5"/>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lang w:eastAsia="en-US"/>
    </w:rPr>
  </w:style>
  <w:style w:type="character" w:customStyle="1" w:styleId="Heading7Char">
    <w:name w:val="Heading 7 Char"/>
    <w:basedOn w:val="DefaultParagraphFont"/>
    <w:link w:val="Heading7"/>
    <w:uiPriority w:val="9"/>
    <w:rsid w:val="0066270A"/>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unhideWhenUsed/>
    <w:qFormat/>
    <w:rsid w:val="0066270A"/>
    <w:p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Bibliography">
    <w:name w:val="Bibliography"/>
    <w:basedOn w:val="Normal"/>
    <w:next w:val="Normal"/>
    <w:uiPriority w:val="37"/>
    <w:semiHidden/>
    <w:unhideWhenUsed/>
    <w:rsid w:val="00242F79"/>
  </w:style>
  <w:style w:type="paragraph" w:styleId="BlockText">
    <w:name w:val="Block Text"/>
    <w:basedOn w:val="Normal"/>
    <w:uiPriority w:val="99"/>
    <w:semiHidden/>
    <w:unhideWhenUsed/>
    <w:rsid w:val="00242F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42F79"/>
    <w:pPr>
      <w:spacing w:after="120"/>
    </w:pPr>
  </w:style>
  <w:style w:type="character" w:customStyle="1" w:styleId="BodyTextChar">
    <w:name w:val="Body Text Char"/>
    <w:basedOn w:val="DefaultParagraphFont"/>
    <w:link w:val="BodyText"/>
    <w:uiPriority w:val="99"/>
    <w:semiHidden/>
    <w:rsid w:val="00242F79"/>
  </w:style>
  <w:style w:type="paragraph" w:styleId="BodyText2">
    <w:name w:val="Body Text 2"/>
    <w:basedOn w:val="Normal"/>
    <w:link w:val="BodyText2Char"/>
    <w:uiPriority w:val="99"/>
    <w:semiHidden/>
    <w:unhideWhenUsed/>
    <w:rsid w:val="00242F79"/>
    <w:pPr>
      <w:spacing w:after="120" w:line="480" w:lineRule="auto"/>
    </w:pPr>
  </w:style>
  <w:style w:type="character" w:customStyle="1" w:styleId="BodyText2Char">
    <w:name w:val="Body Text 2 Char"/>
    <w:basedOn w:val="DefaultParagraphFont"/>
    <w:link w:val="BodyText2"/>
    <w:uiPriority w:val="99"/>
    <w:semiHidden/>
    <w:rsid w:val="00242F79"/>
  </w:style>
  <w:style w:type="paragraph" w:styleId="BodyText3">
    <w:name w:val="Body Text 3"/>
    <w:basedOn w:val="Normal"/>
    <w:link w:val="BodyText3Char"/>
    <w:uiPriority w:val="99"/>
    <w:semiHidden/>
    <w:unhideWhenUsed/>
    <w:rsid w:val="00242F79"/>
    <w:pPr>
      <w:spacing w:after="120"/>
    </w:pPr>
    <w:rPr>
      <w:sz w:val="16"/>
      <w:szCs w:val="16"/>
    </w:rPr>
  </w:style>
  <w:style w:type="character" w:customStyle="1" w:styleId="BodyText3Char">
    <w:name w:val="Body Text 3 Char"/>
    <w:basedOn w:val="DefaultParagraphFont"/>
    <w:link w:val="BodyText3"/>
    <w:uiPriority w:val="99"/>
    <w:semiHidden/>
    <w:rsid w:val="00242F79"/>
    <w:rPr>
      <w:sz w:val="16"/>
      <w:szCs w:val="16"/>
    </w:rPr>
  </w:style>
  <w:style w:type="paragraph" w:styleId="BodyTextFirstIndent">
    <w:name w:val="Body Text First Indent"/>
    <w:basedOn w:val="BodyText"/>
    <w:link w:val="BodyTextFirstIndentChar"/>
    <w:uiPriority w:val="99"/>
    <w:semiHidden/>
    <w:unhideWhenUsed/>
    <w:rsid w:val="00242F79"/>
    <w:pPr>
      <w:spacing w:after="200"/>
      <w:ind w:firstLine="360"/>
    </w:pPr>
  </w:style>
  <w:style w:type="character" w:customStyle="1" w:styleId="BodyTextFirstIndentChar">
    <w:name w:val="Body Text First Indent Char"/>
    <w:basedOn w:val="BodyTextChar"/>
    <w:link w:val="BodyTextFirstIndent"/>
    <w:uiPriority w:val="99"/>
    <w:semiHidden/>
    <w:rsid w:val="00242F79"/>
  </w:style>
  <w:style w:type="paragraph" w:styleId="BodyTextIndent">
    <w:name w:val="Body Text Indent"/>
    <w:basedOn w:val="Normal"/>
    <w:link w:val="BodyTextIndentChar"/>
    <w:uiPriority w:val="99"/>
    <w:semiHidden/>
    <w:unhideWhenUsed/>
    <w:rsid w:val="00242F79"/>
    <w:pPr>
      <w:spacing w:after="120"/>
      <w:ind w:left="283"/>
    </w:pPr>
  </w:style>
  <w:style w:type="character" w:customStyle="1" w:styleId="BodyTextIndentChar">
    <w:name w:val="Body Text Indent Char"/>
    <w:basedOn w:val="DefaultParagraphFont"/>
    <w:link w:val="BodyTextIndent"/>
    <w:uiPriority w:val="99"/>
    <w:semiHidden/>
    <w:rsid w:val="00242F79"/>
  </w:style>
  <w:style w:type="paragraph" w:styleId="BodyTextFirstIndent2">
    <w:name w:val="Body Text First Indent 2"/>
    <w:basedOn w:val="BodyTextIndent"/>
    <w:link w:val="BodyTextFirstIndent2Char"/>
    <w:uiPriority w:val="99"/>
    <w:semiHidden/>
    <w:unhideWhenUsed/>
    <w:rsid w:val="00242F7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42F79"/>
  </w:style>
  <w:style w:type="paragraph" w:styleId="BodyTextIndent2">
    <w:name w:val="Body Text Indent 2"/>
    <w:basedOn w:val="Normal"/>
    <w:link w:val="BodyTextIndent2Char"/>
    <w:uiPriority w:val="99"/>
    <w:semiHidden/>
    <w:unhideWhenUsed/>
    <w:rsid w:val="00242F79"/>
    <w:pPr>
      <w:spacing w:after="120" w:line="480" w:lineRule="auto"/>
      <w:ind w:left="283"/>
    </w:pPr>
  </w:style>
  <w:style w:type="character" w:customStyle="1" w:styleId="BodyTextIndent2Char">
    <w:name w:val="Body Text Indent 2 Char"/>
    <w:basedOn w:val="DefaultParagraphFont"/>
    <w:link w:val="BodyTextIndent2"/>
    <w:uiPriority w:val="99"/>
    <w:semiHidden/>
    <w:rsid w:val="00242F79"/>
  </w:style>
  <w:style w:type="paragraph" w:styleId="BodyTextIndent3">
    <w:name w:val="Body Text Indent 3"/>
    <w:basedOn w:val="Normal"/>
    <w:link w:val="BodyTextIndent3Char"/>
    <w:uiPriority w:val="99"/>
    <w:semiHidden/>
    <w:unhideWhenUsed/>
    <w:rsid w:val="00242F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2F79"/>
    <w:rPr>
      <w:sz w:val="16"/>
      <w:szCs w:val="16"/>
    </w:rPr>
  </w:style>
  <w:style w:type="paragraph" w:styleId="Caption">
    <w:name w:val="caption"/>
    <w:basedOn w:val="Normal"/>
    <w:next w:val="Normal"/>
    <w:uiPriority w:val="35"/>
    <w:semiHidden/>
    <w:unhideWhenUsed/>
    <w:qFormat/>
    <w:rsid w:val="00242F79"/>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42F79"/>
    <w:pPr>
      <w:spacing w:after="0" w:line="240" w:lineRule="auto"/>
      <w:ind w:left="4252"/>
    </w:pPr>
  </w:style>
  <w:style w:type="character" w:customStyle="1" w:styleId="ClosingChar">
    <w:name w:val="Closing Char"/>
    <w:basedOn w:val="DefaultParagraphFont"/>
    <w:link w:val="Closing"/>
    <w:uiPriority w:val="99"/>
    <w:semiHidden/>
    <w:rsid w:val="00242F79"/>
  </w:style>
  <w:style w:type="paragraph" w:styleId="Date">
    <w:name w:val="Date"/>
    <w:basedOn w:val="Normal"/>
    <w:next w:val="Normal"/>
    <w:link w:val="DateChar"/>
    <w:uiPriority w:val="99"/>
    <w:semiHidden/>
    <w:unhideWhenUsed/>
    <w:rsid w:val="00242F79"/>
  </w:style>
  <w:style w:type="character" w:customStyle="1" w:styleId="DateChar">
    <w:name w:val="Date Char"/>
    <w:basedOn w:val="DefaultParagraphFont"/>
    <w:link w:val="Date"/>
    <w:uiPriority w:val="99"/>
    <w:semiHidden/>
    <w:rsid w:val="00242F79"/>
  </w:style>
  <w:style w:type="paragraph" w:styleId="DocumentMap">
    <w:name w:val="Document Map"/>
    <w:basedOn w:val="Normal"/>
    <w:link w:val="DocumentMapChar"/>
    <w:uiPriority w:val="99"/>
    <w:semiHidden/>
    <w:unhideWhenUsed/>
    <w:rsid w:val="00242F7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2F79"/>
    <w:rPr>
      <w:rFonts w:ascii="Segoe UI" w:hAnsi="Segoe UI" w:cs="Segoe UI"/>
      <w:sz w:val="16"/>
      <w:szCs w:val="16"/>
    </w:rPr>
  </w:style>
  <w:style w:type="paragraph" w:styleId="E-mailSignature">
    <w:name w:val="E-mail Signature"/>
    <w:basedOn w:val="Normal"/>
    <w:link w:val="E-mailSignatureChar"/>
    <w:uiPriority w:val="99"/>
    <w:semiHidden/>
    <w:unhideWhenUsed/>
    <w:rsid w:val="00242F79"/>
    <w:pPr>
      <w:spacing w:after="0" w:line="240" w:lineRule="auto"/>
    </w:pPr>
  </w:style>
  <w:style w:type="character" w:customStyle="1" w:styleId="E-mailSignatureChar">
    <w:name w:val="E-mail Signature Char"/>
    <w:basedOn w:val="DefaultParagraphFont"/>
    <w:link w:val="E-mailSignature"/>
    <w:uiPriority w:val="99"/>
    <w:semiHidden/>
    <w:rsid w:val="00242F79"/>
  </w:style>
  <w:style w:type="paragraph" w:styleId="EndnoteText">
    <w:name w:val="endnote text"/>
    <w:basedOn w:val="Normal"/>
    <w:link w:val="EndnoteTextChar"/>
    <w:uiPriority w:val="99"/>
    <w:semiHidden/>
    <w:unhideWhenUsed/>
    <w:rsid w:val="00242F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2F79"/>
    <w:rPr>
      <w:sz w:val="20"/>
      <w:szCs w:val="20"/>
    </w:rPr>
  </w:style>
  <w:style w:type="paragraph" w:styleId="EnvelopeAddress">
    <w:name w:val="envelope address"/>
    <w:basedOn w:val="Normal"/>
    <w:uiPriority w:val="99"/>
    <w:semiHidden/>
    <w:unhideWhenUsed/>
    <w:rsid w:val="00242F7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2F79"/>
    <w:pPr>
      <w:spacing w:after="0" w:line="240" w:lineRule="auto"/>
    </w:pPr>
    <w:rPr>
      <w:rFonts w:asciiTheme="majorHAnsi" w:eastAsiaTheme="majorEastAsia" w:hAnsiTheme="majorHAnsi" w:cstheme="majorBidi"/>
      <w:sz w:val="20"/>
      <w:szCs w:val="20"/>
    </w:rPr>
  </w:style>
  <w:style w:type="character" w:customStyle="1" w:styleId="Heading8Char">
    <w:name w:val="Heading 8 Char"/>
    <w:basedOn w:val="DefaultParagraphFont"/>
    <w:link w:val="Heading8"/>
    <w:uiPriority w:val="9"/>
    <w:rsid w:val="00242F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F7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42F79"/>
    <w:pPr>
      <w:spacing w:after="0" w:line="240" w:lineRule="auto"/>
    </w:pPr>
    <w:rPr>
      <w:i/>
      <w:iCs/>
    </w:rPr>
  </w:style>
  <w:style w:type="character" w:customStyle="1" w:styleId="HTMLAddressChar">
    <w:name w:val="HTML Address Char"/>
    <w:basedOn w:val="DefaultParagraphFont"/>
    <w:link w:val="HTMLAddress"/>
    <w:uiPriority w:val="99"/>
    <w:semiHidden/>
    <w:rsid w:val="00242F79"/>
    <w:rPr>
      <w:i/>
      <w:iCs/>
    </w:rPr>
  </w:style>
  <w:style w:type="paragraph" w:styleId="HTMLPreformatted">
    <w:name w:val="HTML Preformatted"/>
    <w:basedOn w:val="Normal"/>
    <w:link w:val="HTMLPreformattedChar"/>
    <w:uiPriority w:val="99"/>
    <w:semiHidden/>
    <w:unhideWhenUsed/>
    <w:rsid w:val="00242F7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2F79"/>
    <w:rPr>
      <w:rFonts w:ascii="Consolas" w:hAnsi="Consolas"/>
      <w:sz w:val="20"/>
      <w:szCs w:val="20"/>
    </w:rPr>
  </w:style>
  <w:style w:type="paragraph" w:styleId="Index1">
    <w:name w:val="index 1"/>
    <w:basedOn w:val="Normal"/>
    <w:next w:val="Normal"/>
    <w:autoRedefine/>
    <w:uiPriority w:val="99"/>
    <w:semiHidden/>
    <w:unhideWhenUsed/>
    <w:rsid w:val="00242F79"/>
    <w:pPr>
      <w:spacing w:after="0" w:line="240" w:lineRule="auto"/>
      <w:ind w:left="220" w:hanging="220"/>
    </w:pPr>
  </w:style>
  <w:style w:type="paragraph" w:styleId="Index2">
    <w:name w:val="index 2"/>
    <w:basedOn w:val="Normal"/>
    <w:next w:val="Normal"/>
    <w:autoRedefine/>
    <w:uiPriority w:val="99"/>
    <w:semiHidden/>
    <w:unhideWhenUsed/>
    <w:rsid w:val="00242F79"/>
    <w:pPr>
      <w:spacing w:after="0" w:line="240" w:lineRule="auto"/>
      <w:ind w:left="440" w:hanging="220"/>
    </w:pPr>
  </w:style>
  <w:style w:type="paragraph" w:styleId="Index3">
    <w:name w:val="index 3"/>
    <w:basedOn w:val="Normal"/>
    <w:next w:val="Normal"/>
    <w:autoRedefine/>
    <w:uiPriority w:val="99"/>
    <w:semiHidden/>
    <w:unhideWhenUsed/>
    <w:rsid w:val="00242F79"/>
    <w:pPr>
      <w:spacing w:after="0" w:line="240" w:lineRule="auto"/>
      <w:ind w:left="660" w:hanging="220"/>
    </w:pPr>
  </w:style>
  <w:style w:type="paragraph" w:styleId="Index4">
    <w:name w:val="index 4"/>
    <w:basedOn w:val="Normal"/>
    <w:next w:val="Normal"/>
    <w:autoRedefine/>
    <w:uiPriority w:val="99"/>
    <w:semiHidden/>
    <w:unhideWhenUsed/>
    <w:rsid w:val="00242F79"/>
    <w:pPr>
      <w:spacing w:after="0" w:line="240" w:lineRule="auto"/>
      <w:ind w:left="880" w:hanging="220"/>
    </w:pPr>
  </w:style>
  <w:style w:type="paragraph" w:styleId="Index5">
    <w:name w:val="index 5"/>
    <w:basedOn w:val="Normal"/>
    <w:next w:val="Normal"/>
    <w:autoRedefine/>
    <w:uiPriority w:val="99"/>
    <w:semiHidden/>
    <w:unhideWhenUsed/>
    <w:rsid w:val="00242F79"/>
    <w:pPr>
      <w:spacing w:after="0" w:line="240" w:lineRule="auto"/>
      <w:ind w:left="1100" w:hanging="220"/>
    </w:pPr>
  </w:style>
  <w:style w:type="paragraph" w:styleId="Index6">
    <w:name w:val="index 6"/>
    <w:basedOn w:val="Normal"/>
    <w:next w:val="Normal"/>
    <w:autoRedefine/>
    <w:uiPriority w:val="99"/>
    <w:semiHidden/>
    <w:unhideWhenUsed/>
    <w:rsid w:val="00242F79"/>
    <w:pPr>
      <w:spacing w:after="0" w:line="240" w:lineRule="auto"/>
      <w:ind w:left="1320" w:hanging="220"/>
    </w:pPr>
  </w:style>
  <w:style w:type="paragraph" w:styleId="Index7">
    <w:name w:val="index 7"/>
    <w:basedOn w:val="Normal"/>
    <w:next w:val="Normal"/>
    <w:autoRedefine/>
    <w:uiPriority w:val="99"/>
    <w:semiHidden/>
    <w:unhideWhenUsed/>
    <w:rsid w:val="00242F79"/>
    <w:pPr>
      <w:spacing w:after="0" w:line="240" w:lineRule="auto"/>
      <w:ind w:left="1540" w:hanging="220"/>
    </w:pPr>
  </w:style>
  <w:style w:type="paragraph" w:styleId="Index8">
    <w:name w:val="index 8"/>
    <w:basedOn w:val="Normal"/>
    <w:next w:val="Normal"/>
    <w:autoRedefine/>
    <w:uiPriority w:val="99"/>
    <w:semiHidden/>
    <w:unhideWhenUsed/>
    <w:rsid w:val="00242F79"/>
    <w:pPr>
      <w:spacing w:after="0" w:line="240" w:lineRule="auto"/>
      <w:ind w:left="1760" w:hanging="220"/>
    </w:pPr>
  </w:style>
  <w:style w:type="paragraph" w:styleId="Index9">
    <w:name w:val="index 9"/>
    <w:basedOn w:val="Normal"/>
    <w:next w:val="Normal"/>
    <w:autoRedefine/>
    <w:uiPriority w:val="99"/>
    <w:semiHidden/>
    <w:unhideWhenUsed/>
    <w:rsid w:val="00242F79"/>
    <w:pPr>
      <w:spacing w:after="0" w:line="240" w:lineRule="auto"/>
      <w:ind w:left="1980" w:hanging="220"/>
    </w:pPr>
  </w:style>
  <w:style w:type="paragraph" w:styleId="IndexHeading">
    <w:name w:val="index heading"/>
    <w:basedOn w:val="Normal"/>
    <w:next w:val="Index1"/>
    <w:uiPriority w:val="99"/>
    <w:semiHidden/>
    <w:unhideWhenUsed/>
    <w:rsid w:val="00242F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2F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42F79"/>
    <w:rPr>
      <w:i/>
      <w:iCs/>
      <w:color w:val="4F81BD" w:themeColor="accent1"/>
    </w:rPr>
  </w:style>
  <w:style w:type="paragraph" w:styleId="List">
    <w:name w:val="List"/>
    <w:basedOn w:val="Normal"/>
    <w:uiPriority w:val="99"/>
    <w:semiHidden/>
    <w:unhideWhenUsed/>
    <w:rsid w:val="00242F79"/>
    <w:pPr>
      <w:ind w:left="283" w:hanging="283"/>
      <w:contextualSpacing/>
    </w:pPr>
  </w:style>
  <w:style w:type="paragraph" w:styleId="List2">
    <w:name w:val="List 2"/>
    <w:basedOn w:val="Normal"/>
    <w:uiPriority w:val="99"/>
    <w:semiHidden/>
    <w:unhideWhenUsed/>
    <w:rsid w:val="00242F79"/>
    <w:pPr>
      <w:ind w:left="566" w:hanging="283"/>
      <w:contextualSpacing/>
    </w:pPr>
  </w:style>
  <w:style w:type="paragraph" w:styleId="List3">
    <w:name w:val="List 3"/>
    <w:basedOn w:val="Normal"/>
    <w:uiPriority w:val="99"/>
    <w:semiHidden/>
    <w:unhideWhenUsed/>
    <w:rsid w:val="00242F79"/>
    <w:pPr>
      <w:ind w:left="849" w:hanging="283"/>
      <w:contextualSpacing/>
    </w:pPr>
  </w:style>
  <w:style w:type="paragraph" w:styleId="List4">
    <w:name w:val="List 4"/>
    <w:basedOn w:val="Normal"/>
    <w:uiPriority w:val="99"/>
    <w:semiHidden/>
    <w:unhideWhenUsed/>
    <w:rsid w:val="00242F79"/>
    <w:pPr>
      <w:ind w:left="1132" w:hanging="283"/>
      <w:contextualSpacing/>
    </w:pPr>
  </w:style>
  <w:style w:type="paragraph" w:styleId="List5">
    <w:name w:val="List 5"/>
    <w:basedOn w:val="Normal"/>
    <w:uiPriority w:val="99"/>
    <w:semiHidden/>
    <w:unhideWhenUsed/>
    <w:rsid w:val="00242F79"/>
    <w:pPr>
      <w:ind w:left="1415" w:hanging="283"/>
      <w:contextualSpacing/>
    </w:pPr>
  </w:style>
  <w:style w:type="paragraph" w:styleId="ListBullet">
    <w:name w:val="List Bullet"/>
    <w:basedOn w:val="Normal"/>
    <w:uiPriority w:val="99"/>
    <w:semiHidden/>
    <w:unhideWhenUsed/>
    <w:rsid w:val="00242F79"/>
    <w:pPr>
      <w:numPr>
        <w:numId w:val="3"/>
      </w:numPr>
      <w:contextualSpacing/>
    </w:pPr>
  </w:style>
  <w:style w:type="paragraph" w:styleId="ListBullet2">
    <w:name w:val="List Bullet 2"/>
    <w:basedOn w:val="Normal"/>
    <w:uiPriority w:val="99"/>
    <w:semiHidden/>
    <w:unhideWhenUsed/>
    <w:rsid w:val="00242F79"/>
    <w:pPr>
      <w:numPr>
        <w:numId w:val="4"/>
      </w:numPr>
      <w:contextualSpacing/>
    </w:pPr>
  </w:style>
  <w:style w:type="paragraph" w:styleId="ListBullet3">
    <w:name w:val="List Bullet 3"/>
    <w:basedOn w:val="Normal"/>
    <w:uiPriority w:val="99"/>
    <w:semiHidden/>
    <w:unhideWhenUsed/>
    <w:rsid w:val="00242F79"/>
    <w:pPr>
      <w:numPr>
        <w:numId w:val="5"/>
      </w:numPr>
      <w:contextualSpacing/>
    </w:pPr>
  </w:style>
  <w:style w:type="paragraph" w:styleId="ListBullet4">
    <w:name w:val="List Bullet 4"/>
    <w:basedOn w:val="Normal"/>
    <w:uiPriority w:val="99"/>
    <w:semiHidden/>
    <w:unhideWhenUsed/>
    <w:rsid w:val="00242F79"/>
    <w:pPr>
      <w:numPr>
        <w:numId w:val="6"/>
      </w:numPr>
      <w:contextualSpacing/>
    </w:pPr>
  </w:style>
  <w:style w:type="paragraph" w:styleId="ListBullet5">
    <w:name w:val="List Bullet 5"/>
    <w:basedOn w:val="Normal"/>
    <w:uiPriority w:val="99"/>
    <w:semiHidden/>
    <w:unhideWhenUsed/>
    <w:rsid w:val="00242F79"/>
    <w:pPr>
      <w:numPr>
        <w:numId w:val="7"/>
      </w:numPr>
      <w:contextualSpacing/>
    </w:pPr>
  </w:style>
  <w:style w:type="paragraph" w:styleId="ListContinue">
    <w:name w:val="List Continue"/>
    <w:basedOn w:val="Normal"/>
    <w:uiPriority w:val="99"/>
    <w:semiHidden/>
    <w:unhideWhenUsed/>
    <w:rsid w:val="00242F79"/>
    <w:pPr>
      <w:spacing w:after="120"/>
      <w:ind w:left="283"/>
      <w:contextualSpacing/>
    </w:pPr>
  </w:style>
  <w:style w:type="paragraph" w:styleId="ListContinue2">
    <w:name w:val="List Continue 2"/>
    <w:basedOn w:val="Normal"/>
    <w:uiPriority w:val="99"/>
    <w:semiHidden/>
    <w:unhideWhenUsed/>
    <w:rsid w:val="00242F79"/>
    <w:pPr>
      <w:spacing w:after="120"/>
      <w:ind w:left="566"/>
      <w:contextualSpacing/>
    </w:pPr>
  </w:style>
  <w:style w:type="paragraph" w:styleId="ListContinue3">
    <w:name w:val="List Continue 3"/>
    <w:basedOn w:val="Normal"/>
    <w:uiPriority w:val="99"/>
    <w:semiHidden/>
    <w:unhideWhenUsed/>
    <w:rsid w:val="00242F79"/>
    <w:pPr>
      <w:spacing w:after="120"/>
      <w:ind w:left="849"/>
      <w:contextualSpacing/>
    </w:pPr>
  </w:style>
  <w:style w:type="paragraph" w:styleId="ListContinue4">
    <w:name w:val="List Continue 4"/>
    <w:basedOn w:val="Normal"/>
    <w:uiPriority w:val="99"/>
    <w:semiHidden/>
    <w:unhideWhenUsed/>
    <w:rsid w:val="00242F79"/>
    <w:pPr>
      <w:spacing w:after="120"/>
      <w:ind w:left="1132"/>
      <w:contextualSpacing/>
    </w:pPr>
  </w:style>
  <w:style w:type="paragraph" w:styleId="ListContinue5">
    <w:name w:val="List Continue 5"/>
    <w:basedOn w:val="Normal"/>
    <w:uiPriority w:val="99"/>
    <w:semiHidden/>
    <w:unhideWhenUsed/>
    <w:rsid w:val="00242F79"/>
    <w:pPr>
      <w:spacing w:after="120"/>
      <w:ind w:left="1415"/>
      <w:contextualSpacing/>
    </w:pPr>
  </w:style>
  <w:style w:type="paragraph" w:styleId="ListNumber">
    <w:name w:val="List Number"/>
    <w:basedOn w:val="Normal"/>
    <w:uiPriority w:val="99"/>
    <w:semiHidden/>
    <w:unhideWhenUsed/>
    <w:rsid w:val="00242F79"/>
    <w:pPr>
      <w:numPr>
        <w:numId w:val="8"/>
      </w:numPr>
      <w:contextualSpacing/>
    </w:pPr>
  </w:style>
  <w:style w:type="paragraph" w:styleId="ListNumber2">
    <w:name w:val="List Number 2"/>
    <w:basedOn w:val="Normal"/>
    <w:uiPriority w:val="99"/>
    <w:semiHidden/>
    <w:unhideWhenUsed/>
    <w:rsid w:val="00242F79"/>
    <w:pPr>
      <w:numPr>
        <w:numId w:val="9"/>
      </w:numPr>
      <w:contextualSpacing/>
    </w:pPr>
  </w:style>
  <w:style w:type="paragraph" w:styleId="ListNumber3">
    <w:name w:val="List Number 3"/>
    <w:basedOn w:val="Normal"/>
    <w:uiPriority w:val="99"/>
    <w:semiHidden/>
    <w:unhideWhenUsed/>
    <w:rsid w:val="00242F79"/>
    <w:pPr>
      <w:numPr>
        <w:numId w:val="10"/>
      </w:numPr>
      <w:contextualSpacing/>
    </w:pPr>
  </w:style>
  <w:style w:type="paragraph" w:styleId="ListNumber4">
    <w:name w:val="List Number 4"/>
    <w:basedOn w:val="Normal"/>
    <w:uiPriority w:val="99"/>
    <w:semiHidden/>
    <w:unhideWhenUsed/>
    <w:rsid w:val="00242F79"/>
    <w:pPr>
      <w:numPr>
        <w:numId w:val="11"/>
      </w:numPr>
      <w:contextualSpacing/>
    </w:pPr>
  </w:style>
  <w:style w:type="paragraph" w:styleId="ListNumber5">
    <w:name w:val="List Number 5"/>
    <w:basedOn w:val="Normal"/>
    <w:uiPriority w:val="99"/>
    <w:semiHidden/>
    <w:unhideWhenUsed/>
    <w:rsid w:val="00242F79"/>
    <w:pPr>
      <w:numPr>
        <w:numId w:val="12"/>
      </w:numPr>
      <w:contextualSpacing/>
    </w:pPr>
  </w:style>
  <w:style w:type="paragraph" w:styleId="MacroText">
    <w:name w:val="macro"/>
    <w:link w:val="MacroTextChar"/>
    <w:uiPriority w:val="99"/>
    <w:semiHidden/>
    <w:unhideWhenUsed/>
    <w:rsid w:val="00242F7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42F79"/>
    <w:rPr>
      <w:rFonts w:ascii="Consolas" w:hAnsi="Consolas"/>
      <w:sz w:val="20"/>
      <w:szCs w:val="20"/>
    </w:rPr>
  </w:style>
  <w:style w:type="paragraph" w:styleId="MessageHeader">
    <w:name w:val="Message Header"/>
    <w:basedOn w:val="Normal"/>
    <w:link w:val="MessageHeaderChar"/>
    <w:uiPriority w:val="99"/>
    <w:semiHidden/>
    <w:unhideWhenUsed/>
    <w:rsid w:val="00242F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42F79"/>
    <w:rPr>
      <w:rFonts w:asciiTheme="majorHAnsi" w:eastAsiaTheme="majorEastAsia" w:hAnsiTheme="majorHAnsi" w:cstheme="majorBidi"/>
      <w:sz w:val="24"/>
      <w:szCs w:val="24"/>
      <w:shd w:val="pct20" w:color="auto" w:fill="auto"/>
    </w:rPr>
  </w:style>
  <w:style w:type="paragraph" w:styleId="NoSpacing">
    <w:name w:val="No Spacing"/>
    <w:uiPriority w:val="1"/>
    <w:qFormat/>
    <w:rsid w:val="00242F79"/>
    <w:pPr>
      <w:spacing w:after="0" w:line="240" w:lineRule="auto"/>
    </w:pPr>
  </w:style>
  <w:style w:type="paragraph" w:styleId="NormalWeb">
    <w:name w:val="Normal (Web)"/>
    <w:basedOn w:val="Normal"/>
    <w:uiPriority w:val="99"/>
    <w:semiHidden/>
    <w:unhideWhenUsed/>
    <w:rsid w:val="00242F79"/>
    <w:rPr>
      <w:rFonts w:ascii="Times New Roman" w:hAnsi="Times New Roman" w:cs="Times New Roman"/>
      <w:sz w:val="24"/>
      <w:szCs w:val="24"/>
    </w:rPr>
  </w:style>
  <w:style w:type="paragraph" w:styleId="NormalIndent">
    <w:name w:val="Normal Indent"/>
    <w:basedOn w:val="Normal"/>
    <w:uiPriority w:val="99"/>
    <w:semiHidden/>
    <w:unhideWhenUsed/>
    <w:rsid w:val="00242F79"/>
    <w:pPr>
      <w:ind w:left="720"/>
    </w:pPr>
  </w:style>
  <w:style w:type="paragraph" w:styleId="NoteHeading">
    <w:name w:val="Note Heading"/>
    <w:basedOn w:val="Normal"/>
    <w:next w:val="Normal"/>
    <w:link w:val="NoteHeadingChar"/>
    <w:uiPriority w:val="99"/>
    <w:semiHidden/>
    <w:unhideWhenUsed/>
    <w:rsid w:val="00242F79"/>
    <w:pPr>
      <w:spacing w:after="0" w:line="240" w:lineRule="auto"/>
    </w:pPr>
  </w:style>
  <w:style w:type="character" w:customStyle="1" w:styleId="NoteHeadingChar">
    <w:name w:val="Note Heading Char"/>
    <w:basedOn w:val="DefaultParagraphFont"/>
    <w:link w:val="NoteHeading"/>
    <w:uiPriority w:val="99"/>
    <w:semiHidden/>
    <w:rsid w:val="00242F79"/>
  </w:style>
  <w:style w:type="paragraph" w:styleId="PlainText">
    <w:name w:val="Plain Text"/>
    <w:basedOn w:val="Normal"/>
    <w:link w:val="PlainTextChar"/>
    <w:uiPriority w:val="99"/>
    <w:semiHidden/>
    <w:unhideWhenUsed/>
    <w:rsid w:val="00242F7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2F79"/>
    <w:rPr>
      <w:rFonts w:ascii="Consolas" w:hAnsi="Consolas"/>
      <w:sz w:val="21"/>
      <w:szCs w:val="21"/>
    </w:rPr>
  </w:style>
  <w:style w:type="paragraph" w:styleId="Quote">
    <w:name w:val="Quote"/>
    <w:basedOn w:val="Normal"/>
    <w:next w:val="Normal"/>
    <w:link w:val="QuoteChar"/>
    <w:uiPriority w:val="29"/>
    <w:qFormat/>
    <w:rsid w:val="00242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42F79"/>
    <w:rPr>
      <w:i/>
      <w:iCs/>
      <w:color w:val="404040" w:themeColor="text1" w:themeTint="BF"/>
    </w:rPr>
  </w:style>
  <w:style w:type="paragraph" w:styleId="Salutation">
    <w:name w:val="Salutation"/>
    <w:basedOn w:val="Normal"/>
    <w:next w:val="Normal"/>
    <w:link w:val="SalutationChar"/>
    <w:uiPriority w:val="99"/>
    <w:semiHidden/>
    <w:unhideWhenUsed/>
    <w:rsid w:val="00242F79"/>
  </w:style>
  <w:style w:type="character" w:customStyle="1" w:styleId="SalutationChar">
    <w:name w:val="Salutation Char"/>
    <w:basedOn w:val="DefaultParagraphFont"/>
    <w:link w:val="Salutation"/>
    <w:uiPriority w:val="99"/>
    <w:semiHidden/>
    <w:rsid w:val="00242F79"/>
  </w:style>
  <w:style w:type="paragraph" w:styleId="Signature">
    <w:name w:val="Signature"/>
    <w:basedOn w:val="Normal"/>
    <w:link w:val="SignatureChar"/>
    <w:uiPriority w:val="99"/>
    <w:semiHidden/>
    <w:unhideWhenUsed/>
    <w:rsid w:val="00242F79"/>
    <w:pPr>
      <w:spacing w:after="0" w:line="240" w:lineRule="auto"/>
      <w:ind w:left="4252"/>
    </w:pPr>
  </w:style>
  <w:style w:type="character" w:customStyle="1" w:styleId="SignatureChar">
    <w:name w:val="Signature Char"/>
    <w:basedOn w:val="DefaultParagraphFont"/>
    <w:link w:val="Signature"/>
    <w:uiPriority w:val="99"/>
    <w:semiHidden/>
    <w:rsid w:val="00242F79"/>
  </w:style>
  <w:style w:type="paragraph" w:styleId="TableofAuthorities">
    <w:name w:val="table of authorities"/>
    <w:basedOn w:val="Normal"/>
    <w:next w:val="Normal"/>
    <w:uiPriority w:val="99"/>
    <w:semiHidden/>
    <w:unhideWhenUsed/>
    <w:rsid w:val="00242F79"/>
    <w:pPr>
      <w:spacing w:after="0"/>
      <w:ind w:left="220" w:hanging="220"/>
    </w:pPr>
  </w:style>
  <w:style w:type="paragraph" w:styleId="TableofFigures">
    <w:name w:val="table of figures"/>
    <w:basedOn w:val="Normal"/>
    <w:next w:val="Normal"/>
    <w:uiPriority w:val="99"/>
    <w:semiHidden/>
    <w:unhideWhenUsed/>
    <w:rsid w:val="00242F79"/>
    <w:pPr>
      <w:spacing w:after="0"/>
    </w:pPr>
  </w:style>
  <w:style w:type="paragraph" w:styleId="TOAHeading">
    <w:name w:val="toa heading"/>
    <w:basedOn w:val="Normal"/>
    <w:next w:val="Normal"/>
    <w:uiPriority w:val="99"/>
    <w:semiHidden/>
    <w:unhideWhenUsed/>
    <w:rsid w:val="00242F79"/>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unhideWhenUsed/>
    <w:rsid w:val="00242F79"/>
    <w:pPr>
      <w:spacing w:after="100"/>
      <w:ind w:left="440"/>
    </w:pPr>
  </w:style>
  <w:style w:type="paragraph" w:styleId="TOC4">
    <w:name w:val="toc 4"/>
    <w:basedOn w:val="Normal"/>
    <w:next w:val="Normal"/>
    <w:autoRedefine/>
    <w:uiPriority w:val="39"/>
    <w:semiHidden/>
    <w:unhideWhenUsed/>
    <w:rsid w:val="00242F79"/>
    <w:pPr>
      <w:spacing w:after="100"/>
      <w:ind w:left="660"/>
    </w:pPr>
  </w:style>
  <w:style w:type="paragraph" w:styleId="TOC5">
    <w:name w:val="toc 5"/>
    <w:basedOn w:val="Normal"/>
    <w:next w:val="Normal"/>
    <w:autoRedefine/>
    <w:uiPriority w:val="39"/>
    <w:semiHidden/>
    <w:unhideWhenUsed/>
    <w:rsid w:val="00242F79"/>
    <w:pPr>
      <w:spacing w:after="100"/>
      <w:ind w:left="880"/>
    </w:pPr>
  </w:style>
  <w:style w:type="paragraph" w:styleId="TOC6">
    <w:name w:val="toc 6"/>
    <w:basedOn w:val="Normal"/>
    <w:next w:val="Normal"/>
    <w:autoRedefine/>
    <w:uiPriority w:val="39"/>
    <w:semiHidden/>
    <w:unhideWhenUsed/>
    <w:rsid w:val="00242F79"/>
    <w:pPr>
      <w:spacing w:after="100"/>
      <w:ind w:left="1100"/>
    </w:pPr>
  </w:style>
  <w:style w:type="paragraph" w:styleId="TOC7">
    <w:name w:val="toc 7"/>
    <w:basedOn w:val="Normal"/>
    <w:next w:val="Normal"/>
    <w:autoRedefine/>
    <w:uiPriority w:val="39"/>
    <w:semiHidden/>
    <w:unhideWhenUsed/>
    <w:rsid w:val="00242F79"/>
    <w:pPr>
      <w:spacing w:after="100"/>
      <w:ind w:left="1320"/>
    </w:pPr>
  </w:style>
  <w:style w:type="paragraph" w:styleId="TOC8">
    <w:name w:val="toc 8"/>
    <w:basedOn w:val="Normal"/>
    <w:next w:val="Normal"/>
    <w:autoRedefine/>
    <w:uiPriority w:val="39"/>
    <w:semiHidden/>
    <w:unhideWhenUsed/>
    <w:rsid w:val="00242F79"/>
    <w:pPr>
      <w:spacing w:after="100"/>
      <w:ind w:left="1540"/>
    </w:pPr>
  </w:style>
  <w:style w:type="paragraph" w:styleId="TOC9">
    <w:name w:val="toc 9"/>
    <w:basedOn w:val="Normal"/>
    <w:next w:val="Normal"/>
    <w:autoRedefine/>
    <w:uiPriority w:val="39"/>
    <w:semiHidden/>
    <w:unhideWhenUsed/>
    <w:rsid w:val="00242F79"/>
    <w:pPr>
      <w:spacing w:after="100"/>
      <w:ind w:left="1760"/>
    </w:pPr>
  </w:style>
  <w:style w:type="character" w:styleId="FollowedHyperlink">
    <w:name w:val="FollowedHyperlink"/>
    <w:basedOn w:val="DefaultParagraphFont"/>
    <w:uiPriority w:val="99"/>
    <w:semiHidden/>
    <w:unhideWhenUsed/>
    <w:rsid w:val="00805F3C"/>
    <w:rPr>
      <w:color w:val="800080" w:themeColor="followedHyperlink"/>
      <w:u w:val="single"/>
    </w:rPr>
  </w:style>
  <w:style w:type="character" w:styleId="Mention">
    <w:name w:val="Mention"/>
    <w:basedOn w:val="DefaultParagraphFont"/>
    <w:uiPriority w:val="99"/>
    <w:unhideWhenUsed/>
    <w:rsid w:val="00B613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67500">
      <w:bodyDiv w:val="1"/>
      <w:marLeft w:val="0"/>
      <w:marRight w:val="0"/>
      <w:marTop w:val="0"/>
      <w:marBottom w:val="0"/>
      <w:divBdr>
        <w:top w:val="none" w:sz="0" w:space="0" w:color="auto"/>
        <w:left w:val="none" w:sz="0" w:space="0" w:color="auto"/>
        <w:bottom w:val="none" w:sz="0" w:space="0" w:color="auto"/>
        <w:right w:val="none" w:sz="0" w:space="0" w:color="auto"/>
      </w:divBdr>
    </w:div>
    <w:div w:id="1371490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taServicesSupport@nhsbsa.nhs.uk" TargetMode="External"/><Relationship Id="rId18" Type="http://schemas.openxmlformats.org/officeDocument/2006/relationships/hyperlink" Target="https://www.gov.uk/government/publications/urinary-tract-infection-diagnosis" TargetMode="External"/><Relationship Id="rId26" Type="http://schemas.openxmlformats.org/officeDocument/2006/relationships/hyperlink" Target="https://www.nice.org.uk/guidance/ng109" TargetMode="External"/><Relationship Id="rId39" Type="http://schemas.openxmlformats.org/officeDocument/2006/relationships/hyperlink" Target="https://model.nhs.uk/" TargetMode="External"/><Relationship Id="rId21" Type="http://schemas.openxmlformats.org/officeDocument/2006/relationships/hyperlink" Target="https://www.nice.org.uk/guidance/ng109" TargetMode="External"/><Relationship Id="rId34" Type="http://schemas.openxmlformats.org/officeDocument/2006/relationships/hyperlink" Target="https://www.nice.org.uk/guidance/ng112" TargetMode="External"/><Relationship Id="rId42" Type="http://schemas.openxmlformats.org/officeDocument/2006/relationships/hyperlink" Target="https://www.nice.org.uk/guidance/cg139" TargetMode="External"/><Relationship Id="rId47" Type="http://schemas.microsoft.com/office/2016/09/relationships/commentsIds" Target="commentsIds.xm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ng112" TargetMode="External"/><Relationship Id="rId29" Type="http://schemas.openxmlformats.org/officeDocument/2006/relationships/hyperlink" Target="https://www.nice.org.uk/guidance/ng112" TargetMode="External"/><Relationship Id="rId11" Type="http://schemas.openxmlformats.org/officeDocument/2006/relationships/hyperlink" Target="https://www.gov.uk/government/publications/uk-5-year-action-plan-for-antimicrobial-resistance-2024-to-2029" TargetMode="External"/><Relationship Id="rId24" Type="http://schemas.openxmlformats.org/officeDocument/2006/relationships/hyperlink" Target="https://model.nhs.uk/" TargetMode="External"/><Relationship Id="rId32" Type="http://schemas.openxmlformats.org/officeDocument/2006/relationships/hyperlink" Target="https://www.gov.uk/government/publications/urinary-tract-infection-diagnosis" TargetMode="External"/><Relationship Id="rId37" Type="http://schemas.openxmlformats.org/officeDocument/2006/relationships/hyperlink" Target="https://www.gov.uk/drug-safety-update/nitrofurantoin-reminder-of-the-risks-of-pulmonary-and-hepatic-adverse-drug-reactions" TargetMode="External"/><Relationship Id="rId40" Type="http://schemas.openxmlformats.org/officeDocument/2006/relationships/hyperlink" Target="https://www.gov.uk/government/publications/urinary-tract-infection-diagnosis" TargetMode="External"/><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ice.org.uk/guidance/ng109" TargetMode="External"/><Relationship Id="rId31" Type="http://schemas.openxmlformats.org/officeDocument/2006/relationships/hyperlink" Target="https://model.nhs.uk/" TargetMode="External"/><Relationship Id="rId44" Type="http://schemas.openxmlformats.org/officeDocument/2006/relationships/hyperlink" Target="https://www.gov.uk/government/publications/urinary-tract-infection-diagnosi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109" TargetMode="External"/><Relationship Id="rId22" Type="http://schemas.openxmlformats.org/officeDocument/2006/relationships/hyperlink" Target="https://www.nice.org.uk/guidance/ng112" TargetMode="External"/><Relationship Id="rId27" Type="http://schemas.openxmlformats.org/officeDocument/2006/relationships/hyperlink" Target="https://www.nice.org.uk/guidance/ng112" TargetMode="External"/><Relationship Id="rId30" Type="http://schemas.openxmlformats.org/officeDocument/2006/relationships/hyperlink" Target="https://www.nice.org.uk/guidance/ng112" TargetMode="External"/><Relationship Id="rId35" Type="http://schemas.openxmlformats.org/officeDocument/2006/relationships/hyperlink" Target="https://model.nhs.uk/" TargetMode="External"/><Relationship Id="rId43" Type="http://schemas.openxmlformats.org/officeDocument/2006/relationships/hyperlink" Target="https://model.nhs.uk/" TargetMode="External"/><Relationship Id="rId48"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nice.org.uk/guidance/health-protection/communicable-diseases/antimicrobial-stewardship" TargetMode="External"/><Relationship Id="rId17" Type="http://schemas.openxmlformats.org/officeDocument/2006/relationships/hyperlink" Target="https://model.nhs.uk/" TargetMode="External"/><Relationship Id="rId25" Type="http://schemas.openxmlformats.org/officeDocument/2006/relationships/hyperlink" Target="https://www.gov.uk/government/publications/urinary-tract-infection-diagnosis" TargetMode="External"/><Relationship Id="rId33" Type="http://schemas.openxmlformats.org/officeDocument/2006/relationships/hyperlink" Target="https://www.nice.org.uk/guidance/ng109" TargetMode="External"/><Relationship Id="rId38" Type="http://schemas.openxmlformats.org/officeDocument/2006/relationships/hyperlink" Target="https://www.nice.org.uk/guidance/ng112" TargetMode="External"/><Relationship Id="rId46" Type="http://schemas.microsoft.com/office/2011/relationships/commentsExtended" Target="commentsExtended.xml"/><Relationship Id="rId20" Type="http://schemas.openxmlformats.org/officeDocument/2006/relationships/hyperlink" Target="https://www.nice.org.uk/guidance/ng112" TargetMode="External"/><Relationship Id="rId41" Type="http://schemas.openxmlformats.org/officeDocument/2006/relationships/hyperlink" Target="https://www.nice.org.uk/guidance/ng11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ce.org.uk/guidance/ng109" TargetMode="External"/><Relationship Id="rId23" Type="http://schemas.openxmlformats.org/officeDocument/2006/relationships/hyperlink" Target="https://www.nice.org.uk/guidance/ng112" TargetMode="External"/><Relationship Id="rId28" Type="http://schemas.openxmlformats.org/officeDocument/2006/relationships/hyperlink" Target="https://www.nice.org.uk/guidance/ng109" TargetMode="External"/><Relationship Id="rId36" Type="http://schemas.openxmlformats.org/officeDocument/2006/relationships/hyperlink" Target="https://www.gov.uk/government/publications/urinary-tract-infection-diagnosis"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3" ma:contentTypeDescription="Create a new document." ma:contentTypeScope="" ma:versionID="cc14768faa940ca74fc582a27ed0d4fb">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5b5f3a75e9060a708cec84035c704085"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b86cd2-d370-4f57-9db8-681c4fb37596">
      <Terms xmlns="http://schemas.microsoft.com/office/infopath/2007/PartnerControls"/>
    </lcf76f155ced4ddcb4097134ff3c332f>
    <_ip_UnifiedCompliancePolicyProperties xmlns="http://schemas.microsoft.com/sharepoint/v3" xsi:nil="true"/>
    <TaxCatchAll xmlns="2799d30d-6731-4efe-ac9b-c4895a8828d9" xsi:nil="true"/>
  </documentManagement>
</p:properties>
</file>

<file path=customXml/itemProps1.xml><?xml version="1.0" encoding="utf-8"?>
<ds:datastoreItem xmlns:ds="http://schemas.openxmlformats.org/officeDocument/2006/customXml" ds:itemID="{9CB185AC-9084-4B1B-9590-192A6746FA87}">
  <ds:schemaRefs>
    <ds:schemaRef ds:uri="http://schemas.openxmlformats.org/officeDocument/2006/bibliography"/>
  </ds:schemaRefs>
</ds:datastoreItem>
</file>

<file path=customXml/itemProps2.xml><?xml version="1.0" encoding="utf-8"?>
<ds:datastoreItem xmlns:ds="http://schemas.openxmlformats.org/officeDocument/2006/customXml" ds:itemID="{483FCAD0-7C46-4227-8FFD-E4B775EE07ED}">
  <ds:schemaRefs>
    <ds:schemaRef ds:uri="http://schemas.microsoft.com/sharepoint/v3/contenttype/forms"/>
  </ds:schemaRefs>
</ds:datastoreItem>
</file>

<file path=customXml/itemProps3.xml><?xml version="1.0" encoding="utf-8"?>
<ds:datastoreItem xmlns:ds="http://schemas.openxmlformats.org/officeDocument/2006/customXml" ds:itemID="{1F2ADD7F-9265-468F-BADD-9C2D64533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30597-6724-43F7-9DAA-E6FE5FBC5477}">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7030</Words>
  <Characters>40076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Antimicrobial Stewardship UTI dashboard</vt:lpstr>
    </vt:vector>
  </TitlesOfParts>
  <Company>NHSBSA</Company>
  <LinksUpToDate>false</LinksUpToDate>
  <CharactersWithSpaces>47012</CharactersWithSpaces>
  <SharedDoc>false</SharedDoc>
  <HLinks>
    <vt:vector size="168" baseType="variant">
      <vt:variant>
        <vt:i4>2424921</vt:i4>
      </vt:variant>
      <vt:variant>
        <vt:i4>123</vt:i4>
      </vt:variant>
      <vt:variant>
        <vt:i4>0</vt:i4>
      </vt:variant>
      <vt:variant>
        <vt:i4>5</vt:i4>
      </vt:variant>
      <vt:variant>
        <vt:lpwstr>mailto:help@nhsbsa.nhs.uk</vt:lpwstr>
      </vt:variant>
      <vt:variant>
        <vt:lpwstr/>
      </vt:variant>
      <vt:variant>
        <vt:i4>1179697</vt:i4>
      </vt:variant>
      <vt:variant>
        <vt:i4>116</vt:i4>
      </vt:variant>
      <vt:variant>
        <vt:i4>0</vt:i4>
      </vt:variant>
      <vt:variant>
        <vt:i4>5</vt:i4>
      </vt:variant>
      <vt:variant>
        <vt:lpwstr/>
      </vt:variant>
      <vt:variant>
        <vt:lpwstr>_Toc143504303</vt:lpwstr>
      </vt:variant>
      <vt:variant>
        <vt:i4>1179697</vt:i4>
      </vt:variant>
      <vt:variant>
        <vt:i4>110</vt:i4>
      </vt:variant>
      <vt:variant>
        <vt:i4>0</vt:i4>
      </vt:variant>
      <vt:variant>
        <vt:i4>5</vt:i4>
      </vt:variant>
      <vt:variant>
        <vt:lpwstr/>
      </vt:variant>
      <vt:variant>
        <vt:lpwstr>_Toc143504302</vt:lpwstr>
      </vt:variant>
      <vt:variant>
        <vt:i4>1179697</vt:i4>
      </vt:variant>
      <vt:variant>
        <vt:i4>104</vt:i4>
      </vt:variant>
      <vt:variant>
        <vt:i4>0</vt:i4>
      </vt:variant>
      <vt:variant>
        <vt:i4>5</vt:i4>
      </vt:variant>
      <vt:variant>
        <vt:lpwstr/>
      </vt:variant>
      <vt:variant>
        <vt:lpwstr>_Toc143504301</vt:lpwstr>
      </vt:variant>
      <vt:variant>
        <vt:i4>1179697</vt:i4>
      </vt:variant>
      <vt:variant>
        <vt:i4>98</vt:i4>
      </vt:variant>
      <vt:variant>
        <vt:i4>0</vt:i4>
      </vt:variant>
      <vt:variant>
        <vt:i4>5</vt:i4>
      </vt:variant>
      <vt:variant>
        <vt:lpwstr/>
      </vt:variant>
      <vt:variant>
        <vt:lpwstr>_Toc143504300</vt:lpwstr>
      </vt:variant>
      <vt:variant>
        <vt:i4>1769520</vt:i4>
      </vt:variant>
      <vt:variant>
        <vt:i4>92</vt:i4>
      </vt:variant>
      <vt:variant>
        <vt:i4>0</vt:i4>
      </vt:variant>
      <vt:variant>
        <vt:i4>5</vt:i4>
      </vt:variant>
      <vt:variant>
        <vt:lpwstr/>
      </vt:variant>
      <vt:variant>
        <vt:lpwstr>_Toc143504299</vt:lpwstr>
      </vt:variant>
      <vt:variant>
        <vt:i4>1769520</vt:i4>
      </vt:variant>
      <vt:variant>
        <vt:i4>86</vt:i4>
      </vt:variant>
      <vt:variant>
        <vt:i4>0</vt:i4>
      </vt:variant>
      <vt:variant>
        <vt:i4>5</vt:i4>
      </vt:variant>
      <vt:variant>
        <vt:lpwstr/>
      </vt:variant>
      <vt:variant>
        <vt:lpwstr>_Toc143504298</vt:lpwstr>
      </vt:variant>
      <vt:variant>
        <vt:i4>1769520</vt:i4>
      </vt:variant>
      <vt:variant>
        <vt:i4>80</vt:i4>
      </vt:variant>
      <vt:variant>
        <vt:i4>0</vt:i4>
      </vt:variant>
      <vt:variant>
        <vt:i4>5</vt:i4>
      </vt:variant>
      <vt:variant>
        <vt:lpwstr/>
      </vt:variant>
      <vt:variant>
        <vt:lpwstr>_Toc143504297</vt:lpwstr>
      </vt:variant>
      <vt:variant>
        <vt:i4>1769520</vt:i4>
      </vt:variant>
      <vt:variant>
        <vt:i4>74</vt:i4>
      </vt:variant>
      <vt:variant>
        <vt:i4>0</vt:i4>
      </vt:variant>
      <vt:variant>
        <vt:i4>5</vt:i4>
      </vt:variant>
      <vt:variant>
        <vt:lpwstr/>
      </vt:variant>
      <vt:variant>
        <vt:lpwstr>_Toc143504296</vt:lpwstr>
      </vt:variant>
      <vt:variant>
        <vt:i4>1769520</vt:i4>
      </vt:variant>
      <vt:variant>
        <vt:i4>68</vt:i4>
      </vt:variant>
      <vt:variant>
        <vt:i4>0</vt:i4>
      </vt:variant>
      <vt:variant>
        <vt:i4>5</vt:i4>
      </vt:variant>
      <vt:variant>
        <vt:lpwstr/>
      </vt:variant>
      <vt:variant>
        <vt:lpwstr>_Toc143504295</vt:lpwstr>
      </vt:variant>
      <vt:variant>
        <vt:i4>1769520</vt:i4>
      </vt:variant>
      <vt:variant>
        <vt:i4>62</vt:i4>
      </vt:variant>
      <vt:variant>
        <vt:i4>0</vt:i4>
      </vt:variant>
      <vt:variant>
        <vt:i4>5</vt:i4>
      </vt:variant>
      <vt:variant>
        <vt:lpwstr/>
      </vt:variant>
      <vt:variant>
        <vt:lpwstr>_Toc143504294</vt:lpwstr>
      </vt:variant>
      <vt:variant>
        <vt:i4>1769520</vt:i4>
      </vt:variant>
      <vt:variant>
        <vt:i4>56</vt:i4>
      </vt:variant>
      <vt:variant>
        <vt:i4>0</vt:i4>
      </vt:variant>
      <vt:variant>
        <vt:i4>5</vt:i4>
      </vt:variant>
      <vt:variant>
        <vt:lpwstr/>
      </vt:variant>
      <vt:variant>
        <vt:lpwstr>_Toc143504293</vt:lpwstr>
      </vt:variant>
      <vt:variant>
        <vt:i4>1769520</vt:i4>
      </vt:variant>
      <vt:variant>
        <vt:i4>50</vt:i4>
      </vt:variant>
      <vt:variant>
        <vt:i4>0</vt:i4>
      </vt:variant>
      <vt:variant>
        <vt:i4>5</vt:i4>
      </vt:variant>
      <vt:variant>
        <vt:lpwstr/>
      </vt:variant>
      <vt:variant>
        <vt:lpwstr>_Toc143504292</vt:lpwstr>
      </vt:variant>
      <vt:variant>
        <vt:i4>1769520</vt:i4>
      </vt:variant>
      <vt:variant>
        <vt:i4>44</vt:i4>
      </vt:variant>
      <vt:variant>
        <vt:i4>0</vt:i4>
      </vt:variant>
      <vt:variant>
        <vt:i4>5</vt:i4>
      </vt:variant>
      <vt:variant>
        <vt:lpwstr/>
      </vt:variant>
      <vt:variant>
        <vt:lpwstr>_Toc143504291</vt:lpwstr>
      </vt:variant>
      <vt:variant>
        <vt:i4>1769520</vt:i4>
      </vt:variant>
      <vt:variant>
        <vt:i4>38</vt:i4>
      </vt:variant>
      <vt:variant>
        <vt:i4>0</vt:i4>
      </vt:variant>
      <vt:variant>
        <vt:i4>5</vt:i4>
      </vt:variant>
      <vt:variant>
        <vt:lpwstr/>
      </vt:variant>
      <vt:variant>
        <vt:lpwstr>_Toc143504290</vt:lpwstr>
      </vt:variant>
      <vt:variant>
        <vt:i4>1703984</vt:i4>
      </vt:variant>
      <vt:variant>
        <vt:i4>32</vt:i4>
      </vt:variant>
      <vt:variant>
        <vt:i4>0</vt:i4>
      </vt:variant>
      <vt:variant>
        <vt:i4>5</vt:i4>
      </vt:variant>
      <vt:variant>
        <vt:lpwstr/>
      </vt:variant>
      <vt:variant>
        <vt:lpwstr>_Toc143504289</vt:lpwstr>
      </vt:variant>
      <vt:variant>
        <vt:i4>1703984</vt:i4>
      </vt:variant>
      <vt:variant>
        <vt:i4>26</vt:i4>
      </vt:variant>
      <vt:variant>
        <vt:i4>0</vt:i4>
      </vt:variant>
      <vt:variant>
        <vt:i4>5</vt:i4>
      </vt:variant>
      <vt:variant>
        <vt:lpwstr/>
      </vt:variant>
      <vt:variant>
        <vt:lpwstr>_Toc143504288</vt:lpwstr>
      </vt:variant>
      <vt:variant>
        <vt:i4>1703984</vt:i4>
      </vt:variant>
      <vt:variant>
        <vt:i4>20</vt:i4>
      </vt:variant>
      <vt:variant>
        <vt:i4>0</vt:i4>
      </vt:variant>
      <vt:variant>
        <vt:i4>5</vt:i4>
      </vt:variant>
      <vt:variant>
        <vt:lpwstr/>
      </vt:variant>
      <vt:variant>
        <vt:lpwstr>_Toc143504287</vt:lpwstr>
      </vt:variant>
      <vt:variant>
        <vt:i4>1703984</vt:i4>
      </vt:variant>
      <vt:variant>
        <vt:i4>14</vt:i4>
      </vt:variant>
      <vt:variant>
        <vt:i4>0</vt:i4>
      </vt:variant>
      <vt:variant>
        <vt:i4>5</vt:i4>
      </vt:variant>
      <vt:variant>
        <vt:lpwstr/>
      </vt:variant>
      <vt:variant>
        <vt:lpwstr>_Toc143504286</vt:lpwstr>
      </vt:variant>
      <vt:variant>
        <vt:i4>1703984</vt:i4>
      </vt:variant>
      <vt:variant>
        <vt:i4>8</vt:i4>
      </vt:variant>
      <vt:variant>
        <vt:i4>0</vt:i4>
      </vt:variant>
      <vt:variant>
        <vt:i4>5</vt:i4>
      </vt:variant>
      <vt:variant>
        <vt:lpwstr/>
      </vt:variant>
      <vt:variant>
        <vt:lpwstr>_Toc143504285</vt:lpwstr>
      </vt:variant>
      <vt:variant>
        <vt:i4>1703984</vt:i4>
      </vt:variant>
      <vt:variant>
        <vt:i4>2</vt:i4>
      </vt:variant>
      <vt:variant>
        <vt:i4>0</vt:i4>
      </vt:variant>
      <vt:variant>
        <vt:i4>5</vt:i4>
      </vt:variant>
      <vt:variant>
        <vt:lpwstr/>
      </vt:variant>
      <vt:variant>
        <vt:lpwstr>_Toc143504284</vt:lpwstr>
      </vt:variant>
      <vt:variant>
        <vt:i4>7274509</vt:i4>
      </vt:variant>
      <vt:variant>
        <vt:i4>18</vt:i4>
      </vt:variant>
      <vt:variant>
        <vt:i4>0</vt:i4>
      </vt:variant>
      <vt:variant>
        <vt:i4>5</vt:i4>
      </vt:variant>
      <vt:variant>
        <vt:lpwstr>mailto:NIOMA@NHSBSA.NHS.UK</vt:lpwstr>
      </vt:variant>
      <vt:variant>
        <vt:lpwstr/>
      </vt:variant>
      <vt:variant>
        <vt:i4>7274509</vt:i4>
      </vt:variant>
      <vt:variant>
        <vt:i4>15</vt:i4>
      </vt:variant>
      <vt:variant>
        <vt:i4>0</vt:i4>
      </vt:variant>
      <vt:variant>
        <vt:i4>5</vt:i4>
      </vt:variant>
      <vt:variant>
        <vt:lpwstr>mailto:NIOMA@NHSBSA.NHS.UK</vt:lpwstr>
      </vt:variant>
      <vt:variant>
        <vt:lpwstr/>
      </vt:variant>
      <vt:variant>
        <vt:i4>7274509</vt:i4>
      </vt:variant>
      <vt:variant>
        <vt:i4>12</vt:i4>
      </vt:variant>
      <vt:variant>
        <vt:i4>0</vt:i4>
      </vt:variant>
      <vt:variant>
        <vt:i4>5</vt:i4>
      </vt:variant>
      <vt:variant>
        <vt:lpwstr>mailto:NIOMA@NHSBSA.NHS.UK</vt:lpwstr>
      </vt:variant>
      <vt:variant>
        <vt:lpwstr/>
      </vt:variant>
      <vt:variant>
        <vt:i4>7274509</vt:i4>
      </vt:variant>
      <vt:variant>
        <vt:i4>9</vt:i4>
      </vt:variant>
      <vt:variant>
        <vt:i4>0</vt:i4>
      </vt:variant>
      <vt:variant>
        <vt:i4>5</vt:i4>
      </vt:variant>
      <vt:variant>
        <vt:lpwstr>mailto:NIOMA@NHSBSA.NHS.UK</vt:lpwstr>
      </vt:variant>
      <vt:variant>
        <vt:lpwstr/>
      </vt:variant>
      <vt:variant>
        <vt:i4>7274509</vt:i4>
      </vt:variant>
      <vt:variant>
        <vt:i4>6</vt:i4>
      </vt:variant>
      <vt:variant>
        <vt:i4>0</vt:i4>
      </vt:variant>
      <vt:variant>
        <vt:i4>5</vt:i4>
      </vt:variant>
      <vt:variant>
        <vt:lpwstr>mailto:NIOMA@NHSBSA.NHS.UK</vt:lpwstr>
      </vt:variant>
      <vt:variant>
        <vt:lpwstr/>
      </vt:variant>
      <vt:variant>
        <vt:i4>7274509</vt:i4>
      </vt:variant>
      <vt:variant>
        <vt:i4>3</vt:i4>
      </vt:variant>
      <vt:variant>
        <vt:i4>0</vt:i4>
      </vt:variant>
      <vt:variant>
        <vt:i4>5</vt:i4>
      </vt:variant>
      <vt:variant>
        <vt:lpwstr>mailto:NIOMA@NHSBSA.NHS.UK</vt:lpwstr>
      </vt:variant>
      <vt:variant>
        <vt:lpwstr/>
      </vt:variant>
      <vt:variant>
        <vt:i4>7274509</vt:i4>
      </vt:variant>
      <vt:variant>
        <vt:i4>0</vt:i4>
      </vt:variant>
      <vt:variant>
        <vt:i4>0</vt:i4>
      </vt:variant>
      <vt:variant>
        <vt:i4>5</vt:i4>
      </vt:variant>
      <vt:variant>
        <vt:lpwstr>mailto:NIOMA@NHSBSA.NHS.UK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Antimicrobial Stewardship UTI dashboard</dc:title>
  <dc:subject/>
  <dc:creator>Mark Gordon</dc:creator>
  <cp:keywords/>
  <cp:lastModifiedBy>Mark Gordon</cp:lastModifiedBy>
  <cp:revision>9</cp:revision>
  <cp:lastPrinted>2021-02-11T23:56:00Z</cp:lastPrinted>
  <dcterms:created xsi:type="dcterms:W3CDTF">2024-10-22T11:33:00Z</dcterms:created>
  <dcterms:modified xsi:type="dcterms:W3CDTF">2024-10-25T09:23:00Z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Order">
    <vt:r8>100</vt:r8>
  </property>
  <property fmtid="{D5CDD505-2E9C-101B-9397-08002B2CF9AE}" pid="4" name="MediaServiceImageTags">
    <vt:lpwstr/>
  </property>
</Properties>
</file>