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922D9" w14:textId="2322D64C" w:rsidR="00947B3A" w:rsidRDefault="00036337" w:rsidP="00036337">
      <w:pPr>
        <w:widowControl w:val="0"/>
        <w:kinsoku w:val="0"/>
        <w:overflowPunct w:val="0"/>
        <w:autoSpaceDE w:val="0"/>
        <w:autoSpaceDN w:val="0"/>
        <w:adjustRightInd w:val="0"/>
        <w:spacing w:after="240" w:line="240" w:lineRule="auto"/>
        <w:outlineLvl w:val="0"/>
        <w:rPr>
          <w:rFonts w:eastAsia="Times New Roman" w:cs="Arial"/>
          <w:b/>
          <w:bCs/>
          <w:color w:val="006FC0"/>
          <w:spacing w:val="-2"/>
          <w:kern w:val="0"/>
          <w:sz w:val="32"/>
          <w:szCs w:val="36"/>
          <w:lang w:eastAsia="en-GB"/>
          <w14:ligatures w14:val="none"/>
        </w:rPr>
      </w:pPr>
      <w:bookmarkStart w:id="0" w:name="_Toc184040782"/>
      <w:bookmarkStart w:id="1" w:name="_Toc184040818"/>
      <w:r>
        <w:rPr>
          <w:noProof/>
        </w:rPr>
        <w:drawing>
          <wp:anchor distT="0" distB="0" distL="114300" distR="114300" simplePos="0" relativeHeight="251659264" behindDoc="1" locked="0" layoutInCell="1" allowOverlap="1" wp14:anchorId="0A83F7C8" wp14:editId="26F918C4">
            <wp:simplePos x="0" y="0"/>
            <wp:positionH relativeFrom="page">
              <wp:align>left</wp:align>
            </wp:positionH>
            <wp:positionV relativeFrom="paragraph">
              <wp:posOffset>-914400</wp:posOffset>
            </wp:positionV>
            <wp:extent cx="7560000" cy="1700569"/>
            <wp:effectExtent l="0" t="0" r="3175" b="0"/>
            <wp:wrapNone/>
            <wp:docPr id="17772524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252435"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700569"/>
                    </a:xfrm>
                    <a:prstGeom prst="rect">
                      <a:avLst/>
                    </a:prstGeom>
                  </pic:spPr>
                </pic:pic>
              </a:graphicData>
            </a:graphic>
            <wp14:sizeRelH relativeFrom="page">
              <wp14:pctWidth>0</wp14:pctWidth>
            </wp14:sizeRelH>
            <wp14:sizeRelV relativeFrom="page">
              <wp14:pctHeight>0</wp14:pctHeight>
            </wp14:sizeRelV>
          </wp:anchor>
        </w:drawing>
      </w:r>
      <w:bookmarkEnd w:id="0"/>
      <w:bookmarkEnd w:id="1"/>
    </w:p>
    <w:p w14:paraId="175EE137" w14:textId="77777777" w:rsidR="00947B3A" w:rsidRDefault="00947B3A" w:rsidP="00036337">
      <w:pPr>
        <w:widowControl w:val="0"/>
        <w:kinsoku w:val="0"/>
        <w:overflowPunct w:val="0"/>
        <w:autoSpaceDE w:val="0"/>
        <w:autoSpaceDN w:val="0"/>
        <w:adjustRightInd w:val="0"/>
        <w:spacing w:after="240" w:line="240" w:lineRule="auto"/>
        <w:outlineLvl w:val="0"/>
        <w:rPr>
          <w:rFonts w:eastAsia="Times New Roman" w:cs="Arial"/>
          <w:b/>
          <w:bCs/>
          <w:color w:val="006FC0"/>
          <w:spacing w:val="-2"/>
          <w:kern w:val="0"/>
          <w:sz w:val="32"/>
          <w:szCs w:val="36"/>
          <w:lang w:eastAsia="en-GB"/>
          <w14:ligatures w14:val="none"/>
        </w:rPr>
      </w:pPr>
    </w:p>
    <w:p w14:paraId="5212F090" w14:textId="77777777" w:rsidR="00947B3A" w:rsidRDefault="00947B3A" w:rsidP="00036337">
      <w:pPr>
        <w:widowControl w:val="0"/>
        <w:kinsoku w:val="0"/>
        <w:overflowPunct w:val="0"/>
        <w:autoSpaceDE w:val="0"/>
        <w:autoSpaceDN w:val="0"/>
        <w:adjustRightInd w:val="0"/>
        <w:spacing w:after="240" w:line="240" w:lineRule="auto"/>
        <w:outlineLvl w:val="0"/>
        <w:rPr>
          <w:rFonts w:eastAsia="Times New Roman" w:cs="Arial"/>
          <w:b/>
          <w:bCs/>
          <w:color w:val="006FC0"/>
          <w:spacing w:val="-2"/>
          <w:kern w:val="0"/>
          <w:sz w:val="32"/>
          <w:szCs w:val="36"/>
          <w:lang w:eastAsia="en-GB"/>
          <w14:ligatures w14:val="none"/>
        </w:rPr>
      </w:pPr>
    </w:p>
    <w:bookmarkStart w:id="2" w:name="_Toc184040783"/>
    <w:bookmarkStart w:id="3" w:name="_Toc184040819"/>
    <w:p w14:paraId="10C01B48" w14:textId="6F92E5E7" w:rsidR="00947B3A" w:rsidRDefault="00036337" w:rsidP="00036337">
      <w:pPr>
        <w:widowControl w:val="0"/>
        <w:kinsoku w:val="0"/>
        <w:overflowPunct w:val="0"/>
        <w:autoSpaceDE w:val="0"/>
        <w:autoSpaceDN w:val="0"/>
        <w:adjustRightInd w:val="0"/>
        <w:spacing w:after="240" w:line="240" w:lineRule="auto"/>
        <w:outlineLvl w:val="0"/>
        <w:rPr>
          <w:rFonts w:eastAsia="Times New Roman" w:cs="Arial"/>
          <w:b/>
          <w:bCs/>
          <w:color w:val="006FC0"/>
          <w:spacing w:val="-2"/>
          <w:kern w:val="0"/>
          <w:sz w:val="32"/>
          <w:szCs w:val="36"/>
          <w:lang w:eastAsia="en-GB"/>
          <w14:ligatures w14:val="none"/>
        </w:rPr>
      </w:pPr>
      <w:r w:rsidRPr="00036337">
        <w:rPr>
          <w:rFonts w:cs="Arial"/>
          <w:b/>
          <w:bCs/>
          <w:noProof/>
          <w:color w:val="FFFFFF" w:themeColor="background1"/>
          <w:sz w:val="52"/>
          <w:szCs w:val="52"/>
        </w:rPr>
        <mc:AlternateContent>
          <mc:Choice Requires="wps">
            <w:drawing>
              <wp:anchor distT="0" distB="0" distL="114300" distR="114300" simplePos="0" relativeHeight="251661312" behindDoc="1" locked="0" layoutInCell="1" allowOverlap="1" wp14:anchorId="5F8CA81E" wp14:editId="33B0F8EB">
                <wp:simplePos x="0" y="0"/>
                <wp:positionH relativeFrom="margin">
                  <wp:posOffset>-124460</wp:posOffset>
                </wp:positionH>
                <wp:positionV relativeFrom="paragraph">
                  <wp:posOffset>368622</wp:posOffset>
                </wp:positionV>
                <wp:extent cx="2783840" cy="491490"/>
                <wp:effectExtent l="0" t="0" r="0" b="3810"/>
                <wp:wrapNone/>
                <wp:docPr id="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83840" cy="491490"/>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86E28D" id="Rectangle 1" o:spid="_x0000_s1026" alt="&quot;&quot;" style="position:absolute;margin-left:-9.8pt;margin-top:29.05pt;width:219.2pt;height:38.7pt;z-index:-2516551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qc4gQIAAF8FAAAOAAAAZHJzL2Uyb0RvYy54bWysVE1v2zAMvQ/YfxB0X+1k6ZoGdYqsXYcB&#10;RVusHXpWZCk2IIsapcTJfv0o+SNdN+wwLAdFMslH8ulRF5f7xrCdQl+DLfjkJOdMWQllbTcF//Z0&#10;827OmQ/ClsKAVQU/KM8vl2/fXLRuoaZQgSkVMgKxftG6glchuEWWeVmpRvgTcMqSUQM2ItARN1mJ&#10;oiX0xmTTPP+QtYClQ5DKe/p63Rn5MuFrrWS419qrwEzBqbaQVkzrOq7Z8kIsNihcVcu+DPEPVTSi&#10;tpR0hLoWQbAt1r9BNbVE8KDDiYQmA61rqVIP1M0kf9XNYyWcSr0QOd6NNPn/Byvvdo/uAYmG1vmF&#10;p23sYq+xif9UH9snsg4jWWofmKSP07P5+/mMOJVkm51PZueJzewY7dCHzwoaFjcFR7qMxJHY3fpA&#10;Gcl1cInJPJi6vKmNSQfcrK8Msp2IF5effvo4j3dFIb+4GRudLcSwzhy/ZMde0i4cjIp+xn5VmtVl&#10;rD5VkmSmxjxCSmXDpDNVolRd+tOcfkP2KMwYkWpJgBFZU/4RuwcYPDuQAbursvePoSqpdAzO/1ZY&#10;FzxGpMxgwxjc1BbwTwCGuuozd/4DSR01kaU1lIcHZAjdjHgnb2q6t1vhw4NAGgq6ahr0cE+LNtAW&#10;HPodZxXgjz99j/6kVbJy1tKQFdx/3wpUnJkvllRMqokKCukwOz2b0gFfWtYvLXbbXAHJYUJPipNp&#10;G/2DGbYaoXmm92AVs5JJWEm5Cy4DDoer0A0/vShSrVbJjSbRiXBrH52M4JHVqMun/bNA14s3kOzv&#10;YBhIsXil4c43RlpYbQPoOgn8yGvPN01xEk7/4sRn4uU5eR3fxeVPAAAA//8DAFBLAwQUAAYACAAA&#10;ACEAplSxseIAAAAKAQAADwAAAGRycy9kb3ducmV2LnhtbEyPwU7DMBBE70j8g7VIXKrWCZAqhDgV&#10;IODChZaqKjc33iZR43UUu23I17Oc4Ljap5k3+WKwrThh7xtHCuJZBAKpdKahSsH683WagvBBk9Gt&#10;I1TwjR4WxeVFrjPjzrTE0ypUgkPIZ1pBHUKXSenLGq32M9ch8W/veqsDn30lTa/PHG5beRNFc2l1&#10;Q9xQ6w6faywPq6NVUPlkMnFfH++b5X58Oozj5mXr35S6vhoeH0AEHMIfDL/6rA4FO+3ckYwXrYJp&#10;fD9nVEGSxiAYuItT3rJj8jZJQBa5/D+h+AEAAP//AwBQSwECLQAUAAYACAAAACEAtoM4kv4AAADh&#10;AQAAEwAAAAAAAAAAAAAAAAAAAAAAW0NvbnRlbnRfVHlwZXNdLnhtbFBLAQItABQABgAIAAAAIQA4&#10;/SH/1gAAAJQBAAALAAAAAAAAAAAAAAAAAC8BAABfcmVscy8ucmVsc1BLAQItABQABgAIAAAAIQC5&#10;Mqc4gQIAAF8FAAAOAAAAAAAAAAAAAAAAAC4CAABkcnMvZTJvRG9jLnhtbFBLAQItABQABgAIAAAA&#10;IQCmVLGx4gAAAAoBAAAPAAAAAAAAAAAAAAAAANsEAABkcnMvZG93bnJldi54bWxQSwUGAAAAAAQA&#10;BADzAAAA6gUAAAAA&#10;" fillcolor="#005eb8" stroked="f" strokeweight="1pt">
                <w10:wrap anchorx="margin"/>
              </v:rect>
            </w:pict>
          </mc:Fallback>
        </mc:AlternateContent>
      </w:r>
      <w:bookmarkEnd w:id="2"/>
      <w:bookmarkEnd w:id="3"/>
    </w:p>
    <w:p w14:paraId="2C4ECAC4" w14:textId="3ECD9326" w:rsidR="00036337" w:rsidRPr="00036337" w:rsidRDefault="00036337" w:rsidP="00036337">
      <w:pPr>
        <w:pStyle w:val="Heading1"/>
        <w:spacing w:before="0" w:after="240"/>
        <w:rPr>
          <w:color w:val="FFFFFF" w:themeColor="background1"/>
        </w:rPr>
      </w:pPr>
      <w:bookmarkStart w:id="4" w:name="_Toc184040784"/>
      <w:bookmarkStart w:id="5" w:name="_Toc184040820"/>
      <w:r w:rsidRPr="00036337">
        <w:rPr>
          <w:color w:val="FFFFFF" w:themeColor="background1"/>
          <w:sz w:val="56"/>
          <w:szCs w:val="56"/>
        </w:rPr>
        <w:t>NHS Pensions</w:t>
      </w:r>
      <w:bookmarkEnd w:id="4"/>
      <w:bookmarkEnd w:id="5"/>
    </w:p>
    <w:p w14:paraId="0E789A9B" w14:textId="77777777" w:rsidR="00947B3A" w:rsidRDefault="00947B3A" w:rsidP="00036337">
      <w:pPr>
        <w:widowControl w:val="0"/>
        <w:kinsoku w:val="0"/>
        <w:overflowPunct w:val="0"/>
        <w:autoSpaceDE w:val="0"/>
        <w:autoSpaceDN w:val="0"/>
        <w:adjustRightInd w:val="0"/>
        <w:spacing w:after="240" w:line="240" w:lineRule="auto"/>
        <w:outlineLvl w:val="0"/>
        <w:rPr>
          <w:rFonts w:eastAsia="Times New Roman" w:cs="Arial"/>
          <w:b/>
          <w:bCs/>
          <w:color w:val="006FC0"/>
          <w:spacing w:val="-2"/>
          <w:kern w:val="0"/>
          <w:sz w:val="32"/>
          <w:szCs w:val="36"/>
          <w:lang w:eastAsia="en-GB"/>
          <w14:ligatures w14:val="none"/>
        </w:rPr>
      </w:pPr>
    </w:p>
    <w:p w14:paraId="3F0B7411" w14:textId="6F186BF3" w:rsidR="00947B3A" w:rsidRPr="004421AE" w:rsidRDefault="001A5C13" w:rsidP="00036337">
      <w:pPr>
        <w:pStyle w:val="Heading1"/>
        <w:spacing w:before="0" w:after="240"/>
        <w:rPr>
          <w:rFonts w:eastAsia="Aptos"/>
        </w:rPr>
      </w:pPr>
      <w:bookmarkStart w:id="6" w:name="_Toc184040785"/>
      <w:bookmarkStart w:id="7" w:name="_Toc184040821"/>
      <w:r w:rsidRPr="004421AE">
        <w:rPr>
          <w:rFonts w:eastAsia="Aptos"/>
        </w:rPr>
        <w:t xml:space="preserve">NHS Pensions GP Certificate of </w:t>
      </w:r>
      <w:r w:rsidR="007F5693">
        <w:rPr>
          <w:rFonts w:eastAsia="Aptos"/>
        </w:rPr>
        <w:t>p</w:t>
      </w:r>
      <w:r w:rsidRPr="004421AE">
        <w:rPr>
          <w:rFonts w:eastAsia="Aptos"/>
        </w:rPr>
        <w:t xml:space="preserve">ensionable </w:t>
      </w:r>
      <w:r w:rsidR="007F5693">
        <w:rPr>
          <w:rFonts w:eastAsia="Aptos"/>
        </w:rPr>
        <w:t>p</w:t>
      </w:r>
      <w:r w:rsidRPr="004421AE">
        <w:rPr>
          <w:rFonts w:eastAsia="Aptos"/>
        </w:rPr>
        <w:t xml:space="preserve">rofits </w:t>
      </w:r>
      <w:r w:rsidR="00947B3A" w:rsidRPr="004421AE">
        <w:rPr>
          <w:rFonts w:eastAsia="Aptos"/>
        </w:rPr>
        <w:t xml:space="preserve">2023/24 </w:t>
      </w:r>
      <w:r w:rsidR="007F5693">
        <w:rPr>
          <w:rFonts w:eastAsia="Aptos"/>
        </w:rPr>
        <w:t>b</w:t>
      </w:r>
      <w:r w:rsidR="00947B3A" w:rsidRPr="004421AE">
        <w:rPr>
          <w:rFonts w:eastAsia="Aptos"/>
        </w:rPr>
        <w:t xml:space="preserve">asis </w:t>
      </w:r>
      <w:r w:rsidR="007F5693">
        <w:rPr>
          <w:rFonts w:eastAsia="Aptos"/>
        </w:rPr>
        <w:t>p</w:t>
      </w:r>
      <w:r w:rsidR="00947B3A" w:rsidRPr="004421AE">
        <w:rPr>
          <w:rFonts w:eastAsia="Aptos"/>
        </w:rPr>
        <w:t xml:space="preserve">eriod </w:t>
      </w:r>
      <w:r w:rsidR="007F5693">
        <w:rPr>
          <w:rFonts w:eastAsia="Aptos"/>
        </w:rPr>
        <w:t>r</w:t>
      </w:r>
      <w:r w:rsidR="00947B3A" w:rsidRPr="004421AE">
        <w:rPr>
          <w:rFonts w:eastAsia="Aptos"/>
        </w:rPr>
        <w:t xml:space="preserve">eform </w:t>
      </w:r>
      <w:r w:rsidR="007F5693">
        <w:rPr>
          <w:rFonts w:eastAsia="Aptos"/>
        </w:rPr>
        <w:t>g</w:t>
      </w:r>
      <w:r w:rsidR="00947B3A" w:rsidRPr="004421AE">
        <w:rPr>
          <w:rFonts w:eastAsia="Aptos"/>
        </w:rPr>
        <w:t xml:space="preserve">uidance </w:t>
      </w:r>
      <w:r w:rsidR="007F5693">
        <w:rPr>
          <w:rFonts w:eastAsia="Aptos"/>
        </w:rPr>
        <w:t>n</w:t>
      </w:r>
      <w:r w:rsidR="00947B3A" w:rsidRPr="004421AE">
        <w:rPr>
          <w:rFonts w:eastAsia="Aptos"/>
        </w:rPr>
        <w:t>ote</w:t>
      </w:r>
      <w:bookmarkEnd w:id="6"/>
      <w:bookmarkEnd w:id="7"/>
    </w:p>
    <w:p w14:paraId="18FF913D" w14:textId="77777777" w:rsidR="00947B3A" w:rsidRDefault="00947B3A" w:rsidP="00036337">
      <w:pPr>
        <w:widowControl w:val="0"/>
        <w:kinsoku w:val="0"/>
        <w:overflowPunct w:val="0"/>
        <w:autoSpaceDE w:val="0"/>
        <w:autoSpaceDN w:val="0"/>
        <w:adjustRightInd w:val="0"/>
        <w:spacing w:after="240" w:line="240" w:lineRule="auto"/>
        <w:outlineLvl w:val="0"/>
        <w:rPr>
          <w:rFonts w:eastAsia="Times New Roman" w:cs="Arial"/>
          <w:b/>
          <w:bCs/>
          <w:color w:val="006FC0"/>
          <w:spacing w:val="-2"/>
          <w:kern w:val="0"/>
          <w:sz w:val="32"/>
          <w:szCs w:val="36"/>
          <w:lang w:eastAsia="en-GB"/>
          <w14:ligatures w14:val="none"/>
        </w:rPr>
      </w:pPr>
    </w:p>
    <w:p w14:paraId="2D669661" w14:textId="77777777" w:rsidR="00947B3A" w:rsidRDefault="00947B3A" w:rsidP="00036337">
      <w:pPr>
        <w:widowControl w:val="0"/>
        <w:kinsoku w:val="0"/>
        <w:overflowPunct w:val="0"/>
        <w:autoSpaceDE w:val="0"/>
        <w:autoSpaceDN w:val="0"/>
        <w:adjustRightInd w:val="0"/>
        <w:spacing w:after="240" w:line="240" w:lineRule="auto"/>
        <w:outlineLvl w:val="0"/>
        <w:rPr>
          <w:rFonts w:eastAsia="Times New Roman" w:cs="Arial"/>
          <w:b/>
          <w:bCs/>
          <w:color w:val="006FC0"/>
          <w:spacing w:val="-2"/>
          <w:kern w:val="0"/>
          <w:sz w:val="32"/>
          <w:szCs w:val="36"/>
          <w:lang w:eastAsia="en-GB"/>
          <w14:ligatures w14:val="none"/>
        </w:rPr>
      </w:pPr>
    </w:p>
    <w:p w14:paraId="505AB54F" w14:textId="77777777" w:rsidR="00947B3A" w:rsidRDefault="00947B3A" w:rsidP="00036337">
      <w:pPr>
        <w:widowControl w:val="0"/>
        <w:kinsoku w:val="0"/>
        <w:overflowPunct w:val="0"/>
        <w:autoSpaceDE w:val="0"/>
        <w:autoSpaceDN w:val="0"/>
        <w:adjustRightInd w:val="0"/>
        <w:spacing w:after="240" w:line="240" w:lineRule="auto"/>
        <w:outlineLvl w:val="0"/>
        <w:rPr>
          <w:rFonts w:eastAsia="Times New Roman" w:cs="Arial"/>
          <w:b/>
          <w:bCs/>
          <w:color w:val="006FC0"/>
          <w:spacing w:val="-2"/>
          <w:kern w:val="0"/>
          <w:sz w:val="32"/>
          <w:szCs w:val="36"/>
          <w:lang w:eastAsia="en-GB"/>
          <w14:ligatures w14:val="none"/>
        </w:rPr>
      </w:pPr>
    </w:p>
    <w:p w14:paraId="77F31D9B" w14:textId="77777777" w:rsidR="00947B3A" w:rsidRDefault="00947B3A" w:rsidP="00036337">
      <w:pPr>
        <w:widowControl w:val="0"/>
        <w:kinsoku w:val="0"/>
        <w:overflowPunct w:val="0"/>
        <w:autoSpaceDE w:val="0"/>
        <w:autoSpaceDN w:val="0"/>
        <w:adjustRightInd w:val="0"/>
        <w:spacing w:after="240" w:line="240" w:lineRule="auto"/>
        <w:outlineLvl w:val="0"/>
        <w:rPr>
          <w:rFonts w:eastAsia="Times New Roman" w:cs="Arial"/>
          <w:b/>
          <w:bCs/>
          <w:color w:val="006FC0"/>
          <w:spacing w:val="-2"/>
          <w:kern w:val="0"/>
          <w:sz w:val="32"/>
          <w:szCs w:val="36"/>
          <w:lang w:eastAsia="en-GB"/>
          <w14:ligatures w14:val="none"/>
        </w:rPr>
      </w:pPr>
    </w:p>
    <w:p w14:paraId="24951152" w14:textId="77777777" w:rsidR="00947B3A" w:rsidRDefault="00947B3A" w:rsidP="00036337">
      <w:pPr>
        <w:widowControl w:val="0"/>
        <w:kinsoku w:val="0"/>
        <w:overflowPunct w:val="0"/>
        <w:autoSpaceDE w:val="0"/>
        <w:autoSpaceDN w:val="0"/>
        <w:adjustRightInd w:val="0"/>
        <w:spacing w:after="240" w:line="240" w:lineRule="auto"/>
        <w:outlineLvl w:val="0"/>
        <w:rPr>
          <w:rFonts w:eastAsia="Times New Roman" w:cs="Arial"/>
          <w:b/>
          <w:bCs/>
          <w:color w:val="006FC0"/>
          <w:spacing w:val="-2"/>
          <w:kern w:val="0"/>
          <w:sz w:val="32"/>
          <w:szCs w:val="36"/>
          <w:lang w:eastAsia="en-GB"/>
          <w14:ligatures w14:val="none"/>
        </w:rPr>
      </w:pPr>
    </w:p>
    <w:p w14:paraId="23E4E41A" w14:textId="77777777" w:rsidR="00947B3A" w:rsidRDefault="00947B3A" w:rsidP="00036337">
      <w:pPr>
        <w:widowControl w:val="0"/>
        <w:kinsoku w:val="0"/>
        <w:overflowPunct w:val="0"/>
        <w:autoSpaceDE w:val="0"/>
        <w:autoSpaceDN w:val="0"/>
        <w:adjustRightInd w:val="0"/>
        <w:spacing w:after="240" w:line="240" w:lineRule="auto"/>
        <w:outlineLvl w:val="0"/>
        <w:rPr>
          <w:rFonts w:eastAsia="Times New Roman" w:cs="Arial"/>
          <w:b/>
          <w:bCs/>
          <w:color w:val="006FC0"/>
          <w:spacing w:val="-2"/>
          <w:kern w:val="0"/>
          <w:sz w:val="32"/>
          <w:szCs w:val="36"/>
          <w:lang w:eastAsia="en-GB"/>
          <w14:ligatures w14:val="none"/>
        </w:rPr>
      </w:pPr>
    </w:p>
    <w:p w14:paraId="3144E3B4" w14:textId="77777777" w:rsidR="00947B3A" w:rsidRDefault="00947B3A" w:rsidP="00036337">
      <w:pPr>
        <w:widowControl w:val="0"/>
        <w:kinsoku w:val="0"/>
        <w:overflowPunct w:val="0"/>
        <w:autoSpaceDE w:val="0"/>
        <w:autoSpaceDN w:val="0"/>
        <w:adjustRightInd w:val="0"/>
        <w:spacing w:after="240" w:line="240" w:lineRule="auto"/>
        <w:outlineLvl w:val="0"/>
        <w:rPr>
          <w:rFonts w:eastAsia="Times New Roman" w:cs="Arial"/>
          <w:b/>
          <w:bCs/>
          <w:color w:val="006FC0"/>
          <w:spacing w:val="-2"/>
          <w:kern w:val="0"/>
          <w:sz w:val="32"/>
          <w:szCs w:val="36"/>
          <w:lang w:eastAsia="en-GB"/>
          <w14:ligatures w14:val="none"/>
        </w:rPr>
      </w:pPr>
    </w:p>
    <w:p w14:paraId="499AEA75" w14:textId="77777777" w:rsidR="00947B3A" w:rsidRDefault="00947B3A" w:rsidP="00036337">
      <w:pPr>
        <w:widowControl w:val="0"/>
        <w:kinsoku w:val="0"/>
        <w:overflowPunct w:val="0"/>
        <w:autoSpaceDE w:val="0"/>
        <w:autoSpaceDN w:val="0"/>
        <w:adjustRightInd w:val="0"/>
        <w:spacing w:after="240" w:line="240" w:lineRule="auto"/>
        <w:outlineLvl w:val="0"/>
        <w:rPr>
          <w:rFonts w:eastAsia="Times New Roman" w:cs="Arial"/>
          <w:b/>
          <w:bCs/>
          <w:color w:val="006FC0"/>
          <w:spacing w:val="-2"/>
          <w:kern w:val="0"/>
          <w:sz w:val="32"/>
          <w:szCs w:val="36"/>
          <w:lang w:eastAsia="en-GB"/>
          <w14:ligatures w14:val="none"/>
        </w:rPr>
      </w:pPr>
    </w:p>
    <w:p w14:paraId="39AB57C4" w14:textId="77777777" w:rsidR="00947B3A" w:rsidRDefault="00947B3A" w:rsidP="00036337">
      <w:pPr>
        <w:widowControl w:val="0"/>
        <w:kinsoku w:val="0"/>
        <w:overflowPunct w:val="0"/>
        <w:autoSpaceDE w:val="0"/>
        <w:autoSpaceDN w:val="0"/>
        <w:adjustRightInd w:val="0"/>
        <w:spacing w:after="240" w:line="240" w:lineRule="auto"/>
        <w:outlineLvl w:val="0"/>
        <w:rPr>
          <w:rFonts w:eastAsia="Times New Roman" w:cs="Arial"/>
          <w:b/>
          <w:bCs/>
          <w:color w:val="006FC0"/>
          <w:spacing w:val="-2"/>
          <w:kern w:val="0"/>
          <w:sz w:val="32"/>
          <w:szCs w:val="36"/>
          <w:lang w:eastAsia="en-GB"/>
          <w14:ligatures w14:val="none"/>
        </w:rPr>
      </w:pPr>
    </w:p>
    <w:p w14:paraId="6E9D5028" w14:textId="77777777" w:rsidR="00947B3A" w:rsidRDefault="00947B3A" w:rsidP="00036337">
      <w:pPr>
        <w:widowControl w:val="0"/>
        <w:kinsoku w:val="0"/>
        <w:overflowPunct w:val="0"/>
        <w:autoSpaceDE w:val="0"/>
        <w:autoSpaceDN w:val="0"/>
        <w:adjustRightInd w:val="0"/>
        <w:spacing w:after="240" w:line="240" w:lineRule="auto"/>
        <w:outlineLvl w:val="0"/>
        <w:rPr>
          <w:rFonts w:eastAsia="Times New Roman" w:cs="Arial"/>
          <w:b/>
          <w:bCs/>
          <w:color w:val="006FC0"/>
          <w:spacing w:val="-2"/>
          <w:kern w:val="0"/>
          <w:sz w:val="32"/>
          <w:szCs w:val="36"/>
          <w:lang w:eastAsia="en-GB"/>
          <w14:ligatures w14:val="none"/>
        </w:rPr>
      </w:pPr>
    </w:p>
    <w:p w14:paraId="6D0FB9CE" w14:textId="77777777" w:rsidR="00947B3A" w:rsidRDefault="00947B3A" w:rsidP="00036337">
      <w:pPr>
        <w:widowControl w:val="0"/>
        <w:kinsoku w:val="0"/>
        <w:overflowPunct w:val="0"/>
        <w:autoSpaceDE w:val="0"/>
        <w:autoSpaceDN w:val="0"/>
        <w:adjustRightInd w:val="0"/>
        <w:spacing w:after="240" w:line="240" w:lineRule="auto"/>
        <w:outlineLvl w:val="0"/>
        <w:rPr>
          <w:rFonts w:eastAsia="Times New Roman" w:cs="Arial"/>
          <w:b/>
          <w:bCs/>
          <w:color w:val="006FC0"/>
          <w:spacing w:val="-2"/>
          <w:kern w:val="0"/>
          <w:sz w:val="32"/>
          <w:szCs w:val="36"/>
          <w:lang w:eastAsia="en-GB"/>
          <w14:ligatures w14:val="none"/>
        </w:rPr>
      </w:pPr>
    </w:p>
    <w:p w14:paraId="3E5C541B" w14:textId="77777777" w:rsidR="00947B3A" w:rsidRDefault="00947B3A" w:rsidP="00036337">
      <w:pPr>
        <w:widowControl w:val="0"/>
        <w:kinsoku w:val="0"/>
        <w:overflowPunct w:val="0"/>
        <w:autoSpaceDE w:val="0"/>
        <w:autoSpaceDN w:val="0"/>
        <w:adjustRightInd w:val="0"/>
        <w:spacing w:after="240" w:line="240" w:lineRule="auto"/>
        <w:outlineLvl w:val="0"/>
        <w:rPr>
          <w:rFonts w:eastAsia="Times New Roman" w:cs="Arial"/>
          <w:b/>
          <w:bCs/>
          <w:color w:val="006FC0"/>
          <w:spacing w:val="-2"/>
          <w:kern w:val="0"/>
          <w:sz w:val="32"/>
          <w:szCs w:val="36"/>
          <w:lang w:eastAsia="en-GB"/>
          <w14:ligatures w14:val="none"/>
        </w:rPr>
      </w:pPr>
    </w:p>
    <w:p w14:paraId="7002780B" w14:textId="77777777" w:rsidR="00947B3A" w:rsidRDefault="00947B3A" w:rsidP="00036337">
      <w:pPr>
        <w:widowControl w:val="0"/>
        <w:kinsoku w:val="0"/>
        <w:overflowPunct w:val="0"/>
        <w:autoSpaceDE w:val="0"/>
        <w:autoSpaceDN w:val="0"/>
        <w:adjustRightInd w:val="0"/>
        <w:spacing w:after="240" w:line="240" w:lineRule="auto"/>
        <w:outlineLvl w:val="0"/>
        <w:rPr>
          <w:rFonts w:eastAsia="Times New Roman" w:cs="Arial"/>
          <w:b/>
          <w:bCs/>
          <w:color w:val="006FC0"/>
          <w:spacing w:val="-2"/>
          <w:kern w:val="0"/>
          <w:sz w:val="32"/>
          <w:szCs w:val="36"/>
          <w:lang w:eastAsia="en-GB"/>
          <w14:ligatures w14:val="none"/>
        </w:rPr>
      </w:pPr>
    </w:p>
    <w:p w14:paraId="43629610" w14:textId="274A1581" w:rsidR="008B1434" w:rsidRPr="00036337" w:rsidRDefault="008B1434" w:rsidP="00036337">
      <w:pPr>
        <w:pStyle w:val="Heading2"/>
        <w:spacing w:before="0" w:after="240"/>
        <w:rPr>
          <w:rFonts w:eastAsia="Times New Roman"/>
          <w:lang w:eastAsia="en-GB"/>
        </w:rPr>
      </w:pPr>
      <w:bookmarkStart w:id="8" w:name="_Toc181886664"/>
      <w:bookmarkStart w:id="9" w:name="_Toc184040786"/>
      <w:bookmarkStart w:id="10" w:name="_Toc184040822"/>
      <w:r w:rsidRPr="004421AE">
        <w:rPr>
          <w:rFonts w:eastAsia="Times New Roman"/>
          <w:lang w:eastAsia="en-GB"/>
        </w:rPr>
        <w:lastRenderedPageBreak/>
        <w:t>Disclaimer</w:t>
      </w:r>
      <w:bookmarkEnd w:id="8"/>
      <w:bookmarkEnd w:id="9"/>
      <w:bookmarkEnd w:id="10"/>
    </w:p>
    <w:p w14:paraId="08FAE2F7" w14:textId="190F9B03" w:rsidR="008B1434" w:rsidRPr="004421AE" w:rsidRDefault="008B1434" w:rsidP="00036337">
      <w:pPr>
        <w:spacing w:after="240" w:line="240" w:lineRule="auto"/>
        <w:rPr>
          <w:rFonts w:cs="Arial"/>
          <w:lang w:eastAsia="en-GB"/>
        </w:rPr>
      </w:pPr>
      <w:r w:rsidRPr="004421AE">
        <w:rPr>
          <w:rFonts w:cs="Arial"/>
          <w:lang w:eastAsia="en-GB"/>
        </w:rPr>
        <w:t>The information contained in this guide has been prepared by MHA accountants in conjunction with the N</w:t>
      </w:r>
      <w:r w:rsidR="0043232A" w:rsidRPr="004421AE">
        <w:rPr>
          <w:rFonts w:cs="Arial"/>
          <w:lang w:eastAsia="en-GB"/>
        </w:rPr>
        <w:t>HS</w:t>
      </w:r>
      <w:r w:rsidRPr="004421AE">
        <w:rPr>
          <w:rFonts w:cs="Arial"/>
          <w:lang w:eastAsia="en-GB"/>
        </w:rPr>
        <w:t xml:space="preserve"> Business Services Authority (NHSBSA).</w:t>
      </w:r>
    </w:p>
    <w:p w14:paraId="48567327" w14:textId="57430695" w:rsidR="00947B3A" w:rsidRPr="004421AE" w:rsidRDefault="00947B3A" w:rsidP="00036337">
      <w:pPr>
        <w:spacing w:after="240" w:line="240" w:lineRule="auto"/>
        <w:rPr>
          <w:rFonts w:cs="Arial"/>
          <w:lang w:eastAsia="en-GB"/>
        </w:rPr>
      </w:pPr>
      <w:r w:rsidRPr="004421AE">
        <w:rPr>
          <w:rFonts w:cs="Arial"/>
          <w:lang w:eastAsia="en-GB"/>
        </w:rPr>
        <w:t>It represents the relevant N</w:t>
      </w:r>
      <w:r w:rsidR="0043232A" w:rsidRPr="004421AE">
        <w:rPr>
          <w:rFonts w:cs="Arial"/>
          <w:lang w:eastAsia="en-GB"/>
        </w:rPr>
        <w:t>HS</w:t>
      </w:r>
      <w:r w:rsidRPr="004421AE">
        <w:rPr>
          <w:rFonts w:cs="Arial"/>
          <w:lang w:eastAsia="en-GB"/>
        </w:rPr>
        <w:t xml:space="preserve"> Pension Scheme regulations and should not be treated as a complete and authoritative statement of law.</w:t>
      </w:r>
    </w:p>
    <w:p w14:paraId="20AC8EB0" w14:textId="39EF7D6B" w:rsidR="00947B3A" w:rsidRPr="004421AE" w:rsidRDefault="00947B3A" w:rsidP="00036337">
      <w:pPr>
        <w:spacing w:after="240" w:line="240" w:lineRule="auto"/>
        <w:rPr>
          <w:rFonts w:cs="Arial"/>
          <w:lang w:eastAsia="en-GB"/>
        </w:rPr>
      </w:pPr>
      <w:r w:rsidRPr="004421AE">
        <w:rPr>
          <w:rFonts w:cs="Arial"/>
          <w:lang w:eastAsia="en-GB"/>
        </w:rPr>
        <w:t>No responsibility whatsoever will be assumed by the NHSBSA for any direct or consequential loss, financial or otherwise, damage or inconvenience, or any other obligation or liability incurred by readers relying on information contained in this guide.</w:t>
      </w:r>
    </w:p>
    <w:p w14:paraId="59616479" w14:textId="6027D04D" w:rsidR="00947B3A" w:rsidRDefault="00947B3A" w:rsidP="00036337">
      <w:pPr>
        <w:spacing w:after="240" w:line="240" w:lineRule="auto"/>
        <w:rPr>
          <w:rFonts w:cs="Arial"/>
          <w:lang w:eastAsia="en-GB"/>
        </w:rPr>
      </w:pPr>
      <w:r w:rsidRPr="004421AE">
        <w:rPr>
          <w:rFonts w:cs="Arial"/>
          <w:lang w:eastAsia="en-GB"/>
        </w:rPr>
        <w:t xml:space="preserve">Whilst every attempt is made to ensure the accuracy of this guide, it would be helpful if employers could bring to our attention any perceived errors or omissions using the Stakeholder Engagement email address at </w:t>
      </w:r>
      <w:hyperlink r:id="rId12" w:history="1">
        <w:r w:rsidRPr="004421AE">
          <w:rPr>
            <w:rFonts w:cs="Arial"/>
            <w:color w:val="0563C1"/>
            <w:u w:val="single"/>
            <w:lang w:eastAsia="en-GB"/>
          </w:rPr>
          <w:t>stakeholderengagement@nhsbsa.nhs.uk</w:t>
        </w:r>
      </w:hyperlink>
      <w:r w:rsidRPr="004421AE">
        <w:rPr>
          <w:rFonts w:cs="Arial"/>
          <w:lang w:eastAsia="en-GB"/>
        </w:rPr>
        <w:t>.</w:t>
      </w:r>
    </w:p>
    <w:p w14:paraId="26EDD454" w14:textId="77777777" w:rsidR="00036337" w:rsidRPr="00036337" w:rsidRDefault="00036337" w:rsidP="00036337">
      <w:pPr>
        <w:spacing w:after="240" w:line="240" w:lineRule="auto"/>
        <w:rPr>
          <w:rFonts w:cs="Arial"/>
          <w:lang w:eastAsia="en-GB"/>
        </w:rPr>
      </w:pPr>
    </w:p>
    <w:p w14:paraId="3ECC18DA" w14:textId="3C1AEF12" w:rsidR="00947B3A" w:rsidRPr="00036337" w:rsidRDefault="00947B3A" w:rsidP="00036337">
      <w:pPr>
        <w:pStyle w:val="Heading2"/>
        <w:spacing w:before="0" w:after="240"/>
        <w:rPr>
          <w:rFonts w:eastAsia="Times New Roman"/>
          <w:lang w:eastAsia="en-GB"/>
        </w:rPr>
      </w:pPr>
      <w:bookmarkStart w:id="11" w:name="_Toc499279757"/>
      <w:bookmarkStart w:id="12" w:name="_Toc504403115"/>
      <w:bookmarkStart w:id="13" w:name="_Toc505240699"/>
      <w:bookmarkStart w:id="14" w:name="_Toc505240748"/>
      <w:bookmarkStart w:id="15" w:name="_Toc508801086"/>
      <w:bookmarkStart w:id="16" w:name="_Toc56592950"/>
      <w:bookmarkStart w:id="17" w:name="_Toc155951456"/>
      <w:bookmarkStart w:id="18" w:name="_Toc181886665"/>
      <w:bookmarkStart w:id="19" w:name="_Toc184040787"/>
      <w:bookmarkStart w:id="20" w:name="_Toc184040823"/>
      <w:r w:rsidRPr="004421AE">
        <w:rPr>
          <w:rFonts w:eastAsia="Times New Roman"/>
          <w:lang w:eastAsia="en-GB"/>
        </w:rPr>
        <w:t>Contact details</w:t>
      </w:r>
      <w:bookmarkEnd w:id="11"/>
      <w:bookmarkEnd w:id="12"/>
      <w:bookmarkEnd w:id="13"/>
      <w:bookmarkEnd w:id="14"/>
      <w:bookmarkEnd w:id="15"/>
      <w:bookmarkEnd w:id="16"/>
      <w:bookmarkEnd w:id="17"/>
      <w:bookmarkEnd w:id="18"/>
      <w:bookmarkEnd w:id="19"/>
      <w:bookmarkEnd w:id="20"/>
    </w:p>
    <w:p w14:paraId="36E231CC" w14:textId="77777777" w:rsidR="00947B3A" w:rsidRPr="004421AE" w:rsidRDefault="00947B3A" w:rsidP="00036337">
      <w:pPr>
        <w:spacing w:after="120" w:line="240" w:lineRule="auto"/>
        <w:rPr>
          <w:rFonts w:cs="Arial"/>
          <w:lang w:eastAsia="en-GB"/>
        </w:rPr>
      </w:pPr>
      <w:r w:rsidRPr="004421AE">
        <w:rPr>
          <w:rFonts w:cs="Arial"/>
          <w:lang w:eastAsia="en-GB"/>
        </w:rPr>
        <w:t xml:space="preserve">You can contact us by calling: </w:t>
      </w:r>
    </w:p>
    <w:p w14:paraId="0DFB1258" w14:textId="77777777" w:rsidR="00947B3A" w:rsidRPr="004421AE" w:rsidRDefault="00947B3A" w:rsidP="00036337">
      <w:pPr>
        <w:spacing w:after="120" w:line="240" w:lineRule="auto"/>
        <w:rPr>
          <w:rFonts w:cs="Arial"/>
          <w:lang w:eastAsia="en-GB"/>
        </w:rPr>
      </w:pPr>
      <w:r w:rsidRPr="004421AE">
        <w:rPr>
          <w:rFonts w:cs="Arial"/>
          <w:b/>
          <w:bCs/>
          <w:lang w:eastAsia="en-GB"/>
        </w:rPr>
        <w:t>Member helpline:</w:t>
      </w:r>
      <w:r w:rsidRPr="004421AE">
        <w:rPr>
          <w:rFonts w:cs="Arial"/>
          <w:lang w:eastAsia="en-GB"/>
        </w:rPr>
        <w:t xml:space="preserve"> 0300 330 1346</w:t>
      </w:r>
    </w:p>
    <w:p w14:paraId="10F890B3" w14:textId="385CB7FB" w:rsidR="00947B3A" w:rsidRPr="004421AE" w:rsidRDefault="00947B3A" w:rsidP="00036337">
      <w:pPr>
        <w:spacing w:after="120" w:line="240" w:lineRule="auto"/>
        <w:rPr>
          <w:rFonts w:cs="Arial"/>
          <w:lang w:eastAsia="en-GB"/>
        </w:rPr>
      </w:pPr>
      <w:r w:rsidRPr="004421AE">
        <w:rPr>
          <w:rFonts w:cs="Arial"/>
          <w:b/>
          <w:bCs/>
          <w:lang w:eastAsia="en-GB"/>
        </w:rPr>
        <w:t>Employer helpline:</w:t>
      </w:r>
      <w:r w:rsidRPr="004421AE">
        <w:rPr>
          <w:rFonts w:cs="Arial"/>
          <w:lang w:eastAsia="en-GB"/>
        </w:rPr>
        <w:t xml:space="preserve"> 0300 330 1353</w:t>
      </w:r>
    </w:p>
    <w:p w14:paraId="1D0996D4" w14:textId="136B01EE" w:rsidR="00947B3A" w:rsidRDefault="00947B3A" w:rsidP="00036337">
      <w:pPr>
        <w:spacing w:after="120" w:line="240" w:lineRule="auto"/>
        <w:rPr>
          <w:rFonts w:cs="Arial"/>
          <w:lang w:eastAsia="en-GB"/>
        </w:rPr>
      </w:pPr>
      <w:r w:rsidRPr="004421AE">
        <w:rPr>
          <w:rFonts w:cs="Arial"/>
          <w:lang w:eastAsia="en-GB"/>
        </w:rPr>
        <w:t xml:space="preserve">Opening times: </w:t>
      </w:r>
      <w:r w:rsidR="00E756D5" w:rsidRPr="004421AE">
        <w:rPr>
          <w:rFonts w:cs="Arial"/>
          <w:lang w:eastAsia="en-GB"/>
        </w:rPr>
        <w:t>8am</w:t>
      </w:r>
      <w:r w:rsidRPr="004421AE">
        <w:rPr>
          <w:rFonts w:cs="Arial"/>
          <w:lang w:eastAsia="en-GB"/>
        </w:rPr>
        <w:t xml:space="preserve"> to </w:t>
      </w:r>
      <w:r w:rsidR="00E756D5" w:rsidRPr="004421AE">
        <w:rPr>
          <w:rFonts w:cs="Arial"/>
          <w:lang w:eastAsia="en-GB"/>
        </w:rPr>
        <w:t>6pm</w:t>
      </w:r>
      <w:r w:rsidRPr="004421AE">
        <w:rPr>
          <w:rFonts w:cs="Arial"/>
          <w:lang w:eastAsia="en-GB"/>
        </w:rPr>
        <w:t xml:space="preserve"> – Monday to Friday</w:t>
      </w:r>
    </w:p>
    <w:p w14:paraId="2690C387" w14:textId="77777777" w:rsidR="00036337" w:rsidRPr="004421AE" w:rsidRDefault="00036337" w:rsidP="00036337">
      <w:pPr>
        <w:spacing w:after="240" w:line="240" w:lineRule="auto"/>
        <w:rPr>
          <w:rFonts w:cs="Arial"/>
          <w:lang w:eastAsia="en-GB"/>
        </w:rPr>
      </w:pPr>
    </w:p>
    <w:p w14:paraId="61D1699C" w14:textId="2C310611" w:rsidR="00947B3A" w:rsidRPr="004421AE" w:rsidRDefault="00947B3A" w:rsidP="00036337">
      <w:pPr>
        <w:spacing w:after="120" w:line="240" w:lineRule="auto"/>
        <w:rPr>
          <w:rFonts w:cs="Arial"/>
          <w:lang w:eastAsia="en-GB"/>
        </w:rPr>
      </w:pPr>
      <w:r w:rsidRPr="004421AE">
        <w:rPr>
          <w:rFonts w:cs="Arial"/>
          <w:b/>
          <w:lang w:eastAsia="en-GB"/>
        </w:rPr>
        <w:t>Postal address:</w:t>
      </w:r>
    </w:p>
    <w:p w14:paraId="39CD8221" w14:textId="77777777" w:rsidR="00947B3A" w:rsidRPr="004421AE" w:rsidRDefault="00947B3A" w:rsidP="00036337">
      <w:pPr>
        <w:spacing w:after="120" w:line="240" w:lineRule="auto"/>
        <w:rPr>
          <w:rFonts w:cs="Arial"/>
          <w:lang w:eastAsia="en-GB"/>
        </w:rPr>
      </w:pPr>
      <w:r w:rsidRPr="004421AE">
        <w:rPr>
          <w:rFonts w:cs="Arial"/>
          <w:lang w:eastAsia="en-GB"/>
        </w:rPr>
        <w:t xml:space="preserve">NHS Pensions </w:t>
      </w:r>
    </w:p>
    <w:p w14:paraId="1C05FA84" w14:textId="77777777" w:rsidR="00947B3A" w:rsidRPr="004421AE" w:rsidRDefault="00947B3A" w:rsidP="00036337">
      <w:pPr>
        <w:spacing w:after="120" w:line="240" w:lineRule="auto"/>
        <w:rPr>
          <w:rFonts w:cs="Arial"/>
          <w:lang w:eastAsia="en-GB"/>
        </w:rPr>
      </w:pPr>
      <w:r w:rsidRPr="004421AE">
        <w:rPr>
          <w:rFonts w:cs="Arial"/>
          <w:lang w:eastAsia="en-GB"/>
        </w:rPr>
        <w:t>PO Box 683</w:t>
      </w:r>
    </w:p>
    <w:p w14:paraId="2C685B38" w14:textId="77777777" w:rsidR="00947B3A" w:rsidRPr="004421AE" w:rsidRDefault="00947B3A" w:rsidP="00036337">
      <w:pPr>
        <w:spacing w:after="120" w:line="240" w:lineRule="auto"/>
        <w:rPr>
          <w:rFonts w:cs="Arial"/>
          <w:lang w:eastAsia="en-GB"/>
        </w:rPr>
      </w:pPr>
      <w:r w:rsidRPr="004421AE">
        <w:rPr>
          <w:rFonts w:cs="Arial"/>
          <w:lang w:eastAsia="en-GB"/>
        </w:rPr>
        <w:t>Unit 5</w:t>
      </w:r>
    </w:p>
    <w:p w14:paraId="3A802ED6" w14:textId="77777777" w:rsidR="00947B3A" w:rsidRPr="004421AE" w:rsidRDefault="00947B3A" w:rsidP="00036337">
      <w:pPr>
        <w:spacing w:after="120" w:line="240" w:lineRule="auto"/>
        <w:rPr>
          <w:rFonts w:cs="Arial"/>
          <w:lang w:eastAsia="en-GB"/>
        </w:rPr>
      </w:pPr>
      <w:r w:rsidRPr="004421AE">
        <w:rPr>
          <w:rFonts w:cs="Arial"/>
          <w:lang w:eastAsia="en-GB"/>
        </w:rPr>
        <w:t>Newcastle Upon Tyne</w:t>
      </w:r>
    </w:p>
    <w:p w14:paraId="09385410" w14:textId="657602A9" w:rsidR="00947B3A" w:rsidRPr="004421AE" w:rsidRDefault="00947B3A" w:rsidP="00036337">
      <w:pPr>
        <w:spacing w:after="120" w:line="240" w:lineRule="auto"/>
        <w:rPr>
          <w:rFonts w:cs="Arial"/>
          <w:lang w:eastAsia="en-GB"/>
        </w:rPr>
      </w:pPr>
      <w:r w:rsidRPr="004421AE">
        <w:rPr>
          <w:rFonts w:cs="Arial"/>
          <w:lang w:eastAsia="en-GB"/>
        </w:rPr>
        <w:t>NE5 9EE</w:t>
      </w:r>
    </w:p>
    <w:p w14:paraId="50FD9366" w14:textId="77777777" w:rsidR="00947B3A" w:rsidRPr="004421AE" w:rsidRDefault="00947B3A" w:rsidP="00036337">
      <w:pPr>
        <w:spacing w:after="240"/>
        <w:rPr>
          <w:rFonts w:cs="Arial"/>
          <w:lang w:eastAsia="en-GB"/>
        </w:rPr>
      </w:pPr>
    </w:p>
    <w:p w14:paraId="2B0C82A1" w14:textId="2478015F" w:rsidR="00947B3A" w:rsidRPr="004421AE" w:rsidRDefault="00947B3A" w:rsidP="00036337">
      <w:pPr>
        <w:spacing w:after="240"/>
        <w:rPr>
          <w:rFonts w:cs="Arial"/>
          <w:lang w:eastAsia="en-GB"/>
        </w:rPr>
      </w:pPr>
      <w:r w:rsidRPr="004421AE">
        <w:rPr>
          <w:rFonts w:cs="Arial"/>
          <w:lang w:eastAsia="en-GB"/>
        </w:rPr>
        <w:t xml:space="preserve">All </w:t>
      </w:r>
      <w:hyperlink r:id="rId13" w:history="1">
        <w:r w:rsidRPr="004421AE">
          <w:rPr>
            <w:rFonts w:cs="Arial"/>
            <w:color w:val="0563C1"/>
            <w:u w:val="single"/>
            <w:lang w:eastAsia="en-GB"/>
          </w:rPr>
          <w:t>contact information</w:t>
        </w:r>
      </w:hyperlink>
      <w:r w:rsidRPr="004421AE">
        <w:rPr>
          <w:rFonts w:cs="Arial"/>
          <w:lang w:eastAsia="en-GB"/>
        </w:rPr>
        <w:t xml:space="preserve"> </w:t>
      </w:r>
      <w:hyperlink r:id="rId14" w:history="1">
        <w:r w:rsidR="00F902DA" w:rsidRPr="0041293A">
          <w:rPr>
            <w:rStyle w:val="Hyperlink"/>
            <w:rFonts w:cs="Arial"/>
            <w:lang w:eastAsia="en-GB"/>
          </w:rPr>
          <w:t>www.nhsbsa.nhs.uk/member-hub/contact-nhs-pensions-members</w:t>
        </w:r>
      </w:hyperlink>
      <w:r w:rsidR="00F902DA">
        <w:rPr>
          <w:rFonts w:cs="Arial"/>
          <w:lang w:eastAsia="en-GB"/>
        </w:rPr>
        <w:t xml:space="preserve"> </w:t>
      </w:r>
      <w:r w:rsidRPr="004421AE">
        <w:rPr>
          <w:rFonts w:cs="Arial"/>
          <w:lang w:eastAsia="en-GB"/>
        </w:rPr>
        <w:t>can also be located on our website.</w:t>
      </w:r>
    </w:p>
    <w:p w14:paraId="5CEE2F6B" w14:textId="7F1C64B3" w:rsidR="008C09F3" w:rsidRPr="00036337" w:rsidRDefault="00DB3C56" w:rsidP="00036337">
      <w:pPr>
        <w:widowControl w:val="0"/>
        <w:kinsoku w:val="0"/>
        <w:overflowPunct w:val="0"/>
        <w:autoSpaceDE w:val="0"/>
        <w:autoSpaceDN w:val="0"/>
        <w:adjustRightInd w:val="0"/>
        <w:spacing w:after="240" w:line="240" w:lineRule="auto"/>
        <w:outlineLvl w:val="0"/>
        <w:rPr>
          <w:rFonts w:eastAsia="Times New Roman" w:cs="Arial"/>
          <w:spacing w:val="-2"/>
          <w:kern w:val="0"/>
          <w:lang w:eastAsia="en-GB"/>
          <w14:ligatures w14:val="none"/>
        </w:rPr>
      </w:pPr>
      <w:bookmarkStart w:id="21" w:name="_Toc184040824"/>
      <w:r w:rsidRPr="004421AE">
        <w:rPr>
          <w:rFonts w:eastAsia="Times New Roman" w:cs="Arial"/>
          <w:spacing w:val="-2"/>
          <w:kern w:val="0"/>
          <w:lang w:eastAsia="en-GB"/>
          <w14:ligatures w14:val="none"/>
        </w:rPr>
        <w:t>Find out about call charges (</w:t>
      </w:r>
      <w:hyperlink r:id="rId15" w:history="1">
        <w:r w:rsidR="004421AE" w:rsidRPr="004B6403">
          <w:rPr>
            <w:rStyle w:val="Hyperlink"/>
            <w:rFonts w:eastAsia="Times New Roman" w:cs="Arial"/>
            <w:spacing w:val="-2"/>
            <w:kern w:val="0"/>
            <w:lang w:eastAsia="en-GB"/>
            <w14:ligatures w14:val="none"/>
          </w:rPr>
          <w:t>www.nhsbsa.nhs.uk/contact-us/call-charges-and-phone-numbers</w:t>
        </w:r>
      </w:hyperlink>
      <w:r w:rsidRPr="004421AE">
        <w:rPr>
          <w:rFonts w:eastAsia="Times New Roman" w:cs="Arial"/>
          <w:spacing w:val="-2"/>
          <w:kern w:val="0"/>
          <w:lang w:eastAsia="en-GB"/>
          <w14:ligatures w14:val="none"/>
        </w:rPr>
        <w:t>)</w:t>
      </w:r>
      <w:bookmarkEnd w:id="21"/>
      <w:r w:rsidR="008C09F3" w:rsidRPr="004421AE">
        <w:rPr>
          <w:rFonts w:eastAsia="Times New Roman" w:cs="Arial"/>
          <w:b/>
          <w:bCs/>
          <w:color w:val="006FC0"/>
          <w:spacing w:val="-2"/>
          <w:kern w:val="0"/>
          <w:lang w:eastAsia="en-GB"/>
          <w14:ligatures w14:val="none"/>
        </w:rPr>
        <w:br w:type="page"/>
      </w:r>
    </w:p>
    <w:p w14:paraId="2450EDCC" w14:textId="7F501EE9" w:rsidR="000F5245" w:rsidRPr="00036337" w:rsidRDefault="00017231" w:rsidP="00036337">
      <w:pPr>
        <w:pStyle w:val="Heading2"/>
        <w:spacing w:before="0" w:after="240"/>
        <w:rPr>
          <w:rFonts w:eastAsia="Times New Roman"/>
          <w:lang w:eastAsia="en-GB"/>
        </w:rPr>
      </w:pPr>
      <w:bookmarkStart w:id="22" w:name="_Toc181886666"/>
      <w:bookmarkStart w:id="23" w:name="_Toc184040825"/>
      <w:r w:rsidRPr="00911B22">
        <w:rPr>
          <w:rFonts w:eastAsia="Times New Roman"/>
          <w:lang w:eastAsia="en-GB"/>
        </w:rPr>
        <w:lastRenderedPageBreak/>
        <w:t>Contents</w:t>
      </w:r>
      <w:bookmarkEnd w:id="22"/>
      <w:bookmarkEnd w:id="23"/>
    </w:p>
    <w:sdt>
      <w:sdtPr>
        <w:rPr>
          <w:rFonts w:eastAsiaTheme="majorEastAsia" w:cstheme="majorBidi"/>
          <w:b/>
          <w:color w:val="005EB8"/>
          <w:kern w:val="0"/>
          <w:sz w:val="40"/>
          <w:szCs w:val="32"/>
          <w:lang w:eastAsia="en-GB"/>
          <w14:ligatures w14:val="none"/>
        </w:rPr>
        <w:id w:val="1045872175"/>
        <w:docPartObj>
          <w:docPartGallery w:val="Table of Contents"/>
          <w:docPartUnique/>
        </w:docPartObj>
      </w:sdtPr>
      <w:sdtEndPr>
        <w:rPr>
          <w:bCs/>
        </w:rPr>
      </w:sdtEndPr>
      <w:sdtContent>
        <w:p w14:paraId="44944096" w14:textId="5625FA33" w:rsidR="00482988" w:rsidRDefault="00482988" w:rsidP="00482988">
          <w:pPr>
            <w:pStyle w:val="TOC1"/>
            <w:tabs>
              <w:tab w:val="right" w:pos="9016"/>
            </w:tabs>
            <w:rPr>
              <w:rFonts w:asciiTheme="minorHAnsi" w:eastAsiaTheme="minorEastAsia" w:hAnsiTheme="minorHAnsi"/>
              <w:noProof/>
              <w:lang w:eastAsia="en-GB"/>
            </w:rPr>
          </w:pPr>
          <w:r>
            <w:fldChar w:fldCharType="begin"/>
          </w:r>
          <w:r>
            <w:instrText xml:space="preserve"> TOC \o "1-3" \h \z \u </w:instrText>
          </w:r>
          <w:r>
            <w:fldChar w:fldCharType="separate"/>
          </w:r>
        </w:p>
        <w:p w14:paraId="067E9DC7" w14:textId="37B4CB4C" w:rsidR="00482988" w:rsidRDefault="00482988">
          <w:pPr>
            <w:pStyle w:val="TOC2"/>
            <w:tabs>
              <w:tab w:val="right" w:pos="9016"/>
            </w:tabs>
            <w:rPr>
              <w:rFonts w:asciiTheme="minorHAnsi" w:eastAsiaTheme="minorEastAsia" w:hAnsiTheme="minorHAnsi"/>
              <w:noProof/>
              <w:lang w:eastAsia="en-GB"/>
            </w:rPr>
          </w:pPr>
          <w:hyperlink w:anchor="_Toc184040826" w:history="1">
            <w:r w:rsidRPr="00D60A5C">
              <w:rPr>
                <w:rStyle w:val="Hyperlink"/>
                <w:rFonts w:eastAsia="Times New Roman"/>
                <w:noProof/>
                <w:lang w:eastAsia="en-GB"/>
              </w:rPr>
              <w:t>Introduction</w:t>
            </w:r>
            <w:r>
              <w:rPr>
                <w:noProof/>
                <w:webHidden/>
              </w:rPr>
              <w:tab/>
            </w:r>
            <w:r>
              <w:rPr>
                <w:noProof/>
                <w:webHidden/>
              </w:rPr>
              <w:fldChar w:fldCharType="begin"/>
            </w:r>
            <w:r>
              <w:rPr>
                <w:noProof/>
                <w:webHidden/>
              </w:rPr>
              <w:instrText xml:space="preserve"> PAGEREF _Toc184040826 \h </w:instrText>
            </w:r>
            <w:r>
              <w:rPr>
                <w:noProof/>
                <w:webHidden/>
              </w:rPr>
            </w:r>
            <w:r>
              <w:rPr>
                <w:noProof/>
                <w:webHidden/>
              </w:rPr>
              <w:fldChar w:fldCharType="separate"/>
            </w:r>
            <w:r>
              <w:rPr>
                <w:noProof/>
                <w:webHidden/>
              </w:rPr>
              <w:t>4</w:t>
            </w:r>
            <w:r>
              <w:rPr>
                <w:noProof/>
                <w:webHidden/>
              </w:rPr>
              <w:fldChar w:fldCharType="end"/>
            </w:r>
          </w:hyperlink>
        </w:p>
        <w:p w14:paraId="42778242" w14:textId="62B9F37E" w:rsidR="00482988" w:rsidRDefault="00482988">
          <w:pPr>
            <w:pStyle w:val="TOC2"/>
            <w:tabs>
              <w:tab w:val="right" w:pos="9016"/>
            </w:tabs>
            <w:rPr>
              <w:rFonts w:asciiTheme="minorHAnsi" w:eastAsiaTheme="minorEastAsia" w:hAnsiTheme="minorHAnsi"/>
              <w:noProof/>
              <w:lang w:eastAsia="en-GB"/>
            </w:rPr>
          </w:pPr>
          <w:hyperlink w:anchor="_Toc184040827" w:history="1">
            <w:r w:rsidRPr="00D60A5C">
              <w:rPr>
                <w:rStyle w:val="Hyperlink"/>
                <w:rFonts w:eastAsia="Times New Roman"/>
                <w:noProof/>
                <w:lang w:eastAsia="en-GB"/>
              </w:rPr>
              <w:t>Additional profits and claiming of pension overlap</w:t>
            </w:r>
            <w:r>
              <w:rPr>
                <w:noProof/>
                <w:webHidden/>
              </w:rPr>
              <w:tab/>
            </w:r>
            <w:r>
              <w:rPr>
                <w:noProof/>
                <w:webHidden/>
              </w:rPr>
              <w:fldChar w:fldCharType="begin"/>
            </w:r>
            <w:r>
              <w:rPr>
                <w:noProof/>
                <w:webHidden/>
              </w:rPr>
              <w:instrText xml:space="preserve"> PAGEREF _Toc184040827 \h </w:instrText>
            </w:r>
            <w:r>
              <w:rPr>
                <w:noProof/>
                <w:webHidden/>
              </w:rPr>
            </w:r>
            <w:r>
              <w:rPr>
                <w:noProof/>
                <w:webHidden/>
              </w:rPr>
              <w:fldChar w:fldCharType="separate"/>
            </w:r>
            <w:r>
              <w:rPr>
                <w:noProof/>
                <w:webHidden/>
              </w:rPr>
              <w:t>4</w:t>
            </w:r>
            <w:r>
              <w:rPr>
                <w:noProof/>
                <w:webHidden/>
              </w:rPr>
              <w:fldChar w:fldCharType="end"/>
            </w:r>
          </w:hyperlink>
        </w:p>
        <w:p w14:paraId="7DCCE2D5" w14:textId="10EB9CBE" w:rsidR="00482988" w:rsidRDefault="00482988">
          <w:pPr>
            <w:pStyle w:val="TOC2"/>
            <w:tabs>
              <w:tab w:val="right" w:pos="9016"/>
            </w:tabs>
            <w:rPr>
              <w:rFonts w:asciiTheme="minorHAnsi" w:eastAsiaTheme="minorEastAsia" w:hAnsiTheme="minorHAnsi"/>
              <w:noProof/>
              <w:lang w:eastAsia="en-GB"/>
            </w:rPr>
          </w:pPr>
          <w:hyperlink w:anchor="_Toc184040828" w:history="1">
            <w:r w:rsidRPr="00D60A5C">
              <w:rPr>
                <w:rStyle w:val="Hyperlink"/>
                <w:rFonts w:eastAsia="Times New Roman"/>
                <w:noProof/>
                <w:lang w:eastAsia="en-GB"/>
              </w:rPr>
              <w:t>Spreading</w:t>
            </w:r>
            <w:r>
              <w:rPr>
                <w:noProof/>
                <w:webHidden/>
              </w:rPr>
              <w:tab/>
            </w:r>
            <w:r>
              <w:rPr>
                <w:noProof/>
                <w:webHidden/>
              </w:rPr>
              <w:fldChar w:fldCharType="begin"/>
            </w:r>
            <w:r>
              <w:rPr>
                <w:noProof/>
                <w:webHidden/>
              </w:rPr>
              <w:instrText xml:space="preserve"> PAGEREF _Toc184040828 \h </w:instrText>
            </w:r>
            <w:r>
              <w:rPr>
                <w:noProof/>
                <w:webHidden/>
              </w:rPr>
            </w:r>
            <w:r>
              <w:rPr>
                <w:noProof/>
                <w:webHidden/>
              </w:rPr>
              <w:fldChar w:fldCharType="separate"/>
            </w:r>
            <w:r>
              <w:rPr>
                <w:noProof/>
                <w:webHidden/>
              </w:rPr>
              <w:t>5</w:t>
            </w:r>
            <w:r>
              <w:rPr>
                <w:noProof/>
                <w:webHidden/>
              </w:rPr>
              <w:fldChar w:fldCharType="end"/>
            </w:r>
          </w:hyperlink>
        </w:p>
        <w:p w14:paraId="382702CF" w14:textId="5A9C6C4B" w:rsidR="00482988" w:rsidRDefault="00482988">
          <w:pPr>
            <w:pStyle w:val="TOC2"/>
            <w:tabs>
              <w:tab w:val="right" w:pos="9016"/>
            </w:tabs>
            <w:rPr>
              <w:rFonts w:asciiTheme="minorHAnsi" w:eastAsiaTheme="minorEastAsia" w:hAnsiTheme="minorHAnsi"/>
              <w:noProof/>
              <w:lang w:eastAsia="en-GB"/>
            </w:rPr>
          </w:pPr>
          <w:hyperlink w:anchor="_Toc184040829" w:history="1">
            <w:r w:rsidRPr="00D60A5C">
              <w:rPr>
                <w:rStyle w:val="Hyperlink"/>
                <w:rFonts w:eastAsia="Times New Roman"/>
                <w:noProof/>
                <w:lang w:eastAsia="en-GB"/>
              </w:rPr>
              <w:t>Examples</w:t>
            </w:r>
            <w:r>
              <w:rPr>
                <w:noProof/>
                <w:webHidden/>
              </w:rPr>
              <w:tab/>
            </w:r>
            <w:r>
              <w:rPr>
                <w:noProof/>
                <w:webHidden/>
              </w:rPr>
              <w:fldChar w:fldCharType="begin"/>
            </w:r>
            <w:r>
              <w:rPr>
                <w:noProof/>
                <w:webHidden/>
              </w:rPr>
              <w:instrText xml:space="preserve"> PAGEREF _Toc184040829 \h </w:instrText>
            </w:r>
            <w:r>
              <w:rPr>
                <w:noProof/>
                <w:webHidden/>
              </w:rPr>
            </w:r>
            <w:r>
              <w:rPr>
                <w:noProof/>
                <w:webHidden/>
              </w:rPr>
              <w:fldChar w:fldCharType="separate"/>
            </w:r>
            <w:r>
              <w:rPr>
                <w:noProof/>
                <w:webHidden/>
              </w:rPr>
              <w:t>6</w:t>
            </w:r>
            <w:r>
              <w:rPr>
                <w:noProof/>
                <w:webHidden/>
              </w:rPr>
              <w:fldChar w:fldCharType="end"/>
            </w:r>
          </w:hyperlink>
        </w:p>
        <w:p w14:paraId="4BA39BBC" w14:textId="65F0A0B6" w:rsidR="00482988" w:rsidRDefault="00482988">
          <w:pPr>
            <w:pStyle w:val="TOC3"/>
            <w:tabs>
              <w:tab w:val="left" w:pos="960"/>
              <w:tab w:val="right" w:pos="9016"/>
            </w:tabs>
            <w:rPr>
              <w:rFonts w:asciiTheme="minorHAnsi" w:eastAsiaTheme="minorEastAsia" w:hAnsiTheme="minorHAnsi"/>
              <w:noProof/>
              <w:lang w:eastAsia="en-GB"/>
            </w:rPr>
          </w:pPr>
          <w:hyperlink w:anchor="_Toc184040830" w:history="1">
            <w:r w:rsidRPr="00D60A5C">
              <w:rPr>
                <w:rStyle w:val="Hyperlink"/>
                <w:noProof/>
              </w:rPr>
              <w:t>1.</w:t>
            </w:r>
            <w:r>
              <w:rPr>
                <w:rFonts w:asciiTheme="minorHAnsi" w:eastAsiaTheme="minorEastAsia" w:hAnsiTheme="minorHAnsi"/>
                <w:noProof/>
                <w:lang w:eastAsia="en-GB"/>
              </w:rPr>
              <w:tab/>
            </w:r>
            <w:r w:rsidRPr="00D60A5C">
              <w:rPr>
                <w:rStyle w:val="Hyperlink"/>
                <w:noProof/>
              </w:rPr>
              <w:t>Standard year ended 31 October 2023, together with a further short period of account covering the period 1 November 2023 to 31 March 2024</w:t>
            </w:r>
            <w:r>
              <w:rPr>
                <w:noProof/>
                <w:webHidden/>
              </w:rPr>
              <w:tab/>
            </w:r>
            <w:r>
              <w:rPr>
                <w:noProof/>
                <w:webHidden/>
              </w:rPr>
              <w:fldChar w:fldCharType="begin"/>
            </w:r>
            <w:r>
              <w:rPr>
                <w:noProof/>
                <w:webHidden/>
              </w:rPr>
              <w:instrText xml:space="preserve"> PAGEREF _Toc184040830 \h </w:instrText>
            </w:r>
            <w:r>
              <w:rPr>
                <w:noProof/>
                <w:webHidden/>
              </w:rPr>
            </w:r>
            <w:r>
              <w:rPr>
                <w:noProof/>
                <w:webHidden/>
              </w:rPr>
              <w:fldChar w:fldCharType="separate"/>
            </w:r>
            <w:r>
              <w:rPr>
                <w:noProof/>
                <w:webHidden/>
              </w:rPr>
              <w:t>6</w:t>
            </w:r>
            <w:r>
              <w:rPr>
                <w:noProof/>
                <w:webHidden/>
              </w:rPr>
              <w:fldChar w:fldCharType="end"/>
            </w:r>
          </w:hyperlink>
        </w:p>
        <w:p w14:paraId="5E9A61A6" w14:textId="1829AAE2" w:rsidR="00482988" w:rsidRDefault="00482988">
          <w:pPr>
            <w:pStyle w:val="TOC3"/>
            <w:tabs>
              <w:tab w:val="left" w:pos="960"/>
              <w:tab w:val="right" w:pos="9016"/>
            </w:tabs>
            <w:rPr>
              <w:rFonts w:asciiTheme="minorHAnsi" w:eastAsiaTheme="minorEastAsia" w:hAnsiTheme="minorHAnsi"/>
              <w:noProof/>
              <w:lang w:eastAsia="en-GB"/>
            </w:rPr>
          </w:pPr>
          <w:hyperlink w:anchor="_Toc184040831" w:history="1">
            <w:r w:rsidRPr="00D60A5C">
              <w:rPr>
                <w:rStyle w:val="Hyperlink"/>
                <w:noProof/>
              </w:rPr>
              <w:t>2.</w:t>
            </w:r>
            <w:r>
              <w:rPr>
                <w:rFonts w:asciiTheme="minorHAnsi" w:eastAsiaTheme="minorEastAsia" w:hAnsiTheme="minorHAnsi"/>
                <w:noProof/>
                <w:lang w:eastAsia="en-GB"/>
              </w:rPr>
              <w:tab/>
            </w:r>
            <w:r w:rsidRPr="00D60A5C">
              <w:rPr>
                <w:rStyle w:val="Hyperlink"/>
                <w:noProof/>
              </w:rPr>
              <w:t>Standard year ended 31 October 2023 has been extended and a long 17-month period of account produced covering 1 November 2022 to 31 March 2024</w:t>
            </w:r>
            <w:r>
              <w:rPr>
                <w:rStyle w:val="Hyperlink"/>
                <w:noProof/>
              </w:rPr>
              <w:tab/>
            </w:r>
            <w:r>
              <w:rPr>
                <w:rStyle w:val="Hyperlink"/>
                <w:noProof/>
              </w:rPr>
              <w:tab/>
            </w:r>
            <w:r>
              <w:rPr>
                <w:noProof/>
                <w:webHidden/>
              </w:rPr>
              <w:tab/>
            </w:r>
            <w:r>
              <w:rPr>
                <w:noProof/>
                <w:webHidden/>
              </w:rPr>
              <w:fldChar w:fldCharType="begin"/>
            </w:r>
            <w:r>
              <w:rPr>
                <w:noProof/>
                <w:webHidden/>
              </w:rPr>
              <w:instrText xml:space="preserve"> PAGEREF _Toc184040831 \h </w:instrText>
            </w:r>
            <w:r>
              <w:rPr>
                <w:noProof/>
                <w:webHidden/>
              </w:rPr>
            </w:r>
            <w:r>
              <w:rPr>
                <w:noProof/>
                <w:webHidden/>
              </w:rPr>
              <w:fldChar w:fldCharType="separate"/>
            </w:r>
            <w:r>
              <w:rPr>
                <w:noProof/>
                <w:webHidden/>
              </w:rPr>
              <w:t>7</w:t>
            </w:r>
            <w:r>
              <w:rPr>
                <w:noProof/>
                <w:webHidden/>
              </w:rPr>
              <w:fldChar w:fldCharType="end"/>
            </w:r>
          </w:hyperlink>
        </w:p>
        <w:p w14:paraId="63A0FBCA" w14:textId="522B8ADF" w:rsidR="00482988" w:rsidRDefault="00482988">
          <w:pPr>
            <w:pStyle w:val="TOC3"/>
            <w:tabs>
              <w:tab w:val="left" w:pos="960"/>
              <w:tab w:val="right" w:pos="9016"/>
            </w:tabs>
            <w:rPr>
              <w:rFonts w:asciiTheme="minorHAnsi" w:eastAsiaTheme="minorEastAsia" w:hAnsiTheme="minorHAnsi"/>
              <w:noProof/>
              <w:lang w:eastAsia="en-GB"/>
            </w:rPr>
          </w:pPr>
          <w:hyperlink w:anchor="_Toc184040832" w:history="1">
            <w:r w:rsidRPr="00D60A5C">
              <w:rPr>
                <w:rStyle w:val="Hyperlink"/>
                <w:noProof/>
              </w:rPr>
              <w:t>3.</w:t>
            </w:r>
            <w:r>
              <w:rPr>
                <w:rFonts w:asciiTheme="minorHAnsi" w:eastAsiaTheme="minorEastAsia" w:hAnsiTheme="minorHAnsi"/>
                <w:noProof/>
                <w:lang w:eastAsia="en-GB"/>
              </w:rPr>
              <w:tab/>
            </w:r>
            <w:r w:rsidRPr="00D60A5C">
              <w:rPr>
                <w:rStyle w:val="Hyperlink"/>
                <w:noProof/>
              </w:rPr>
              <w:t>A standard year end of 31 December is maintained</w:t>
            </w:r>
            <w:r>
              <w:rPr>
                <w:noProof/>
                <w:webHidden/>
              </w:rPr>
              <w:tab/>
            </w:r>
            <w:r>
              <w:rPr>
                <w:noProof/>
                <w:webHidden/>
              </w:rPr>
              <w:fldChar w:fldCharType="begin"/>
            </w:r>
            <w:r>
              <w:rPr>
                <w:noProof/>
                <w:webHidden/>
              </w:rPr>
              <w:instrText xml:space="preserve"> PAGEREF _Toc184040832 \h </w:instrText>
            </w:r>
            <w:r>
              <w:rPr>
                <w:noProof/>
                <w:webHidden/>
              </w:rPr>
            </w:r>
            <w:r>
              <w:rPr>
                <w:noProof/>
                <w:webHidden/>
              </w:rPr>
              <w:fldChar w:fldCharType="separate"/>
            </w:r>
            <w:r>
              <w:rPr>
                <w:noProof/>
                <w:webHidden/>
              </w:rPr>
              <w:t>7</w:t>
            </w:r>
            <w:r>
              <w:rPr>
                <w:noProof/>
                <w:webHidden/>
              </w:rPr>
              <w:fldChar w:fldCharType="end"/>
            </w:r>
          </w:hyperlink>
        </w:p>
        <w:p w14:paraId="31E85019" w14:textId="2C0C4BB1" w:rsidR="00482988" w:rsidRDefault="00482988">
          <w:pPr>
            <w:pStyle w:val="TOC2"/>
            <w:tabs>
              <w:tab w:val="right" w:pos="9016"/>
            </w:tabs>
            <w:rPr>
              <w:rFonts w:asciiTheme="minorHAnsi" w:eastAsiaTheme="minorEastAsia" w:hAnsiTheme="minorHAnsi"/>
              <w:noProof/>
              <w:lang w:eastAsia="en-GB"/>
            </w:rPr>
          </w:pPr>
          <w:hyperlink w:anchor="_Toc184040833" w:history="1">
            <w:r w:rsidRPr="00D60A5C">
              <w:rPr>
                <w:rStyle w:val="Hyperlink"/>
                <w:rFonts w:eastAsia="Times New Roman"/>
                <w:noProof/>
                <w:lang w:eastAsia="en-GB"/>
              </w:rPr>
              <w:t>Where specific guidance may be needed</w:t>
            </w:r>
            <w:r>
              <w:rPr>
                <w:noProof/>
                <w:webHidden/>
              </w:rPr>
              <w:tab/>
            </w:r>
            <w:r>
              <w:rPr>
                <w:noProof/>
                <w:webHidden/>
              </w:rPr>
              <w:fldChar w:fldCharType="begin"/>
            </w:r>
            <w:r>
              <w:rPr>
                <w:noProof/>
                <w:webHidden/>
              </w:rPr>
              <w:instrText xml:space="preserve"> PAGEREF _Toc184040833 \h </w:instrText>
            </w:r>
            <w:r>
              <w:rPr>
                <w:noProof/>
                <w:webHidden/>
              </w:rPr>
            </w:r>
            <w:r>
              <w:rPr>
                <w:noProof/>
                <w:webHidden/>
              </w:rPr>
              <w:fldChar w:fldCharType="separate"/>
            </w:r>
            <w:r>
              <w:rPr>
                <w:noProof/>
                <w:webHidden/>
              </w:rPr>
              <w:t>8</w:t>
            </w:r>
            <w:r>
              <w:rPr>
                <w:noProof/>
                <w:webHidden/>
              </w:rPr>
              <w:fldChar w:fldCharType="end"/>
            </w:r>
          </w:hyperlink>
        </w:p>
        <w:p w14:paraId="38558F26" w14:textId="629E636A" w:rsidR="00482988" w:rsidRDefault="00482988">
          <w:pPr>
            <w:pStyle w:val="TOC3"/>
            <w:tabs>
              <w:tab w:val="left" w:pos="960"/>
              <w:tab w:val="right" w:pos="9016"/>
            </w:tabs>
            <w:rPr>
              <w:rFonts w:asciiTheme="minorHAnsi" w:eastAsiaTheme="minorEastAsia" w:hAnsiTheme="minorHAnsi"/>
              <w:noProof/>
              <w:lang w:eastAsia="en-GB"/>
            </w:rPr>
          </w:pPr>
          <w:hyperlink w:anchor="_Toc184040834" w:history="1">
            <w:r w:rsidRPr="00D60A5C">
              <w:rPr>
                <w:rStyle w:val="Hyperlink"/>
                <w:noProof/>
              </w:rPr>
              <w:t>a.</w:t>
            </w:r>
            <w:r>
              <w:rPr>
                <w:rFonts w:asciiTheme="minorHAnsi" w:eastAsiaTheme="minorEastAsia" w:hAnsiTheme="minorHAnsi"/>
                <w:noProof/>
                <w:lang w:eastAsia="en-GB"/>
              </w:rPr>
              <w:tab/>
            </w:r>
            <w:r w:rsidRPr="00D60A5C">
              <w:rPr>
                <w:rStyle w:val="Hyperlink"/>
                <w:noProof/>
              </w:rPr>
              <w:t>a profit occurs in the standard period, but the deduction of pension overlap in the transition period produces a loss</w:t>
            </w:r>
            <w:r>
              <w:rPr>
                <w:noProof/>
                <w:webHidden/>
              </w:rPr>
              <w:tab/>
            </w:r>
            <w:r>
              <w:rPr>
                <w:noProof/>
                <w:webHidden/>
              </w:rPr>
              <w:fldChar w:fldCharType="begin"/>
            </w:r>
            <w:r>
              <w:rPr>
                <w:noProof/>
                <w:webHidden/>
              </w:rPr>
              <w:instrText xml:space="preserve"> PAGEREF _Toc184040834 \h </w:instrText>
            </w:r>
            <w:r>
              <w:rPr>
                <w:noProof/>
                <w:webHidden/>
              </w:rPr>
            </w:r>
            <w:r>
              <w:rPr>
                <w:noProof/>
                <w:webHidden/>
              </w:rPr>
              <w:fldChar w:fldCharType="separate"/>
            </w:r>
            <w:r>
              <w:rPr>
                <w:noProof/>
                <w:webHidden/>
              </w:rPr>
              <w:t>8</w:t>
            </w:r>
            <w:r>
              <w:rPr>
                <w:noProof/>
                <w:webHidden/>
              </w:rPr>
              <w:fldChar w:fldCharType="end"/>
            </w:r>
          </w:hyperlink>
        </w:p>
        <w:p w14:paraId="456163E5" w14:textId="6116DB07" w:rsidR="00482988" w:rsidRDefault="00482988">
          <w:pPr>
            <w:pStyle w:val="TOC3"/>
            <w:tabs>
              <w:tab w:val="left" w:pos="960"/>
              <w:tab w:val="right" w:pos="9016"/>
            </w:tabs>
            <w:rPr>
              <w:rFonts w:asciiTheme="minorHAnsi" w:eastAsiaTheme="minorEastAsia" w:hAnsiTheme="minorHAnsi"/>
              <w:noProof/>
              <w:lang w:eastAsia="en-GB"/>
            </w:rPr>
          </w:pPr>
          <w:hyperlink w:anchor="_Toc184040835" w:history="1">
            <w:r w:rsidRPr="00D60A5C">
              <w:rPr>
                <w:rStyle w:val="Hyperlink"/>
                <w:noProof/>
              </w:rPr>
              <w:t>b.</w:t>
            </w:r>
            <w:r>
              <w:rPr>
                <w:rFonts w:asciiTheme="minorHAnsi" w:eastAsiaTheme="minorEastAsia" w:hAnsiTheme="minorHAnsi"/>
                <w:noProof/>
                <w:lang w:eastAsia="en-GB"/>
              </w:rPr>
              <w:tab/>
            </w:r>
            <w:r w:rsidRPr="00D60A5C">
              <w:rPr>
                <w:rStyle w:val="Hyperlink"/>
                <w:noProof/>
              </w:rPr>
              <w:t>a tax trading loss occurs in the standard period, but there is a pensionable profit after overlap deduction in the transition period</w:t>
            </w:r>
            <w:r>
              <w:rPr>
                <w:noProof/>
                <w:webHidden/>
              </w:rPr>
              <w:tab/>
            </w:r>
            <w:r>
              <w:rPr>
                <w:noProof/>
                <w:webHidden/>
              </w:rPr>
              <w:fldChar w:fldCharType="begin"/>
            </w:r>
            <w:r>
              <w:rPr>
                <w:noProof/>
                <w:webHidden/>
              </w:rPr>
              <w:instrText xml:space="preserve"> PAGEREF _Toc184040835 \h </w:instrText>
            </w:r>
            <w:r>
              <w:rPr>
                <w:noProof/>
                <w:webHidden/>
              </w:rPr>
            </w:r>
            <w:r>
              <w:rPr>
                <w:noProof/>
                <w:webHidden/>
              </w:rPr>
              <w:fldChar w:fldCharType="separate"/>
            </w:r>
            <w:r>
              <w:rPr>
                <w:noProof/>
                <w:webHidden/>
              </w:rPr>
              <w:t>9</w:t>
            </w:r>
            <w:r>
              <w:rPr>
                <w:noProof/>
                <w:webHidden/>
              </w:rPr>
              <w:fldChar w:fldCharType="end"/>
            </w:r>
          </w:hyperlink>
        </w:p>
        <w:p w14:paraId="44421FC8" w14:textId="414F35F6" w:rsidR="00482988" w:rsidRDefault="00482988">
          <w:pPr>
            <w:pStyle w:val="TOC3"/>
            <w:tabs>
              <w:tab w:val="left" w:pos="960"/>
              <w:tab w:val="right" w:pos="9016"/>
            </w:tabs>
            <w:rPr>
              <w:rFonts w:asciiTheme="minorHAnsi" w:eastAsiaTheme="minorEastAsia" w:hAnsiTheme="minorHAnsi"/>
              <w:noProof/>
              <w:lang w:eastAsia="en-GB"/>
            </w:rPr>
          </w:pPr>
          <w:hyperlink w:anchor="_Toc184040836" w:history="1">
            <w:r w:rsidRPr="00D60A5C">
              <w:rPr>
                <w:rStyle w:val="Hyperlink"/>
                <w:noProof/>
              </w:rPr>
              <w:t>c.</w:t>
            </w:r>
            <w:r>
              <w:rPr>
                <w:rFonts w:asciiTheme="minorHAnsi" w:eastAsiaTheme="minorEastAsia" w:hAnsiTheme="minorHAnsi"/>
                <w:noProof/>
                <w:lang w:eastAsia="en-GB"/>
              </w:rPr>
              <w:tab/>
            </w:r>
            <w:r w:rsidRPr="00D60A5C">
              <w:rPr>
                <w:rStyle w:val="Hyperlink"/>
                <w:noProof/>
              </w:rPr>
              <w:t>a tax trading loss occurs in the standard period and there is a loss in the transition period after deduction of pension overlap</w:t>
            </w:r>
            <w:r>
              <w:rPr>
                <w:noProof/>
                <w:webHidden/>
              </w:rPr>
              <w:tab/>
            </w:r>
            <w:r>
              <w:rPr>
                <w:noProof/>
                <w:webHidden/>
              </w:rPr>
              <w:fldChar w:fldCharType="begin"/>
            </w:r>
            <w:r>
              <w:rPr>
                <w:noProof/>
                <w:webHidden/>
              </w:rPr>
              <w:instrText xml:space="preserve"> PAGEREF _Toc184040836 \h </w:instrText>
            </w:r>
            <w:r>
              <w:rPr>
                <w:noProof/>
                <w:webHidden/>
              </w:rPr>
            </w:r>
            <w:r>
              <w:rPr>
                <w:noProof/>
                <w:webHidden/>
              </w:rPr>
              <w:fldChar w:fldCharType="separate"/>
            </w:r>
            <w:r>
              <w:rPr>
                <w:noProof/>
                <w:webHidden/>
              </w:rPr>
              <w:t>9</w:t>
            </w:r>
            <w:r>
              <w:rPr>
                <w:noProof/>
                <w:webHidden/>
              </w:rPr>
              <w:fldChar w:fldCharType="end"/>
            </w:r>
          </w:hyperlink>
        </w:p>
        <w:p w14:paraId="37CA2275" w14:textId="4B3A845A" w:rsidR="00482988" w:rsidRDefault="00482988">
          <w:pPr>
            <w:pStyle w:val="TOC3"/>
            <w:tabs>
              <w:tab w:val="right" w:pos="9016"/>
            </w:tabs>
            <w:rPr>
              <w:rFonts w:asciiTheme="minorHAnsi" w:eastAsiaTheme="minorEastAsia" w:hAnsiTheme="minorHAnsi"/>
              <w:noProof/>
              <w:lang w:eastAsia="en-GB"/>
            </w:rPr>
          </w:pPr>
          <w:hyperlink w:anchor="_Toc184040837" w:history="1">
            <w:r w:rsidRPr="00D60A5C">
              <w:rPr>
                <w:rStyle w:val="Hyperlink"/>
                <w:noProof/>
              </w:rPr>
              <w:t>d. a GP leaves the practice or retires</w:t>
            </w:r>
            <w:r>
              <w:rPr>
                <w:noProof/>
                <w:webHidden/>
              </w:rPr>
              <w:tab/>
            </w:r>
            <w:r>
              <w:rPr>
                <w:noProof/>
                <w:webHidden/>
              </w:rPr>
              <w:fldChar w:fldCharType="begin"/>
            </w:r>
            <w:r>
              <w:rPr>
                <w:noProof/>
                <w:webHidden/>
              </w:rPr>
              <w:instrText xml:space="preserve"> PAGEREF _Toc184040837 \h </w:instrText>
            </w:r>
            <w:r>
              <w:rPr>
                <w:noProof/>
                <w:webHidden/>
              </w:rPr>
            </w:r>
            <w:r>
              <w:rPr>
                <w:noProof/>
                <w:webHidden/>
              </w:rPr>
              <w:fldChar w:fldCharType="separate"/>
            </w:r>
            <w:r>
              <w:rPr>
                <w:noProof/>
                <w:webHidden/>
              </w:rPr>
              <w:t>10</w:t>
            </w:r>
            <w:r>
              <w:rPr>
                <w:noProof/>
                <w:webHidden/>
              </w:rPr>
              <w:fldChar w:fldCharType="end"/>
            </w:r>
          </w:hyperlink>
        </w:p>
        <w:p w14:paraId="6098C46F" w14:textId="06906E17" w:rsidR="00482988" w:rsidRDefault="00482988">
          <w:pPr>
            <w:pStyle w:val="TOC3"/>
            <w:tabs>
              <w:tab w:val="left" w:pos="960"/>
              <w:tab w:val="right" w:pos="9016"/>
            </w:tabs>
            <w:rPr>
              <w:rFonts w:asciiTheme="minorHAnsi" w:eastAsiaTheme="minorEastAsia" w:hAnsiTheme="minorHAnsi"/>
              <w:noProof/>
              <w:lang w:eastAsia="en-GB"/>
            </w:rPr>
          </w:pPr>
          <w:hyperlink w:anchor="_Toc184040838" w:history="1">
            <w:r w:rsidRPr="00D60A5C">
              <w:rPr>
                <w:rStyle w:val="Hyperlink"/>
                <w:noProof/>
              </w:rPr>
              <w:t>e.</w:t>
            </w:r>
            <w:r>
              <w:rPr>
                <w:rFonts w:asciiTheme="minorHAnsi" w:eastAsiaTheme="minorEastAsia" w:hAnsiTheme="minorHAnsi"/>
                <w:noProof/>
                <w:lang w:eastAsia="en-GB"/>
              </w:rPr>
              <w:tab/>
            </w:r>
            <w:r w:rsidRPr="00D60A5C">
              <w:rPr>
                <w:rStyle w:val="Hyperlink"/>
                <w:noProof/>
              </w:rPr>
              <w:t>a GP opts out (or in and out)</w:t>
            </w:r>
            <w:r>
              <w:rPr>
                <w:noProof/>
                <w:webHidden/>
              </w:rPr>
              <w:tab/>
            </w:r>
            <w:r>
              <w:rPr>
                <w:noProof/>
                <w:webHidden/>
              </w:rPr>
              <w:fldChar w:fldCharType="begin"/>
            </w:r>
            <w:r>
              <w:rPr>
                <w:noProof/>
                <w:webHidden/>
              </w:rPr>
              <w:instrText xml:space="preserve"> PAGEREF _Toc184040838 \h </w:instrText>
            </w:r>
            <w:r>
              <w:rPr>
                <w:noProof/>
                <w:webHidden/>
              </w:rPr>
            </w:r>
            <w:r>
              <w:rPr>
                <w:noProof/>
                <w:webHidden/>
              </w:rPr>
              <w:fldChar w:fldCharType="separate"/>
            </w:r>
            <w:r>
              <w:rPr>
                <w:noProof/>
                <w:webHidden/>
              </w:rPr>
              <w:t>10</w:t>
            </w:r>
            <w:r>
              <w:rPr>
                <w:noProof/>
                <w:webHidden/>
              </w:rPr>
              <w:fldChar w:fldCharType="end"/>
            </w:r>
          </w:hyperlink>
        </w:p>
        <w:p w14:paraId="5FB4BFAC" w14:textId="6D13D446" w:rsidR="00482988" w:rsidRDefault="00482988">
          <w:pPr>
            <w:pStyle w:val="TOC2"/>
            <w:tabs>
              <w:tab w:val="right" w:pos="9016"/>
            </w:tabs>
            <w:rPr>
              <w:rFonts w:asciiTheme="minorHAnsi" w:eastAsiaTheme="minorEastAsia" w:hAnsiTheme="minorHAnsi"/>
              <w:noProof/>
              <w:lang w:eastAsia="en-GB"/>
            </w:rPr>
          </w:pPr>
          <w:hyperlink w:anchor="_Toc184040839" w:history="1">
            <w:r w:rsidRPr="00D60A5C">
              <w:rPr>
                <w:rStyle w:val="Hyperlink"/>
                <w:rFonts w:eastAsia="Times New Roman"/>
                <w:noProof/>
                <w:lang w:eastAsia="en-GB"/>
              </w:rPr>
              <w:t>Summary</w:t>
            </w:r>
            <w:r>
              <w:rPr>
                <w:noProof/>
                <w:webHidden/>
              </w:rPr>
              <w:tab/>
            </w:r>
            <w:r>
              <w:rPr>
                <w:noProof/>
                <w:webHidden/>
              </w:rPr>
              <w:fldChar w:fldCharType="begin"/>
            </w:r>
            <w:r>
              <w:rPr>
                <w:noProof/>
                <w:webHidden/>
              </w:rPr>
              <w:instrText xml:space="preserve"> PAGEREF _Toc184040839 \h </w:instrText>
            </w:r>
            <w:r>
              <w:rPr>
                <w:noProof/>
                <w:webHidden/>
              </w:rPr>
            </w:r>
            <w:r>
              <w:rPr>
                <w:noProof/>
                <w:webHidden/>
              </w:rPr>
              <w:fldChar w:fldCharType="separate"/>
            </w:r>
            <w:r>
              <w:rPr>
                <w:noProof/>
                <w:webHidden/>
              </w:rPr>
              <w:t>10</w:t>
            </w:r>
            <w:r>
              <w:rPr>
                <w:noProof/>
                <w:webHidden/>
              </w:rPr>
              <w:fldChar w:fldCharType="end"/>
            </w:r>
          </w:hyperlink>
        </w:p>
        <w:p w14:paraId="342A1229" w14:textId="5D72DE8A" w:rsidR="00482988" w:rsidRDefault="00482988">
          <w:pPr>
            <w:pStyle w:val="TOC2"/>
            <w:tabs>
              <w:tab w:val="right" w:pos="9016"/>
            </w:tabs>
            <w:rPr>
              <w:rFonts w:asciiTheme="minorHAnsi" w:eastAsiaTheme="minorEastAsia" w:hAnsiTheme="minorHAnsi"/>
              <w:noProof/>
              <w:lang w:eastAsia="en-GB"/>
            </w:rPr>
          </w:pPr>
          <w:hyperlink w:anchor="_Toc184040840" w:history="1">
            <w:r w:rsidRPr="00D60A5C">
              <w:rPr>
                <w:rStyle w:val="Hyperlink"/>
                <w:rFonts w:eastAsia="Times New Roman"/>
                <w:noProof/>
                <w:lang w:eastAsia="en-GB"/>
              </w:rPr>
              <w:t>Appendix: Opt outs</w:t>
            </w:r>
            <w:r>
              <w:rPr>
                <w:noProof/>
                <w:webHidden/>
              </w:rPr>
              <w:tab/>
            </w:r>
            <w:r>
              <w:rPr>
                <w:noProof/>
                <w:webHidden/>
              </w:rPr>
              <w:fldChar w:fldCharType="begin"/>
            </w:r>
            <w:r>
              <w:rPr>
                <w:noProof/>
                <w:webHidden/>
              </w:rPr>
              <w:instrText xml:space="preserve"> PAGEREF _Toc184040840 \h </w:instrText>
            </w:r>
            <w:r>
              <w:rPr>
                <w:noProof/>
                <w:webHidden/>
              </w:rPr>
            </w:r>
            <w:r>
              <w:rPr>
                <w:noProof/>
                <w:webHidden/>
              </w:rPr>
              <w:fldChar w:fldCharType="separate"/>
            </w:r>
            <w:r>
              <w:rPr>
                <w:noProof/>
                <w:webHidden/>
              </w:rPr>
              <w:t>11</w:t>
            </w:r>
            <w:r>
              <w:rPr>
                <w:noProof/>
                <w:webHidden/>
              </w:rPr>
              <w:fldChar w:fldCharType="end"/>
            </w:r>
          </w:hyperlink>
        </w:p>
        <w:p w14:paraId="4D077F38" w14:textId="015E5C0D" w:rsidR="00482988" w:rsidRDefault="00482988">
          <w:pPr>
            <w:pStyle w:val="TOC3"/>
            <w:tabs>
              <w:tab w:val="left" w:pos="960"/>
              <w:tab w:val="right" w:pos="9016"/>
            </w:tabs>
            <w:rPr>
              <w:rFonts w:asciiTheme="minorHAnsi" w:eastAsiaTheme="minorEastAsia" w:hAnsiTheme="minorHAnsi"/>
              <w:noProof/>
              <w:lang w:eastAsia="en-GB"/>
            </w:rPr>
          </w:pPr>
          <w:hyperlink w:anchor="_Toc184040841" w:history="1">
            <w:r w:rsidRPr="00D60A5C">
              <w:rPr>
                <w:rStyle w:val="Hyperlink"/>
                <w:noProof/>
              </w:rPr>
              <w:t>1.</w:t>
            </w:r>
            <w:r>
              <w:rPr>
                <w:rFonts w:asciiTheme="minorHAnsi" w:eastAsiaTheme="minorEastAsia" w:hAnsiTheme="minorHAnsi"/>
                <w:noProof/>
                <w:lang w:eastAsia="en-GB"/>
              </w:rPr>
              <w:tab/>
            </w:r>
            <w:r w:rsidRPr="00D60A5C">
              <w:rPr>
                <w:rStyle w:val="Hyperlink"/>
                <w:noProof/>
              </w:rPr>
              <w:t>Standard year end 30/06.  GP membership follows this pattern:</w:t>
            </w:r>
            <w:r>
              <w:rPr>
                <w:noProof/>
                <w:webHidden/>
              </w:rPr>
              <w:tab/>
            </w:r>
            <w:r>
              <w:rPr>
                <w:noProof/>
                <w:webHidden/>
              </w:rPr>
              <w:fldChar w:fldCharType="begin"/>
            </w:r>
            <w:r>
              <w:rPr>
                <w:noProof/>
                <w:webHidden/>
              </w:rPr>
              <w:instrText xml:space="preserve"> PAGEREF _Toc184040841 \h </w:instrText>
            </w:r>
            <w:r>
              <w:rPr>
                <w:noProof/>
                <w:webHidden/>
              </w:rPr>
            </w:r>
            <w:r>
              <w:rPr>
                <w:noProof/>
                <w:webHidden/>
              </w:rPr>
              <w:fldChar w:fldCharType="separate"/>
            </w:r>
            <w:r>
              <w:rPr>
                <w:noProof/>
                <w:webHidden/>
              </w:rPr>
              <w:t>11</w:t>
            </w:r>
            <w:r>
              <w:rPr>
                <w:noProof/>
                <w:webHidden/>
              </w:rPr>
              <w:fldChar w:fldCharType="end"/>
            </w:r>
          </w:hyperlink>
        </w:p>
        <w:p w14:paraId="33A85665" w14:textId="57857CA6" w:rsidR="00482988" w:rsidRDefault="00482988">
          <w:pPr>
            <w:pStyle w:val="TOC3"/>
            <w:tabs>
              <w:tab w:val="left" w:pos="960"/>
              <w:tab w:val="right" w:pos="9016"/>
            </w:tabs>
            <w:rPr>
              <w:rFonts w:asciiTheme="minorHAnsi" w:eastAsiaTheme="minorEastAsia" w:hAnsiTheme="minorHAnsi"/>
              <w:noProof/>
              <w:lang w:eastAsia="en-GB"/>
            </w:rPr>
          </w:pPr>
          <w:hyperlink w:anchor="_Toc184040842" w:history="1">
            <w:r w:rsidRPr="00D60A5C">
              <w:rPr>
                <w:rStyle w:val="Hyperlink"/>
                <w:noProof/>
              </w:rPr>
              <w:t>2.</w:t>
            </w:r>
            <w:r>
              <w:rPr>
                <w:rFonts w:asciiTheme="minorHAnsi" w:eastAsiaTheme="minorEastAsia" w:hAnsiTheme="minorHAnsi"/>
                <w:noProof/>
                <w:lang w:eastAsia="en-GB"/>
              </w:rPr>
              <w:tab/>
            </w:r>
            <w:r w:rsidRPr="00D60A5C">
              <w:rPr>
                <w:rStyle w:val="Hyperlink"/>
                <w:noProof/>
              </w:rPr>
              <w:t>Standard year end 30/06. GP membership follows this pattern:</w:t>
            </w:r>
            <w:r>
              <w:rPr>
                <w:noProof/>
                <w:webHidden/>
              </w:rPr>
              <w:tab/>
            </w:r>
            <w:r>
              <w:rPr>
                <w:noProof/>
                <w:webHidden/>
              </w:rPr>
              <w:fldChar w:fldCharType="begin"/>
            </w:r>
            <w:r>
              <w:rPr>
                <w:noProof/>
                <w:webHidden/>
              </w:rPr>
              <w:instrText xml:space="preserve"> PAGEREF _Toc184040842 \h </w:instrText>
            </w:r>
            <w:r>
              <w:rPr>
                <w:noProof/>
                <w:webHidden/>
              </w:rPr>
            </w:r>
            <w:r>
              <w:rPr>
                <w:noProof/>
                <w:webHidden/>
              </w:rPr>
              <w:fldChar w:fldCharType="separate"/>
            </w:r>
            <w:r>
              <w:rPr>
                <w:noProof/>
                <w:webHidden/>
              </w:rPr>
              <w:t>13</w:t>
            </w:r>
            <w:r>
              <w:rPr>
                <w:noProof/>
                <w:webHidden/>
              </w:rPr>
              <w:fldChar w:fldCharType="end"/>
            </w:r>
          </w:hyperlink>
        </w:p>
        <w:p w14:paraId="5C072C5E" w14:textId="67A9EE9C" w:rsidR="00482988" w:rsidRDefault="00482988">
          <w:pPr>
            <w:pStyle w:val="TOC3"/>
            <w:tabs>
              <w:tab w:val="left" w:pos="960"/>
              <w:tab w:val="right" w:pos="9016"/>
            </w:tabs>
            <w:rPr>
              <w:rFonts w:asciiTheme="minorHAnsi" w:eastAsiaTheme="minorEastAsia" w:hAnsiTheme="minorHAnsi"/>
              <w:noProof/>
              <w:lang w:eastAsia="en-GB"/>
            </w:rPr>
          </w:pPr>
          <w:hyperlink w:anchor="_Toc184040843" w:history="1">
            <w:r w:rsidRPr="00D60A5C">
              <w:rPr>
                <w:rStyle w:val="Hyperlink"/>
                <w:noProof/>
              </w:rPr>
              <w:t>3.</w:t>
            </w:r>
            <w:r>
              <w:rPr>
                <w:rFonts w:asciiTheme="minorHAnsi" w:eastAsiaTheme="minorEastAsia" w:hAnsiTheme="minorHAnsi"/>
                <w:noProof/>
                <w:lang w:eastAsia="en-GB"/>
              </w:rPr>
              <w:tab/>
            </w:r>
            <w:r w:rsidRPr="00D60A5C">
              <w:rPr>
                <w:rStyle w:val="Hyperlink"/>
                <w:noProof/>
              </w:rPr>
              <w:t>Standard year end 30/06. GP membership follows this pattern:</w:t>
            </w:r>
            <w:r>
              <w:rPr>
                <w:noProof/>
                <w:webHidden/>
              </w:rPr>
              <w:tab/>
            </w:r>
            <w:r>
              <w:rPr>
                <w:noProof/>
                <w:webHidden/>
              </w:rPr>
              <w:fldChar w:fldCharType="begin"/>
            </w:r>
            <w:r>
              <w:rPr>
                <w:noProof/>
                <w:webHidden/>
              </w:rPr>
              <w:instrText xml:space="preserve"> PAGEREF _Toc184040843 \h </w:instrText>
            </w:r>
            <w:r>
              <w:rPr>
                <w:noProof/>
                <w:webHidden/>
              </w:rPr>
            </w:r>
            <w:r>
              <w:rPr>
                <w:noProof/>
                <w:webHidden/>
              </w:rPr>
              <w:fldChar w:fldCharType="separate"/>
            </w:r>
            <w:r>
              <w:rPr>
                <w:noProof/>
                <w:webHidden/>
              </w:rPr>
              <w:t>14</w:t>
            </w:r>
            <w:r>
              <w:rPr>
                <w:noProof/>
                <w:webHidden/>
              </w:rPr>
              <w:fldChar w:fldCharType="end"/>
            </w:r>
          </w:hyperlink>
        </w:p>
        <w:p w14:paraId="00D0D5BB" w14:textId="1A3DFD86" w:rsidR="00482988" w:rsidRDefault="00482988" w:rsidP="00482988">
          <w:pPr>
            <w:pStyle w:val="TOCHeading"/>
          </w:pPr>
          <w:r>
            <w:fldChar w:fldCharType="end"/>
          </w:r>
        </w:p>
      </w:sdtContent>
    </w:sdt>
    <w:p w14:paraId="56CC88C7" w14:textId="77777777" w:rsidR="00221C0D" w:rsidRDefault="00221C0D" w:rsidP="00482988">
      <w:pPr>
        <w:spacing w:after="240"/>
        <w:rPr>
          <w:rFonts w:cs="Arial"/>
          <w:b/>
          <w:bCs/>
          <w:sz w:val="20"/>
          <w:szCs w:val="20"/>
        </w:rPr>
      </w:pPr>
    </w:p>
    <w:p w14:paraId="2EA42355" w14:textId="77777777" w:rsidR="00482988" w:rsidRDefault="00482988" w:rsidP="00482988">
      <w:pPr>
        <w:spacing w:after="240"/>
        <w:rPr>
          <w:rFonts w:cs="Arial"/>
          <w:b/>
          <w:bCs/>
          <w:sz w:val="20"/>
          <w:szCs w:val="20"/>
        </w:rPr>
      </w:pPr>
    </w:p>
    <w:p w14:paraId="26D65B64" w14:textId="77777777" w:rsidR="00482988" w:rsidRPr="00482988" w:rsidRDefault="00482988" w:rsidP="00482988">
      <w:pPr>
        <w:spacing w:after="240"/>
        <w:rPr>
          <w:rFonts w:cs="Arial"/>
          <w:b/>
          <w:bCs/>
          <w:sz w:val="20"/>
          <w:szCs w:val="20"/>
        </w:rPr>
      </w:pPr>
    </w:p>
    <w:p w14:paraId="0CCC0000" w14:textId="77777777" w:rsidR="00017231" w:rsidRDefault="00017231" w:rsidP="00036337">
      <w:pPr>
        <w:spacing w:after="240"/>
      </w:pPr>
    </w:p>
    <w:p w14:paraId="593F0A1B" w14:textId="32581D8A" w:rsidR="00732D6A" w:rsidRDefault="00732D6A" w:rsidP="00036337">
      <w:pPr>
        <w:pStyle w:val="Heading2"/>
        <w:spacing w:before="0" w:after="240"/>
        <w:rPr>
          <w:rFonts w:eastAsia="Times New Roman"/>
          <w:lang w:eastAsia="en-GB"/>
        </w:rPr>
      </w:pPr>
      <w:bookmarkStart w:id="24" w:name="_Toc181886667"/>
      <w:bookmarkStart w:id="25" w:name="_Toc184040826"/>
      <w:r w:rsidRPr="00221C0D">
        <w:rPr>
          <w:rFonts w:eastAsia="Times New Roman"/>
          <w:lang w:eastAsia="en-GB"/>
        </w:rPr>
        <w:lastRenderedPageBreak/>
        <w:t>Introduction</w:t>
      </w:r>
      <w:bookmarkEnd w:id="24"/>
      <w:bookmarkEnd w:id="25"/>
    </w:p>
    <w:p w14:paraId="54E89D6F" w14:textId="202FEF91" w:rsidR="00732D6A" w:rsidRPr="00DA59C2" w:rsidRDefault="00732D6A" w:rsidP="00036337">
      <w:pPr>
        <w:spacing w:after="240"/>
      </w:pPr>
      <w:r w:rsidRPr="00DA59C2">
        <w:t>Traditionally, self-employed/partnership businesses in the UK have been taxed within a tax year, for a standard operating year, on the tax adjusted profits of the accounting year end that falls with</w:t>
      </w:r>
      <w:r w:rsidR="00047C39" w:rsidRPr="00DA59C2">
        <w:t>in</w:t>
      </w:r>
      <w:r w:rsidRPr="00DA59C2">
        <w:t xml:space="preserve"> the tax year</w:t>
      </w:r>
      <w:r w:rsidR="00047C39" w:rsidRPr="00DA59C2">
        <w:t>. F</w:t>
      </w:r>
      <w:r w:rsidRPr="00DA59C2">
        <w:t xml:space="preserve">or </w:t>
      </w:r>
      <w:r w:rsidR="00240C8D" w:rsidRPr="00DA59C2">
        <w:t>example,</w:t>
      </w:r>
      <w:r w:rsidRPr="00DA59C2">
        <w:t xml:space="preserve"> a business with an accounting year </w:t>
      </w:r>
      <w:r w:rsidR="00047C39" w:rsidRPr="00DA59C2">
        <w:t xml:space="preserve">end </w:t>
      </w:r>
      <w:r w:rsidRPr="00DA59C2">
        <w:t>of, say, 30 June would be taxed in 2022/23 on the profits for the year ended 30 June 2022. There were intricate rules concerning the opening years of a newly self-employed person in such a business that did not use a tax year/31 March year end that could mean some profits were taxed twice. There was relief for this double taxation at the point an individual ceased in business or left a partnership of which they were a member.</w:t>
      </w:r>
      <w:r w:rsidR="00BD3176" w:rsidRPr="00DA59C2">
        <w:t xml:space="preserve"> The profits that were taxed twice, and the consequent relief available, are known as overlap profits.</w:t>
      </w:r>
    </w:p>
    <w:p w14:paraId="7FB64458" w14:textId="71EDC415" w:rsidR="00A8142D" w:rsidRPr="00DA59C2" w:rsidRDefault="00732D6A" w:rsidP="00036337">
      <w:pPr>
        <w:spacing w:after="240"/>
      </w:pPr>
      <w:r w:rsidRPr="00DA59C2">
        <w:t>Legislation has been introduced</w:t>
      </w:r>
      <w:r w:rsidR="00240C8D" w:rsidRPr="00DA59C2">
        <w:t xml:space="preserve"> recently </w:t>
      </w:r>
      <w:r w:rsidRPr="00DA59C2">
        <w:t>that</w:t>
      </w:r>
      <w:r w:rsidR="00047C39" w:rsidRPr="00DA59C2">
        <w:t xml:space="preserve"> means that</w:t>
      </w:r>
      <w:r w:rsidRPr="00DA59C2">
        <w:t>, from 2024/25, all self-employed/partnership businesses will be taxed upon their profits in line with the tax year rather than any different accounting period. 2023/24 is to act as a transition year, whereby the additional profits to 5 April 2024/31 March 2024 will be brought into tax, with relief provided for the</w:t>
      </w:r>
      <w:r w:rsidR="00BD3176" w:rsidRPr="00DA59C2">
        <w:t xml:space="preserve"> overlap profit element.  As the additional element of taxable profits could prove to be significant, the government permit</w:t>
      </w:r>
      <w:r w:rsidR="00240C8D" w:rsidRPr="00DA59C2">
        <w:t>s</w:t>
      </w:r>
      <w:r w:rsidR="00BD3176" w:rsidRPr="00DA59C2">
        <w:t xml:space="preserve"> the spreading of the additional profits over as long as a </w:t>
      </w:r>
      <w:r w:rsidR="005926DF">
        <w:t>5-year</w:t>
      </w:r>
      <w:r w:rsidR="00BD3176" w:rsidRPr="00DA59C2">
        <w:t xml:space="preserve"> period, although an election can be made to accelerate this if desired.</w:t>
      </w:r>
    </w:p>
    <w:p w14:paraId="5D23112D" w14:textId="49883FE8" w:rsidR="00240C8D" w:rsidRPr="00DA59C2" w:rsidRDefault="00240C8D" w:rsidP="00036337">
      <w:pPr>
        <w:spacing w:after="240"/>
      </w:pPr>
      <w:r w:rsidRPr="00DA59C2">
        <w:t>S</w:t>
      </w:r>
      <w:r w:rsidR="00A8142D" w:rsidRPr="00DA59C2">
        <w:t xml:space="preserve">ince the introduction of a new GP contract on 1 April 2004 pensionable profits in any </w:t>
      </w:r>
      <w:r w:rsidRPr="00DA59C2">
        <w:t xml:space="preserve">NHS scheme </w:t>
      </w:r>
      <w:r w:rsidR="00A8142D" w:rsidRPr="00DA59C2">
        <w:t xml:space="preserve">year </w:t>
      </w:r>
      <w:r w:rsidRPr="00DA59C2">
        <w:t xml:space="preserve">are </w:t>
      </w:r>
      <w:r w:rsidR="00A8142D" w:rsidRPr="00DA59C2">
        <w:t xml:space="preserve">based upon the </w:t>
      </w:r>
      <w:r w:rsidRPr="00DA59C2">
        <w:t xml:space="preserve">NHS </w:t>
      </w:r>
      <w:r w:rsidR="00A8142D" w:rsidRPr="00DA59C2">
        <w:t>taxable profits</w:t>
      </w:r>
      <w:r w:rsidRPr="00DA59C2">
        <w:t xml:space="preserve"> for that year </w:t>
      </w:r>
      <w:r w:rsidR="00A8142D" w:rsidRPr="00DA59C2">
        <w:t>using figures available from either personal and/or partnership tax returns</w:t>
      </w:r>
      <w:r w:rsidRPr="00DA59C2">
        <w:t xml:space="preserve"> and </w:t>
      </w:r>
      <w:r w:rsidR="00A8142D" w:rsidRPr="00DA59C2">
        <w:t xml:space="preserve">information available from accounts working papers.  In the same way that there may be </w:t>
      </w:r>
      <w:r w:rsidRPr="00DA59C2">
        <w:t xml:space="preserve">taxable </w:t>
      </w:r>
      <w:r w:rsidR="00A8142D" w:rsidRPr="00DA59C2">
        <w:t xml:space="preserve">profits that have been taxed twice in the opening years, there may also be pensionable profits that have been pensioned twice, leading to the creation of pension overlap. Maintaining the convention of the pensionable profits following the taxable profits, 2023/24 will also be a transition year allowing for the claiming (deduction) of pension overlap.  </w:t>
      </w:r>
    </w:p>
    <w:p w14:paraId="3E44FB13" w14:textId="0972F373" w:rsidR="00397021" w:rsidRDefault="00A8142D" w:rsidP="00036337">
      <w:pPr>
        <w:spacing w:after="240"/>
      </w:pPr>
      <w:r w:rsidRPr="00DA59C2">
        <w:t>This guidance note has been prepared to assist with the 2023/24 transition year.</w:t>
      </w:r>
    </w:p>
    <w:p w14:paraId="651D6F23" w14:textId="40C25FBB" w:rsidR="00A8142D" w:rsidRDefault="00644A14" w:rsidP="00036337">
      <w:pPr>
        <w:pStyle w:val="Heading2"/>
        <w:spacing w:before="0" w:after="240"/>
        <w:rPr>
          <w:rFonts w:eastAsia="Times New Roman"/>
          <w:lang w:eastAsia="en-GB"/>
        </w:rPr>
      </w:pPr>
      <w:bookmarkStart w:id="26" w:name="_Toc184040827"/>
      <w:r w:rsidRPr="00221C0D">
        <w:rPr>
          <w:rFonts w:eastAsia="Times New Roman"/>
          <w:lang w:eastAsia="en-GB"/>
        </w:rPr>
        <w:t>Additional profits and c</w:t>
      </w:r>
      <w:r w:rsidR="00A8142D" w:rsidRPr="00221C0D">
        <w:rPr>
          <w:rFonts w:eastAsia="Times New Roman"/>
          <w:lang w:eastAsia="en-GB"/>
        </w:rPr>
        <w:t>laiming of pension overlap</w:t>
      </w:r>
      <w:bookmarkEnd w:id="26"/>
    </w:p>
    <w:p w14:paraId="400102FB" w14:textId="6A3B1C8D" w:rsidR="00240C8D" w:rsidRPr="00DA59C2" w:rsidRDefault="009E60FE" w:rsidP="00036337">
      <w:pPr>
        <w:spacing w:after="240"/>
      </w:pPr>
      <w:r w:rsidRPr="00DA59C2">
        <w:t xml:space="preserve">All members with an accounting year end other than 5 April/31 March should have an entry in box 35c of </w:t>
      </w:r>
      <w:proofErr w:type="gramStart"/>
      <w:r w:rsidR="00240C8D" w:rsidRPr="00DA59C2">
        <w:t>the 2022/23 Type</w:t>
      </w:r>
      <w:proofErr w:type="gramEnd"/>
      <w:r w:rsidRPr="00DA59C2">
        <w:t xml:space="preserve"> 1 pension certificate indicating the amount of pension overlap to </w:t>
      </w:r>
      <w:r w:rsidR="00C34978" w:rsidRPr="00DA59C2">
        <w:t xml:space="preserve">be </w:t>
      </w:r>
      <w:r w:rsidRPr="00DA59C2">
        <w:t xml:space="preserve">carried forward into 2023/24.  </w:t>
      </w:r>
    </w:p>
    <w:p w14:paraId="0ACEA559" w14:textId="77777777" w:rsidR="00897E1D" w:rsidRPr="00DA59C2" w:rsidRDefault="009E60FE" w:rsidP="00036337">
      <w:pPr>
        <w:spacing w:after="240"/>
      </w:pPr>
      <w:proofErr w:type="gramStart"/>
      <w:r w:rsidRPr="00DA59C2">
        <w:t>The 2023/24 Type</w:t>
      </w:r>
      <w:proofErr w:type="gramEnd"/>
      <w:r w:rsidRPr="00DA59C2">
        <w:t xml:space="preserve"> 1 certificate has been amended to include bringing in additional pensionable profits </w:t>
      </w:r>
      <w:r w:rsidR="00240C8D" w:rsidRPr="00DA59C2">
        <w:t xml:space="preserve">for the period to </w:t>
      </w:r>
      <w:r w:rsidRPr="00DA59C2">
        <w:t>5 April/31 March and claiming relief for the pension overlap.</w:t>
      </w:r>
    </w:p>
    <w:p w14:paraId="10FCC1DA" w14:textId="5FF817D0" w:rsidR="0090794A" w:rsidRDefault="009E60FE" w:rsidP="00036337">
      <w:pPr>
        <w:spacing w:after="240"/>
      </w:pPr>
      <w:r w:rsidRPr="00DA59C2">
        <w:lastRenderedPageBreak/>
        <w:t xml:space="preserve">It is envisaged that the basis period reform changes will mean that most GP practices will amend their accounting year end to 31 March, but this is not a necessity. It is possible for practices to retain the previous year end. Completion of tax returns and pension certificates in this case will entail the apportionment of profits </w:t>
      </w:r>
      <w:r w:rsidR="00047C39" w:rsidRPr="00DA59C2">
        <w:t xml:space="preserve">for </w:t>
      </w:r>
      <w:r w:rsidRPr="00DA59C2">
        <w:t>each year to match the tax year.</w:t>
      </w:r>
      <w:r w:rsidR="00644A14" w:rsidRPr="00DA59C2">
        <w:t xml:space="preserve">  </w:t>
      </w:r>
    </w:p>
    <w:p w14:paraId="32BC00D0" w14:textId="67D5D296" w:rsidR="00644A14" w:rsidRPr="00DA59C2" w:rsidRDefault="00644A14" w:rsidP="00036337">
      <w:pPr>
        <w:spacing w:after="240"/>
      </w:pPr>
      <w:r w:rsidRPr="00DA59C2">
        <w:t xml:space="preserve">This may also involve the use of estimated figures for the second period if accounts have not been finalised at the time </w:t>
      </w:r>
      <w:r w:rsidR="00240C8D" w:rsidRPr="00DA59C2">
        <w:t xml:space="preserve">the </w:t>
      </w:r>
      <w:r w:rsidRPr="00DA59C2">
        <w:t xml:space="preserve">submission of </w:t>
      </w:r>
      <w:r w:rsidR="00240C8D" w:rsidRPr="00DA59C2">
        <w:t xml:space="preserve">tax </w:t>
      </w:r>
      <w:r w:rsidRPr="00DA59C2">
        <w:t xml:space="preserve">returns and </w:t>
      </w:r>
      <w:r w:rsidR="00240C8D" w:rsidRPr="00DA59C2">
        <w:t xml:space="preserve">pension </w:t>
      </w:r>
      <w:r w:rsidRPr="00DA59C2">
        <w:t>certificates</w:t>
      </w:r>
      <w:r w:rsidR="00240C8D" w:rsidRPr="00DA59C2">
        <w:t xml:space="preserve"> is required</w:t>
      </w:r>
      <w:r w:rsidRPr="00DA59C2">
        <w:t xml:space="preserve">.  Where this is the case, when accounts are finalised an amended certificate </w:t>
      </w:r>
      <w:r w:rsidR="00240C8D" w:rsidRPr="00DA59C2">
        <w:t xml:space="preserve">to replace </w:t>
      </w:r>
      <w:r w:rsidRPr="00DA59C2">
        <w:t>the previous provisional one will need to be prepared and submitted.</w:t>
      </w:r>
    </w:p>
    <w:p w14:paraId="6C193CFA" w14:textId="4BB6687E" w:rsidR="00644A14" w:rsidRPr="00DA59C2" w:rsidRDefault="00644A14" w:rsidP="00036337">
      <w:pPr>
        <w:spacing w:after="240"/>
      </w:pPr>
      <w:r w:rsidRPr="00DA59C2">
        <w:t xml:space="preserve">If a practice year end is to change, this can be achieved by one of two methods. A single long period of account can be produced covering the whole period to 5 April/31 March 2024, or a </w:t>
      </w:r>
      <w:r w:rsidR="00240C8D" w:rsidRPr="00DA59C2">
        <w:t>12-month period</w:t>
      </w:r>
      <w:r w:rsidRPr="00DA59C2">
        <w:t xml:space="preserve"> of account to the </w:t>
      </w:r>
      <w:r w:rsidR="00047C39" w:rsidRPr="00DA59C2">
        <w:t>usu</w:t>
      </w:r>
      <w:r w:rsidRPr="00DA59C2">
        <w:t>al year end may be produced, with a separate short period of account to the end of the tax year.</w:t>
      </w:r>
    </w:p>
    <w:p w14:paraId="4C45670D" w14:textId="79246B82" w:rsidR="00240C8D" w:rsidRPr="00DA59C2" w:rsidRDefault="00644A14" w:rsidP="00036337">
      <w:pPr>
        <w:spacing w:after="240"/>
      </w:pPr>
      <w:r w:rsidRPr="00DA59C2">
        <w:t xml:space="preserve">Examples and other possible </w:t>
      </w:r>
      <w:r w:rsidR="00240C8D" w:rsidRPr="00DA59C2">
        <w:t>scenarios</w:t>
      </w:r>
      <w:r w:rsidR="00F07DAF" w:rsidRPr="00DA59C2">
        <w:t xml:space="preserve">, </w:t>
      </w:r>
      <w:r w:rsidR="00240C8D" w:rsidRPr="00DA59C2">
        <w:t xml:space="preserve">for example where losses arise rather than </w:t>
      </w:r>
      <w:r w:rsidR="00657D3C" w:rsidRPr="00DA59C2">
        <w:t>profits, will</w:t>
      </w:r>
      <w:r w:rsidRPr="00DA59C2">
        <w:t xml:space="preserve"> follow in this guidance</w:t>
      </w:r>
      <w:r w:rsidR="00047C39" w:rsidRPr="00DA59C2">
        <w:t>.</w:t>
      </w:r>
    </w:p>
    <w:p w14:paraId="127AF918" w14:textId="553D12DB" w:rsidR="006060BD" w:rsidRPr="00DA59C2" w:rsidRDefault="00240C8D" w:rsidP="00036337">
      <w:pPr>
        <w:spacing w:after="240"/>
      </w:pPr>
      <w:r w:rsidRPr="00DA59C2">
        <w:t>T</w:t>
      </w:r>
      <w:r w:rsidR="00644A14" w:rsidRPr="00DA59C2">
        <w:t>he</w:t>
      </w:r>
      <w:r w:rsidR="00047C39" w:rsidRPr="00DA59C2">
        <w:t xml:space="preserve"> </w:t>
      </w:r>
      <w:r w:rsidR="00644A14" w:rsidRPr="00DA59C2">
        <w:t>general principle</w:t>
      </w:r>
      <w:r w:rsidRPr="00DA59C2">
        <w:t xml:space="preserve"> for calculating pensionable earnings </w:t>
      </w:r>
      <w:r w:rsidR="00047C39" w:rsidRPr="00DA59C2">
        <w:t>has been that the pension treatment f</w:t>
      </w:r>
      <w:r w:rsidR="00644A14" w:rsidRPr="00DA59C2">
        <w:t xml:space="preserve">ollows the tax treatment. </w:t>
      </w:r>
      <w:r w:rsidR="000D7832" w:rsidRPr="00DA59C2">
        <w:t xml:space="preserve">The Department of Health and Social </w:t>
      </w:r>
      <w:r w:rsidR="00636EC5" w:rsidRPr="00DA59C2">
        <w:t>Care (DHSC)</w:t>
      </w:r>
      <w:r w:rsidR="006D5BB9" w:rsidRPr="00DA59C2">
        <w:t xml:space="preserve"> have confirmed that this approach will continue in th</w:t>
      </w:r>
      <w:r w:rsidR="00F73562" w:rsidRPr="00DA59C2">
        <w:t>e transition year of 2023/24. There will, however, be certain cir</w:t>
      </w:r>
      <w:r w:rsidR="006060BD" w:rsidRPr="00DA59C2">
        <w:t>cumstances in which this may differ.</w:t>
      </w:r>
    </w:p>
    <w:p w14:paraId="138E1CC0" w14:textId="23093C71" w:rsidR="00897E1D" w:rsidRDefault="006060BD" w:rsidP="00036337">
      <w:pPr>
        <w:spacing w:after="240"/>
      </w:pPr>
      <w:r w:rsidRPr="00DA59C2">
        <w:t>R</w:t>
      </w:r>
      <w:r w:rsidR="00644A14" w:rsidRPr="00DA59C2">
        <w:t>egardless</w:t>
      </w:r>
      <w:r w:rsidR="00657D3C" w:rsidRPr="00DA59C2">
        <w:t xml:space="preserve"> </w:t>
      </w:r>
      <w:r w:rsidR="00644A14" w:rsidRPr="00DA59C2">
        <w:t xml:space="preserve">of how the accounts are prepared, the </w:t>
      </w:r>
      <w:r w:rsidR="00536827" w:rsidRPr="00DA59C2">
        <w:t xml:space="preserve">profits for pension purposes will need to be split in 2023/24 between the standard period to the normal accounting year end </w:t>
      </w:r>
      <w:r w:rsidR="00657D3C" w:rsidRPr="00DA59C2">
        <w:t xml:space="preserve">date </w:t>
      </w:r>
      <w:r w:rsidR="00536827" w:rsidRPr="00DA59C2">
        <w:t xml:space="preserve">and the transition </w:t>
      </w:r>
      <w:r w:rsidR="00905313" w:rsidRPr="00DA59C2">
        <w:t>period being</w:t>
      </w:r>
      <w:r w:rsidR="00536827" w:rsidRPr="00DA59C2">
        <w:t xml:space="preserve"> the additional one to the end of the tax year. </w:t>
      </w:r>
      <w:r w:rsidR="00544DB1" w:rsidRPr="00DA59C2">
        <w:t>The pension overlap will initially be set against the transition period profit</w:t>
      </w:r>
      <w:r w:rsidR="00833E5D" w:rsidRPr="00DA59C2">
        <w:t>.</w:t>
      </w:r>
    </w:p>
    <w:p w14:paraId="1BF9E8AC" w14:textId="4F6AB9E8" w:rsidR="00ED402B" w:rsidRDefault="00ED402B" w:rsidP="00036337">
      <w:pPr>
        <w:pStyle w:val="Heading2"/>
        <w:spacing w:before="0" w:after="240"/>
        <w:rPr>
          <w:rFonts w:eastAsia="Times New Roman"/>
          <w:lang w:eastAsia="en-GB"/>
        </w:rPr>
      </w:pPr>
      <w:bookmarkStart w:id="27" w:name="_Toc184040828"/>
      <w:r w:rsidRPr="00221C0D">
        <w:rPr>
          <w:rFonts w:eastAsia="Times New Roman"/>
          <w:lang w:eastAsia="en-GB"/>
        </w:rPr>
        <w:t>Spreading</w:t>
      </w:r>
      <w:bookmarkEnd w:id="27"/>
    </w:p>
    <w:p w14:paraId="7137EFA4" w14:textId="56FF9D61" w:rsidR="006D43C1" w:rsidRPr="00DA59C2" w:rsidRDefault="004F652B" w:rsidP="00036337">
      <w:pPr>
        <w:spacing w:after="240"/>
      </w:pPr>
      <w:r>
        <w:t>T</w:t>
      </w:r>
      <w:r w:rsidR="00ED402B" w:rsidRPr="00DA59C2">
        <w:t xml:space="preserve">he tax rules permit the spreading </w:t>
      </w:r>
      <w:r w:rsidR="007A522B" w:rsidRPr="00DA59C2">
        <w:t xml:space="preserve">of </w:t>
      </w:r>
      <w:r w:rsidR="00ED402B" w:rsidRPr="00DA59C2">
        <w:t>the additional profits after overlap over a period of</w:t>
      </w:r>
      <w:r w:rsidR="00861917" w:rsidRPr="00DA59C2">
        <w:t xml:space="preserve"> up to </w:t>
      </w:r>
      <w:r w:rsidR="00CE7D24">
        <w:t>5</w:t>
      </w:r>
      <w:r w:rsidR="00CE7D24" w:rsidRPr="00DA59C2">
        <w:t xml:space="preserve"> </w:t>
      </w:r>
      <w:r w:rsidR="00ED402B" w:rsidRPr="00DA59C2">
        <w:t>years</w:t>
      </w:r>
      <w:r w:rsidR="001B2CC7" w:rsidRPr="00DA59C2">
        <w:t>, w</w:t>
      </w:r>
      <w:r w:rsidR="00861917" w:rsidRPr="00DA59C2">
        <w:t xml:space="preserve">ith </w:t>
      </w:r>
      <w:r w:rsidR="005D192C">
        <w:t>5</w:t>
      </w:r>
      <w:r w:rsidR="005D192C" w:rsidRPr="00DA59C2">
        <w:t xml:space="preserve"> </w:t>
      </w:r>
      <w:r w:rsidR="00861917" w:rsidRPr="00DA59C2">
        <w:t xml:space="preserve">years as </w:t>
      </w:r>
      <w:r w:rsidR="001B2CC7" w:rsidRPr="00DA59C2">
        <w:t>the default setting under the tax rules</w:t>
      </w:r>
      <w:r w:rsidR="00ED402B" w:rsidRPr="00DA59C2">
        <w:t xml:space="preserve">.  </w:t>
      </w:r>
    </w:p>
    <w:p w14:paraId="0D9651AE" w14:textId="74F125FA" w:rsidR="006D43C1" w:rsidRPr="00DA59C2" w:rsidRDefault="00ED402B" w:rsidP="00036337">
      <w:pPr>
        <w:spacing w:after="240"/>
      </w:pPr>
      <w:r w:rsidRPr="00DA59C2">
        <w:t>A</w:t>
      </w:r>
      <w:r w:rsidR="000C7ECD" w:rsidRPr="00DA59C2">
        <w:t>lthough</w:t>
      </w:r>
      <w:r w:rsidRPr="00DA59C2">
        <w:t xml:space="preserve"> there is no direct correlation between tax circumstances and pension circumstances, </w:t>
      </w:r>
      <w:r w:rsidR="00FB53CD" w:rsidRPr="00DA59C2">
        <w:t xml:space="preserve">DHSC have </w:t>
      </w:r>
      <w:r w:rsidR="00861917" w:rsidRPr="00DA59C2">
        <w:t>confirmed t</w:t>
      </w:r>
      <w:r w:rsidR="00EC626E" w:rsidRPr="00DA59C2">
        <w:t xml:space="preserve">hat </w:t>
      </w:r>
      <w:r w:rsidRPr="00DA59C2">
        <w:t xml:space="preserve">the additional pensionable profits </w:t>
      </w:r>
      <w:r w:rsidR="00861917" w:rsidRPr="00DA59C2">
        <w:t xml:space="preserve">arising in the transition period </w:t>
      </w:r>
      <w:r w:rsidR="007F4D0A" w:rsidRPr="00DA59C2">
        <w:t xml:space="preserve">will be treated </w:t>
      </w:r>
      <w:r w:rsidRPr="00DA59C2">
        <w:t xml:space="preserve">for pension purposes </w:t>
      </w:r>
      <w:r w:rsidR="00D61491" w:rsidRPr="00DA59C2">
        <w:t xml:space="preserve">by following the same treatment as the additional taxable profits. </w:t>
      </w:r>
    </w:p>
    <w:p w14:paraId="56B26DD3" w14:textId="27458182" w:rsidR="006F5BFB" w:rsidRPr="00DA59C2" w:rsidRDefault="00ED402B" w:rsidP="00036337">
      <w:pPr>
        <w:spacing w:after="240"/>
      </w:pPr>
      <w:r w:rsidRPr="00DA59C2">
        <w:t xml:space="preserve">For instance, a partner </w:t>
      </w:r>
      <w:r w:rsidR="00BB2558" w:rsidRPr="00DA59C2">
        <w:t xml:space="preserve">who </w:t>
      </w:r>
      <w:r w:rsidRPr="00DA59C2">
        <w:t>remain</w:t>
      </w:r>
      <w:r w:rsidR="00BB2558" w:rsidRPr="00DA59C2">
        <w:t>s</w:t>
      </w:r>
      <w:r w:rsidRPr="00DA59C2">
        <w:t xml:space="preserve"> as a fully taxable partner throughout the period and wish</w:t>
      </w:r>
      <w:r w:rsidR="00BB2558" w:rsidRPr="00DA59C2">
        <w:t>es</w:t>
      </w:r>
      <w:r w:rsidRPr="00DA59C2">
        <w:t xml:space="preserve"> to spread the additional taxable profits </w:t>
      </w:r>
      <w:r w:rsidR="00BC47AE" w:rsidRPr="00DA59C2">
        <w:t xml:space="preserve">equally </w:t>
      </w:r>
      <w:r w:rsidRPr="00DA59C2">
        <w:t xml:space="preserve">over </w:t>
      </w:r>
      <w:r w:rsidR="00001A78">
        <w:t>5</w:t>
      </w:r>
      <w:r w:rsidR="00001A78" w:rsidRPr="00DA59C2">
        <w:t xml:space="preserve"> </w:t>
      </w:r>
      <w:r w:rsidRPr="00DA59C2">
        <w:t>years</w:t>
      </w:r>
      <w:r w:rsidR="00BC47AE" w:rsidRPr="00DA59C2">
        <w:t xml:space="preserve"> will be required to spread</w:t>
      </w:r>
      <w:r w:rsidR="00C25CC3" w:rsidRPr="00DA59C2">
        <w:t xml:space="preserve"> the additional pensionable prof</w:t>
      </w:r>
      <w:r w:rsidR="00D426CF" w:rsidRPr="00DA59C2">
        <w:t>it equally over the same period.</w:t>
      </w:r>
    </w:p>
    <w:p w14:paraId="3448D934" w14:textId="308627F4" w:rsidR="006F5BFB" w:rsidRDefault="006F5BFB" w:rsidP="00036337">
      <w:pPr>
        <w:spacing w:after="240"/>
      </w:pPr>
      <w:r w:rsidRPr="00DA59C2">
        <w:lastRenderedPageBreak/>
        <w:t xml:space="preserve">Should a GP decide to accelerate the </w:t>
      </w:r>
      <w:r w:rsidR="00D426CF" w:rsidRPr="00DA59C2">
        <w:t>tax</w:t>
      </w:r>
      <w:r w:rsidRPr="00DA59C2">
        <w:t xml:space="preserve">ing of income in 2023/24, any remaining additional </w:t>
      </w:r>
      <w:r w:rsidR="00E340F1" w:rsidRPr="00DA59C2">
        <w:t>tax</w:t>
      </w:r>
      <w:r w:rsidRPr="00DA59C2">
        <w:t xml:space="preserve">able profits will be spread evenly over the remaining four years of the spreading period.  </w:t>
      </w:r>
      <w:r w:rsidR="00C55790" w:rsidRPr="00DA59C2">
        <w:t xml:space="preserve">Additional pensionable profits will then </w:t>
      </w:r>
      <w:r w:rsidR="00155B61" w:rsidRPr="00DA59C2">
        <w:t xml:space="preserve">be similarly spread by the same percentage. </w:t>
      </w:r>
      <w:r w:rsidRPr="00DA59C2">
        <w:t>Further acceleration can occur in 2024/25 and later years with any remaining spread evenly over the rest of the period.</w:t>
      </w:r>
    </w:p>
    <w:p w14:paraId="68D9303F" w14:textId="102E69BE" w:rsidR="00BD3176" w:rsidRDefault="00644A14" w:rsidP="00036337">
      <w:pPr>
        <w:pStyle w:val="Heading2"/>
        <w:spacing w:before="0" w:after="240"/>
        <w:rPr>
          <w:rFonts w:eastAsia="Times New Roman"/>
          <w:lang w:eastAsia="en-GB"/>
        </w:rPr>
      </w:pPr>
      <w:bookmarkStart w:id="28" w:name="_Toc184040829"/>
      <w:r w:rsidRPr="00221C0D">
        <w:rPr>
          <w:rFonts w:eastAsia="Times New Roman"/>
          <w:lang w:eastAsia="en-GB"/>
        </w:rPr>
        <w:t>Examples</w:t>
      </w:r>
      <w:bookmarkEnd w:id="28"/>
    </w:p>
    <w:p w14:paraId="6860E154" w14:textId="2C72C691" w:rsidR="00644A14" w:rsidRPr="00430D82" w:rsidRDefault="00644A14" w:rsidP="00036337">
      <w:pPr>
        <w:pStyle w:val="Heading3"/>
        <w:numPr>
          <w:ilvl w:val="0"/>
          <w:numId w:val="41"/>
        </w:numPr>
      </w:pPr>
      <w:bookmarkStart w:id="29" w:name="_Toc184040830"/>
      <w:r w:rsidRPr="00430D82">
        <w:t>Standard year ended 3</w:t>
      </w:r>
      <w:r w:rsidR="00536827" w:rsidRPr="00430D82">
        <w:t>1</w:t>
      </w:r>
      <w:r w:rsidRPr="00430D82">
        <w:t xml:space="preserve"> </w:t>
      </w:r>
      <w:r w:rsidR="00731B19" w:rsidRPr="00430D82">
        <w:t>October</w:t>
      </w:r>
      <w:r w:rsidRPr="00430D82">
        <w:t xml:space="preserve"> 2023, together with a </w:t>
      </w:r>
      <w:r w:rsidR="00536827" w:rsidRPr="00430D82">
        <w:t xml:space="preserve">further short period of account covering the period 1 </w:t>
      </w:r>
      <w:r w:rsidR="00731B19" w:rsidRPr="00430D82">
        <w:t>November</w:t>
      </w:r>
      <w:r w:rsidR="00536827" w:rsidRPr="00430D82">
        <w:t xml:space="preserve"> 202</w:t>
      </w:r>
      <w:r w:rsidR="00731B19" w:rsidRPr="00430D82">
        <w:t>3</w:t>
      </w:r>
      <w:r w:rsidR="00536827" w:rsidRPr="00430D82">
        <w:t xml:space="preserve"> to 31 March 2024</w:t>
      </w:r>
      <w:bookmarkEnd w:id="29"/>
    </w:p>
    <w:p w14:paraId="3AFE8267" w14:textId="6AA1572E" w:rsidR="00536827" w:rsidRPr="00DA50C2" w:rsidRDefault="00536827" w:rsidP="00036337">
      <w:pPr>
        <w:spacing w:after="240"/>
      </w:pPr>
      <w:r w:rsidRPr="00DA50C2">
        <w:t>The pensionable profit for the year ended 31/1</w:t>
      </w:r>
      <w:r w:rsidR="00731B19" w:rsidRPr="00DA50C2">
        <w:t>0</w:t>
      </w:r>
      <w:r w:rsidRPr="00DA50C2">
        <w:t>/2023 will need to be calculated in the normal way. The boxes on the Type 1 certificate reflecting tax adjusted income and expenses have remained the same and should be used as normal. The year end will also have details of its own NHS and non-NHS income and will have its own</w:t>
      </w:r>
      <w:r w:rsidR="00ED402B" w:rsidRPr="00DA50C2">
        <w:t xml:space="preserve"> non-NHS expense ratio add back. A parallel set of boxes has been introduced to include the profits for the additional short period to 31/03/2024 and the pension overlap will </w:t>
      </w:r>
      <w:r w:rsidR="009630EF" w:rsidRPr="00DA50C2">
        <w:t>initially</w:t>
      </w:r>
      <w:r w:rsidR="004E2B12" w:rsidRPr="00DA50C2">
        <w:t xml:space="preserve"> </w:t>
      </w:r>
      <w:r w:rsidR="00ED402B" w:rsidRPr="00DA50C2">
        <w:t>be deducted from this period. The transition period will also have its own non-NHS expense ratio dependent upon its own circumstances</w:t>
      </w:r>
      <w:r w:rsidR="00F23E42" w:rsidRPr="00DA50C2">
        <w:t xml:space="preserve"> and the overlap profit deducted </w:t>
      </w:r>
      <w:r w:rsidR="002B643A" w:rsidRPr="00DA50C2">
        <w:t>after this has been done.</w:t>
      </w:r>
    </w:p>
    <w:p w14:paraId="4112FAC0" w14:textId="652C312F" w:rsidR="00ED402B" w:rsidRPr="00DA50C2" w:rsidRDefault="00ED402B" w:rsidP="00036337">
      <w:pPr>
        <w:spacing w:after="240"/>
      </w:pPr>
      <w:r w:rsidRPr="00DA50C2">
        <w:t>Pensionable profits for the year ended 31/1</w:t>
      </w:r>
      <w:r w:rsidR="00731B19" w:rsidRPr="00DA50C2">
        <w:t>0</w:t>
      </w:r>
      <w:r w:rsidRPr="00DA50C2">
        <w:t>/2023</w:t>
      </w:r>
      <w:r w:rsidRPr="00DA50C2">
        <w:tab/>
      </w:r>
      <w:r w:rsidRPr="00DA50C2">
        <w:tab/>
      </w:r>
      <w:r w:rsidRPr="00DA50C2">
        <w:tab/>
      </w:r>
      <w:r w:rsidRPr="00DA50C2">
        <w:tab/>
        <w:t>125,788</w:t>
      </w:r>
    </w:p>
    <w:p w14:paraId="266F9C9F" w14:textId="7926D781" w:rsidR="00DA59C2" w:rsidRPr="00DA50C2" w:rsidRDefault="00ED402B" w:rsidP="00036337">
      <w:pPr>
        <w:spacing w:after="240"/>
      </w:pPr>
      <w:r w:rsidRPr="00DA50C2">
        <w:t>Pensionable profits for the period 01/</w:t>
      </w:r>
      <w:r w:rsidR="00731B19" w:rsidRPr="00DA50C2">
        <w:t>1</w:t>
      </w:r>
      <w:r w:rsidRPr="00DA50C2">
        <w:t>1/202</w:t>
      </w:r>
      <w:r w:rsidR="00731B19" w:rsidRPr="00DA50C2">
        <w:t>3</w:t>
      </w:r>
      <w:r w:rsidRPr="00DA50C2">
        <w:t xml:space="preserve"> to 31/03/2024</w:t>
      </w:r>
      <w:r w:rsidRPr="00DA50C2">
        <w:tab/>
      </w:r>
      <w:r w:rsidRPr="00DA50C2">
        <w:tab/>
      </w:r>
      <w:r w:rsidR="001712C2">
        <w:tab/>
      </w:r>
      <w:r w:rsidR="00DA59C2" w:rsidRPr="00DA50C2">
        <w:t xml:space="preserve"> </w:t>
      </w:r>
      <w:r w:rsidR="00731B19" w:rsidRPr="00DA50C2">
        <w:t>5</w:t>
      </w:r>
      <w:r w:rsidRPr="00DA50C2">
        <w:t>3,652</w:t>
      </w:r>
      <w:r w:rsidR="00F4507B" w:rsidRPr="00DA50C2">
        <w:t xml:space="preserve"> </w:t>
      </w:r>
    </w:p>
    <w:p w14:paraId="063B7336" w14:textId="7426375D" w:rsidR="00ED402B" w:rsidRPr="00DA50C2" w:rsidRDefault="00ED402B" w:rsidP="00036337">
      <w:pPr>
        <w:spacing w:after="240"/>
      </w:pPr>
      <w:r w:rsidRPr="00DA50C2">
        <w:t>Less pension overlap brought forward</w:t>
      </w:r>
      <w:r w:rsidRPr="00DA50C2">
        <w:tab/>
      </w:r>
      <w:r w:rsidRPr="00DA50C2">
        <w:tab/>
      </w:r>
      <w:r w:rsidRPr="00DA50C2">
        <w:tab/>
      </w:r>
      <w:r w:rsidRPr="00DA50C2">
        <w:tab/>
      </w:r>
      <w:r w:rsidRPr="00DA50C2">
        <w:tab/>
      </w:r>
      <w:r w:rsidR="001712C2">
        <w:tab/>
      </w:r>
      <w:r w:rsidRPr="00DA50C2">
        <w:rPr>
          <w:u w:val="single"/>
        </w:rPr>
        <w:t>(</w:t>
      </w:r>
      <w:r w:rsidR="002818CF" w:rsidRPr="00DA50C2">
        <w:rPr>
          <w:u w:val="single"/>
        </w:rPr>
        <w:t>3</w:t>
      </w:r>
      <w:r w:rsidRPr="00DA50C2">
        <w:rPr>
          <w:u w:val="single"/>
        </w:rPr>
        <w:t>3,99</w:t>
      </w:r>
      <w:r w:rsidR="006F5BFB" w:rsidRPr="00DA50C2">
        <w:rPr>
          <w:u w:val="single"/>
        </w:rPr>
        <w:t>7</w:t>
      </w:r>
      <w:r w:rsidRPr="00DA50C2">
        <w:rPr>
          <w:u w:val="single"/>
        </w:rPr>
        <w:t>)</w:t>
      </w:r>
    </w:p>
    <w:p w14:paraId="3F4BA84C" w14:textId="0786D567" w:rsidR="006F5BFB" w:rsidRPr="00DA50C2" w:rsidRDefault="006F5BFB" w:rsidP="00036337">
      <w:pPr>
        <w:spacing w:after="240"/>
        <w:rPr>
          <w:u w:val="single"/>
        </w:rPr>
      </w:pPr>
      <w:r w:rsidRPr="00DA50C2">
        <w:t>Transition pensionable profits</w:t>
      </w:r>
      <w:r w:rsidRPr="00DA50C2">
        <w:tab/>
      </w:r>
      <w:r w:rsidRPr="00DA50C2">
        <w:tab/>
      </w:r>
      <w:r w:rsidRPr="00DA50C2">
        <w:tab/>
      </w:r>
      <w:r w:rsidRPr="00DA50C2">
        <w:tab/>
      </w:r>
      <w:r w:rsidRPr="00DA50C2">
        <w:tab/>
      </w:r>
      <w:r w:rsidRPr="00DA50C2">
        <w:tab/>
      </w:r>
      <w:r w:rsidRPr="00DA50C2">
        <w:tab/>
      </w:r>
      <w:r w:rsidR="00DA59C2" w:rsidRPr="00DA50C2">
        <w:t xml:space="preserve"> </w:t>
      </w:r>
      <w:r w:rsidR="002818CF" w:rsidRPr="00DA50C2">
        <w:rPr>
          <w:u w:val="single"/>
        </w:rPr>
        <w:t>1</w:t>
      </w:r>
      <w:r w:rsidRPr="00DA50C2">
        <w:rPr>
          <w:u w:val="single"/>
        </w:rPr>
        <w:t>9,655</w:t>
      </w:r>
    </w:p>
    <w:p w14:paraId="1B183B1D" w14:textId="3B4BC492" w:rsidR="006F5BFB" w:rsidRPr="00DA50C2" w:rsidRDefault="000A6674" w:rsidP="00036337">
      <w:pPr>
        <w:spacing w:after="240"/>
      </w:pPr>
      <w:r w:rsidRPr="00DA50C2">
        <w:t xml:space="preserve">If the GP had £30,000 of </w:t>
      </w:r>
      <w:r w:rsidR="00D35DF5" w:rsidRPr="00DA50C2">
        <w:t xml:space="preserve">taxable profit for the transition period, and spreads this equally over </w:t>
      </w:r>
      <w:r w:rsidR="00CB4587" w:rsidRPr="00DA50C2">
        <w:t>five years</w:t>
      </w:r>
      <w:r w:rsidR="00FE70B2" w:rsidRPr="00DA50C2">
        <w:t xml:space="preserve"> at </w:t>
      </w:r>
      <w:r w:rsidR="001249BB" w:rsidRPr="00DA50C2">
        <w:t>£6,000 per year</w:t>
      </w:r>
      <w:r w:rsidR="00CB4587" w:rsidRPr="00DA50C2">
        <w:t xml:space="preserve">, </w:t>
      </w:r>
      <w:r w:rsidR="008D2436" w:rsidRPr="00DA50C2">
        <w:t>t</w:t>
      </w:r>
      <w:r w:rsidR="006F5BFB" w:rsidRPr="00DA50C2">
        <w:t>he</w:t>
      </w:r>
      <w:r w:rsidR="00CB4587" w:rsidRPr="00DA50C2">
        <w:t xml:space="preserve">y </w:t>
      </w:r>
      <w:r w:rsidR="00FE70B2" w:rsidRPr="00DA50C2">
        <w:t>will be required</w:t>
      </w:r>
      <w:r w:rsidR="006F5BFB" w:rsidRPr="00DA50C2">
        <w:t xml:space="preserve"> to pension an additional £</w:t>
      </w:r>
      <w:r w:rsidR="002818CF" w:rsidRPr="00DA50C2">
        <w:t>3</w:t>
      </w:r>
      <w:r w:rsidR="006F5BFB" w:rsidRPr="00DA50C2">
        <w:t>,931 in each of the years 2023/24 to 2027/28</w:t>
      </w:r>
      <w:r w:rsidR="001249BB" w:rsidRPr="00DA50C2">
        <w:t>, being the £19,655 above divided by 5</w:t>
      </w:r>
      <w:r w:rsidR="00291DD5" w:rsidRPr="00DA50C2">
        <w:t>.</w:t>
      </w:r>
    </w:p>
    <w:p w14:paraId="283AAB2A" w14:textId="796F1542" w:rsidR="004E2B12" w:rsidRDefault="004E2B12" w:rsidP="00036337">
      <w:pPr>
        <w:spacing w:after="240"/>
      </w:pPr>
      <w:bookmarkStart w:id="30" w:name="_Hlk177735451"/>
      <w:r w:rsidRPr="00DA50C2">
        <w:t xml:space="preserve">Should the GP accelerate </w:t>
      </w:r>
      <w:r w:rsidR="00291DD5" w:rsidRPr="00DA50C2">
        <w:t xml:space="preserve">the taxing of </w:t>
      </w:r>
      <w:r w:rsidR="00875143" w:rsidRPr="00DA50C2">
        <w:t xml:space="preserve">transitional </w:t>
      </w:r>
      <w:r w:rsidR="00291DD5" w:rsidRPr="00DA50C2">
        <w:t>income</w:t>
      </w:r>
      <w:r w:rsidR="00875143" w:rsidRPr="00DA50C2">
        <w:t xml:space="preserve"> </w:t>
      </w:r>
      <w:r w:rsidRPr="00DA50C2">
        <w:t xml:space="preserve">so that £10,000 is </w:t>
      </w:r>
      <w:r w:rsidR="00875143" w:rsidRPr="00DA50C2">
        <w:t>tax</w:t>
      </w:r>
      <w:r w:rsidRPr="00DA50C2">
        <w:t>ed in 2023/24, £</w:t>
      </w:r>
      <w:r w:rsidR="00875143" w:rsidRPr="00DA50C2">
        <w:t>20</w:t>
      </w:r>
      <w:r w:rsidRPr="00DA50C2">
        <w:t>,</w:t>
      </w:r>
      <w:r w:rsidR="00875143" w:rsidRPr="00DA50C2">
        <w:t>000</w:t>
      </w:r>
      <w:r w:rsidRPr="00DA50C2">
        <w:t xml:space="preserve"> will remain to be spread over the remaining 4 years at £</w:t>
      </w:r>
      <w:r w:rsidR="00625A99" w:rsidRPr="00DA50C2">
        <w:t>5</w:t>
      </w:r>
      <w:r w:rsidRPr="00DA50C2">
        <w:t>,</w:t>
      </w:r>
      <w:r w:rsidR="00625A99" w:rsidRPr="00DA50C2">
        <w:t>000</w:t>
      </w:r>
      <w:r w:rsidRPr="00DA50C2">
        <w:t xml:space="preserve"> per annum.</w:t>
      </w:r>
      <w:r w:rsidR="005B64E8" w:rsidRPr="00DA50C2">
        <w:t xml:space="preserve"> £10,000 represents 33.33% of the transition profits for tax</w:t>
      </w:r>
      <w:r w:rsidR="00DB313A" w:rsidRPr="00DA50C2">
        <w:t>. In this case 33.33% of the transition pensionable profit of £19,655</w:t>
      </w:r>
      <w:r w:rsidR="00A84D5C" w:rsidRPr="00DA50C2">
        <w:t xml:space="preserve"> will be pensioned in 2023/24</w:t>
      </w:r>
      <w:r w:rsidR="007F6F74" w:rsidRPr="00DA50C2">
        <w:t xml:space="preserve">. So, </w:t>
      </w:r>
      <w:r w:rsidR="00A84D5C" w:rsidRPr="00DA50C2">
        <w:t>£6,552</w:t>
      </w:r>
      <w:r w:rsidR="002F4AC8" w:rsidRPr="00DA50C2">
        <w:t xml:space="preserve"> transition profits will be pensioned in 2023/24, with the remaining </w:t>
      </w:r>
      <w:r w:rsidR="006F110E" w:rsidRPr="00DA50C2">
        <w:t xml:space="preserve">£13,103 being spread </w:t>
      </w:r>
      <w:r w:rsidR="008700B7" w:rsidRPr="00DA50C2">
        <w:t xml:space="preserve">evenly </w:t>
      </w:r>
      <w:r w:rsidR="006F110E" w:rsidRPr="00DA50C2">
        <w:t xml:space="preserve">over the remaining </w:t>
      </w:r>
      <w:r w:rsidR="003F7116">
        <w:t xml:space="preserve">5 </w:t>
      </w:r>
      <w:r w:rsidR="006F110E" w:rsidRPr="00DA50C2">
        <w:t>years.</w:t>
      </w:r>
    </w:p>
    <w:p w14:paraId="7DFDF08D" w14:textId="77777777" w:rsidR="001712C2" w:rsidRPr="00DA50C2" w:rsidRDefault="001712C2" w:rsidP="00036337">
      <w:pPr>
        <w:spacing w:after="240"/>
      </w:pPr>
    </w:p>
    <w:p w14:paraId="3D9FB577" w14:textId="0E076B34" w:rsidR="00731B19" w:rsidRPr="005B63EA" w:rsidRDefault="00731B19" w:rsidP="00036337">
      <w:pPr>
        <w:pStyle w:val="Heading3"/>
        <w:numPr>
          <w:ilvl w:val="0"/>
          <w:numId w:val="41"/>
        </w:numPr>
      </w:pPr>
      <w:bookmarkStart w:id="31" w:name="_Toc184040831"/>
      <w:bookmarkEnd w:id="30"/>
      <w:r w:rsidRPr="005B63EA">
        <w:lastRenderedPageBreak/>
        <w:t xml:space="preserve">Standard year ended 31 October 2023 has been extended and a long </w:t>
      </w:r>
      <w:r w:rsidR="00A868ED" w:rsidRPr="005B63EA">
        <w:t>17-month</w:t>
      </w:r>
      <w:r w:rsidRPr="005B63EA">
        <w:t xml:space="preserve"> period of account produced covering 1 November 2022 to 31 March 2024</w:t>
      </w:r>
      <w:bookmarkEnd w:id="31"/>
    </w:p>
    <w:p w14:paraId="2580445E" w14:textId="4DA8580C" w:rsidR="002818CF" w:rsidRPr="00DA50C2" w:rsidRDefault="00731B19" w:rsidP="00036337">
      <w:pPr>
        <w:spacing w:after="240"/>
      </w:pPr>
      <w:r w:rsidRPr="00DA50C2">
        <w:t xml:space="preserve">A computation of pensionable profits for the entire </w:t>
      </w:r>
      <w:r w:rsidR="00A868ED" w:rsidRPr="00DA50C2">
        <w:t>17-month</w:t>
      </w:r>
      <w:r w:rsidRPr="00DA50C2">
        <w:t xml:space="preserve"> period will be performed, with each element of NHS, non-NHS and expenses then time apportioned between the 365 days to 31/10/2023 and the 151 days to 31/03/2024. The non-NHS expense ratio for both period</w:t>
      </w:r>
      <w:r w:rsidR="002818CF" w:rsidRPr="00DA50C2">
        <w:t>s</w:t>
      </w:r>
      <w:r w:rsidRPr="00DA50C2">
        <w:t xml:space="preserve"> will consequently </w:t>
      </w:r>
      <w:r w:rsidR="002818CF" w:rsidRPr="00DA50C2">
        <w:t>be the same in this instance.</w:t>
      </w:r>
    </w:p>
    <w:p w14:paraId="51148CF7" w14:textId="16AE05F0" w:rsidR="002818CF" w:rsidRPr="00DA50C2" w:rsidRDefault="002818CF" w:rsidP="00036337">
      <w:pPr>
        <w:spacing w:after="240"/>
      </w:pPr>
      <w:r w:rsidRPr="00DA50C2">
        <w:t>Pensionable profits for the 17 months (516 days) to 31/03/2024</w:t>
      </w:r>
      <w:r w:rsidRPr="00DA50C2">
        <w:tab/>
      </w:r>
      <w:r w:rsidRPr="00DA50C2">
        <w:tab/>
        <w:t>184,672</w:t>
      </w:r>
    </w:p>
    <w:p w14:paraId="33C58E3F" w14:textId="2D26742C" w:rsidR="00ED402B" w:rsidRPr="00DA50C2" w:rsidRDefault="002818CF" w:rsidP="00036337">
      <w:pPr>
        <w:spacing w:after="240"/>
      </w:pPr>
      <w:r w:rsidRPr="00DA50C2">
        <w:t xml:space="preserve">Time </w:t>
      </w:r>
      <w:proofErr w:type="gramStart"/>
      <w:r w:rsidR="0079564A" w:rsidRPr="00DA50C2">
        <w:t>apportion</w:t>
      </w:r>
      <w:proofErr w:type="gramEnd"/>
      <w:r w:rsidR="0079564A" w:rsidRPr="00DA50C2">
        <w:t xml:space="preserve">: </w:t>
      </w:r>
      <w:r w:rsidRPr="00DA50C2">
        <w:t>365/516 for the year ended 31/10/2023</w:t>
      </w:r>
      <w:r w:rsidRPr="00DA50C2">
        <w:tab/>
      </w:r>
      <w:r w:rsidRPr="00DA50C2">
        <w:tab/>
      </w:r>
      <w:r w:rsidRPr="00DA50C2">
        <w:tab/>
        <w:t>130,630</w:t>
      </w:r>
    </w:p>
    <w:p w14:paraId="7230C7A8" w14:textId="3743875D" w:rsidR="002818CF" w:rsidRPr="00DA50C2" w:rsidRDefault="002818CF" w:rsidP="00036337">
      <w:pPr>
        <w:spacing w:after="240"/>
      </w:pPr>
      <w:r w:rsidRPr="00DA50C2">
        <w:t>Time apportion</w:t>
      </w:r>
      <w:r w:rsidR="0079564A" w:rsidRPr="00DA50C2">
        <w:t xml:space="preserve">: </w:t>
      </w:r>
      <w:r w:rsidRPr="00DA50C2">
        <w:t>151/516 for the period ended 31/03/2024</w:t>
      </w:r>
      <w:r w:rsidRPr="00DA50C2">
        <w:tab/>
      </w:r>
      <w:r w:rsidRPr="00DA50C2">
        <w:tab/>
      </w:r>
      <w:proofErr w:type="gramStart"/>
      <w:r w:rsidRPr="00DA50C2">
        <w:tab/>
      </w:r>
      <w:r w:rsidR="00DA59C2" w:rsidRPr="00DA50C2">
        <w:t xml:space="preserve"> </w:t>
      </w:r>
      <w:r w:rsidR="00BB2DDE" w:rsidRPr="00DA50C2">
        <w:t xml:space="preserve"> </w:t>
      </w:r>
      <w:r w:rsidRPr="00DA50C2">
        <w:t>54,042</w:t>
      </w:r>
      <w:proofErr w:type="gramEnd"/>
    </w:p>
    <w:p w14:paraId="03650F20" w14:textId="34ACCA49" w:rsidR="002818CF" w:rsidRPr="00DA50C2" w:rsidRDefault="002818CF" w:rsidP="00036337">
      <w:pPr>
        <w:spacing w:after="240"/>
      </w:pPr>
      <w:r w:rsidRPr="00DA50C2">
        <w:t>Less pensionable overlap brought forward</w:t>
      </w:r>
      <w:r w:rsidRPr="00DA50C2">
        <w:tab/>
      </w:r>
      <w:r w:rsidRPr="00DA50C2">
        <w:tab/>
      </w:r>
      <w:r w:rsidRPr="00DA50C2">
        <w:tab/>
      </w:r>
      <w:r w:rsidRPr="00DA50C2">
        <w:tab/>
      </w:r>
      <w:r w:rsidRPr="00DA50C2">
        <w:tab/>
      </w:r>
      <w:r w:rsidRPr="00DA50C2">
        <w:rPr>
          <w:u w:val="single"/>
        </w:rPr>
        <w:t>(36,917)</w:t>
      </w:r>
    </w:p>
    <w:p w14:paraId="676D8434" w14:textId="7C462C66" w:rsidR="00984C29" w:rsidRPr="00DA50C2" w:rsidRDefault="002818CF" w:rsidP="00036337">
      <w:pPr>
        <w:spacing w:after="240"/>
      </w:pPr>
      <w:r w:rsidRPr="00DA50C2">
        <w:t>Transition pensionable profits</w:t>
      </w:r>
      <w:r w:rsidRPr="00DA50C2">
        <w:tab/>
      </w:r>
      <w:r w:rsidRPr="00DA50C2">
        <w:tab/>
      </w:r>
      <w:r w:rsidRPr="00DA50C2">
        <w:tab/>
      </w:r>
      <w:r w:rsidRPr="00DA50C2">
        <w:tab/>
      </w:r>
      <w:r w:rsidRPr="00DA50C2">
        <w:tab/>
      </w:r>
      <w:r w:rsidRPr="00DA50C2">
        <w:tab/>
      </w:r>
      <w:r w:rsidRPr="00DA50C2">
        <w:tab/>
      </w:r>
      <w:r w:rsidR="008B1434" w:rsidRPr="00DA50C2">
        <w:t xml:space="preserve"> </w:t>
      </w:r>
      <w:r w:rsidRPr="00DA50C2">
        <w:rPr>
          <w:u w:val="single"/>
        </w:rPr>
        <w:t>17,125</w:t>
      </w:r>
    </w:p>
    <w:p w14:paraId="2EADF90C" w14:textId="4F088F75" w:rsidR="00984C29" w:rsidRPr="00DA50C2" w:rsidRDefault="00560C19" w:rsidP="00036337">
      <w:pPr>
        <w:spacing w:after="240"/>
      </w:pPr>
      <w:r w:rsidRPr="00DA50C2">
        <w:t xml:space="preserve">If the GP had </w:t>
      </w:r>
      <w:r w:rsidR="00590FAB" w:rsidRPr="00DA50C2">
        <w:t xml:space="preserve">£45,000 of taxable transition profit and accelerated </w:t>
      </w:r>
      <w:r w:rsidR="006D7DDD" w:rsidRPr="00DA50C2">
        <w:t xml:space="preserve">so that £20,000 is taxed in 2023/24, this represents </w:t>
      </w:r>
      <w:r w:rsidR="00BB68EE" w:rsidRPr="00DA50C2">
        <w:t>44.44% of transition profits</w:t>
      </w:r>
      <w:r w:rsidR="007D65F5" w:rsidRPr="00DA50C2">
        <w:t>. T</w:t>
      </w:r>
      <w:r w:rsidR="00984C29" w:rsidRPr="00DA50C2">
        <w:t xml:space="preserve">he GP </w:t>
      </w:r>
      <w:r w:rsidR="007D65F5" w:rsidRPr="00DA50C2">
        <w:t xml:space="preserve">would then need to </w:t>
      </w:r>
      <w:r w:rsidR="00984C29" w:rsidRPr="00DA50C2">
        <w:t xml:space="preserve">accelerate the </w:t>
      </w:r>
      <w:r w:rsidR="007D65F5" w:rsidRPr="00DA50C2">
        <w:t>pensioning of £</w:t>
      </w:r>
      <w:r w:rsidR="009B3681" w:rsidRPr="00DA50C2">
        <w:t xml:space="preserve">7,611 </w:t>
      </w:r>
      <w:r w:rsidR="00984C29" w:rsidRPr="00DA50C2">
        <w:t xml:space="preserve">of transitional </w:t>
      </w:r>
      <w:r w:rsidR="009B3681" w:rsidRPr="00DA50C2">
        <w:t xml:space="preserve">pensionable </w:t>
      </w:r>
      <w:r w:rsidR="00984C29" w:rsidRPr="00DA50C2">
        <w:t>income in</w:t>
      </w:r>
      <w:r w:rsidR="004976D7" w:rsidRPr="00DA50C2">
        <w:t>to</w:t>
      </w:r>
      <w:r w:rsidR="00984C29" w:rsidRPr="00DA50C2">
        <w:t xml:space="preserve"> 2023/24, £</w:t>
      </w:r>
      <w:r w:rsidR="003705FD" w:rsidRPr="00DA50C2">
        <w:t>9,514</w:t>
      </w:r>
      <w:r w:rsidR="00984C29" w:rsidRPr="00DA50C2">
        <w:t xml:space="preserve"> will </w:t>
      </w:r>
      <w:r w:rsidR="003705FD" w:rsidRPr="00DA50C2">
        <w:t xml:space="preserve">then </w:t>
      </w:r>
      <w:r w:rsidR="00215B90" w:rsidRPr="00DA50C2">
        <w:t>be carried for</w:t>
      </w:r>
      <w:r w:rsidR="005E1E4C" w:rsidRPr="00DA50C2">
        <w:t xml:space="preserve">ward and spread </w:t>
      </w:r>
      <w:r w:rsidR="00C40014" w:rsidRPr="00DA50C2">
        <w:t>at £2,378 per annum</w:t>
      </w:r>
      <w:r w:rsidR="005E1E4C" w:rsidRPr="00DA50C2">
        <w:t xml:space="preserve"> over the next </w:t>
      </w:r>
      <w:r w:rsidR="001423CB">
        <w:t>4</w:t>
      </w:r>
      <w:r w:rsidR="001423CB" w:rsidRPr="00DA50C2">
        <w:t xml:space="preserve"> </w:t>
      </w:r>
      <w:r w:rsidR="005E1E4C" w:rsidRPr="00DA50C2">
        <w:t>years.</w:t>
      </w:r>
    </w:p>
    <w:p w14:paraId="31B3CBAE" w14:textId="097EF12F" w:rsidR="00221347" w:rsidRPr="00DA50C2" w:rsidRDefault="007D5735" w:rsidP="00036337">
      <w:pPr>
        <w:spacing w:after="240"/>
      </w:pPr>
      <w:r w:rsidRPr="005B63EA">
        <w:t>From the tax side there would</w:t>
      </w:r>
      <w:r w:rsidR="007C2DE0" w:rsidRPr="005B63EA">
        <w:t xml:space="preserve"> be £25,000 of additional profit to be carried forward, potentially being taxed at £6,250</w:t>
      </w:r>
      <w:r w:rsidR="00AA7B08" w:rsidRPr="005B63EA">
        <w:t xml:space="preserve"> in each of the years 2024/25 to 2027/28. In 2024/25, </w:t>
      </w:r>
      <w:r w:rsidR="00AA7B08" w:rsidRPr="00DA50C2">
        <w:t xml:space="preserve">however, the GP may decide to accelerate the tax again so that </w:t>
      </w:r>
      <w:r w:rsidR="005C0C06" w:rsidRPr="00DA50C2">
        <w:t>£10,000 is taxed. This represents 40% of the brought forward figure of £25,000.</w:t>
      </w:r>
      <w:r w:rsidR="005735CF" w:rsidRPr="00DA50C2">
        <w:t xml:space="preserve">  £15,000 is then carried forward to be spread over three years at £5</w:t>
      </w:r>
      <w:r w:rsidR="00E962BC" w:rsidRPr="00DA50C2">
        <w:t xml:space="preserve">,000 per annum.  </w:t>
      </w:r>
    </w:p>
    <w:p w14:paraId="5A69DB77" w14:textId="4E469A00" w:rsidR="0049407C" w:rsidRPr="0049407C" w:rsidRDefault="00E962BC" w:rsidP="00036337">
      <w:pPr>
        <w:spacing w:after="240"/>
      </w:pPr>
      <w:r w:rsidRPr="00DA50C2">
        <w:t>In this case 40% of the brought forward pensionable profit figure of £</w:t>
      </w:r>
      <w:r w:rsidR="00826CB7" w:rsidRPr="00DA50C2">
        <w:t>9,514 must be pensioned in 2024/25, being £3,806, with the remaining £</w:t>
      </w:r>
      <w:r w:rsidR="008C1A25" w:rsidRPr="00DA50C2">
        <w:t>5,</w:t>
      </w:r>
      <w:r w:rsidR="00DB206F" w:rsidRPr="00DA50C2">
        <w:t>7</w:t>
      </w:r>
      <w:r w:rsidR="008C1A25" w:rsidRPr="00DA50C2">
        <w:t>08 being carried into 2025/26</w:t>
      </w:r>
      <w:r w:rsidR="00F36BA9" w:rsidRPr="00DA50C2">
        <w:t xml:space="preserve"> and spread over the next </w:t>
      </w:r>
      <w:r w:rsidR="005B4038">
        <w:t>3</w:t>
      </w:r>
      <w:r w:rsidR="005B4038" w:rsidRPr="00DA50C2">
        <w:t xml:space="preserve"> </w:t>
      </w:r>
      <w:r w:rsidR="00F36BA9" w:rsidRPr="00DA50C2">
        <w:t>years.</w:t>
      </w:r>
    </w:p>
    <w:p w14:paraId="35880F92" w14:textId="3CB742BD" w:rsidR="002818CF" w:rsidRPr="005B63EA" w:rsidRDefault="002818CF" w:rsidP="00036337">
      <w:pPr>
        <w:pStyle w:val="Heading3"/>
        <w:numPr>
          <w:ilvl w:val="0"/>
          <w:numId w:val="41"/>
        </w:numPr>
      </w:pPr>
      <w:bookmarkStart w:id="32" w:name="_Toc184040832"/>
      <w:r w:rsidRPr="005B63EA">
        <w:t>A standard year end of 31 December is maintained</w:t>
      </w:r>
      <w:bookmarkEnd w:id="32"/>
    </w:p>
    <w:p w14:paraId="1571C7B3" w14:textId="3FB68380" w:rsidR="005F42F9" w:rsidRPr="00DA50C2" w:rsidRDefault="002818CF" w:rsidP="00036337">
      <w:pPr>
        <w:spacing w:after="240"/>
      </w:pPr>
      <w:r w:rsidRPr="00DA50C2">
        <w:t>In this instance</w:t>
      </w:r>
      <w:r w:rsidR="00725D6F">
        <w:t>,</w:t>
      </w:r>
      <w:r w:rsidR="0011646A" w:rsidRPr="00DA50C2">
        <w:t xml:space="preserve"> the standard period will be based upon the accounts for the year ended 31/12/2023 in the normal way, with its distinct non-NHS expense ratio. For the transition period, a proportion of the figures for the year ending 31/12/2024 will be required based upon 90/365 of the full year figures. By the deadline date for submission of </w:t>
      </w:r>
      <w:proofErr w:type="gramStart"/>
      <w:r w:rsidR="00FB4999" w:rsidRPr="00DA50C2">
        <w:t>the 2023/24 Type</w:t>
      </w:r>
      <w:proofErr w:type="gramEnd"/>
      <w:r w:rsidR="00FB4999" w:rsidRPr="00DA50C2">
        <w:t xml:space="preserve"> 1</w:t>
      </w:r>
      <w:r w:rsidR="0011646A" w:rsidRPr="00DA50C2">
        <w:t xml:space="preserve"> certificate at 28 February 2025, it may be unlikely that the accounts for the year ended 31/12/2024 will have been finalised. A 2023/24 certificate must, nevertheless, be submitted by 28/02/2025 containing provisional figures for the period to 31/03/2024.  </w:t>
      </w:r>
    </w:p>
    <w:p w14:paraId="313113A7" w14:textId="5D8825C0" w:rsidR="0049407C" w:rsidRPr="00036337" w:rsidRDefault="0011646A" w:rsidP="00036337">
      <w:pPr>
        <w:spacing w:after="240"/>
      </w:pPr>
      <w:r w:rsidRPr="00DA50C2">
        <w:lastRenderedPageBreak/>
        <w:t xml:space="preserve">When the accounts and tax for the year ending 31/12/2024 are finalised, the pension position must be re-assessed and an amended 2023/24 certificate submitted to PCSE. As this would be a laborious annual requirement, it is envisaged that most practices will permanently change their </w:t>
      </w:r>
      <w:r w:rsidR="00711BF2" w:rsidRPr="00DA50C2">
        <w:t>year-end</w:t>
      </w:r>
      <w:r w:rsidRPr="00DA50C2">
        <w:t xml:space="preserve"> to 5 April/31 March.</w:t>
      </w:r>
    </w:p>
    <w:p w14:paraId="2FD2D3DC" w14:textId="3A0A519B" w:rsidR="00B43F39" w:rsidRDefault="00EC6959" w:rsidP="00382868">
      <w:pPr>
        <w:pStyle w:val="Heading2"/>
        <w:rPr>
          <w:rFonts w:eastAsia="Times New Roman"/>
          <w:lang w:eastAsia="en-GB"/>
        </w:rPr>
      </w:pPr>
      <w:bookmarkStart w:id="33" w:name="_Toc184040833"/>
      <w:r w:rsidRPr="00221C0D">
        <w:rPr>
          <w:rFonts w:eastAsia="Times New Roman"/>
          <w:lang w:eastAsia="en-GB"/>
        </w:rPr>
        <w:t xml:space="preserve">Where specific guidance may be </w:t>
      </w:r>
      <w:r w:rsidR="00B43F39" w:rsidRPr="00221C0D">
        <w:rPr>
          <w:rFonts w:eastAsia="Times New Roman"/>
          <w:lang w:eastAsia="en-GB"/>
        </w:rPr>
        <w:t>needed</w:t>
      </w:r>
      <w:bookmarkEnd w:id="33"/>
    </w:p>
    <w:p w14:paraId="73A42862" w14:textId="6DF3042B" w:rsidR="00B62770" w:rsidRPr="00E56F49" w:rsidRDefault="00B62770" w:rsidP="00036337">
      <w:pPr>
        <w:spacing w:after="240"/>
      </w:pPr>
      <w:r w:rsidRPr="00E56F49">
        <w:t xml:space="preserve">It is expected that the examples will cover </w:t>
      </w:r>
      <w:r w:rsidR="00711BF2" w:rsidRPr="00E56F49">
        <w:t>most</w:t>
      </w:r>
      <w:r w:rsidRPr="00E56F49">
        <w:t xml:space="preserve"> GPs’ circumstances. There are, however, </w:t>
      </w:r>
      <w:r w:rsidR="00711BF2" w:rsidRPr="00E56F49">
        <w:t>several</w:t>
      </w:r>
      <w:r w:rsidRPr="00E56F49">
        <w:t xml:space="preserve"> situations where specific guidance may be needed:</w:t>
      </w:r>
    </w:p>
    <w:p w14:paraId="637094C6" w14:textId="0BADF975" w:rsidR="00B62770" w:rsidRPr="00E56F49" w:rsidRDefault="002E1A56" w:rsidP="00036337">
      <w:pPr>
        <w:pStyle w:val="ListParagraph"/>
        <w:numPr>
          <w:ilvl w:val="0"/>
          <w:numId w:val="38"/>
        </w:numPr>
        <w:spacing w:after="240"/>
      </w:pPr>
      <w:r w:rsidRPr="00E56F49">
        <w:t>a</w:t>
      </w:r>
      <w:r w:rsidR="002C72E1" w:rsidRPr="00E56F49">
        <w:t xml:space="preserve"> </w:t>
      </w:r>
      <w:r w:rsidR="00711BF2" w:rsidRPr="00E56F49">
        <w:t xml:space="preserve">pensionable </w:t>
      </w:r>
      <w:r w:rsidR="002C72E1" w:rsidRPr="00E56F49">
        <w:t>profit occurs in the standard period, but the d</w:t>
      </w:r>
      <w:r w:rsidR="00B62770" w:rsidRPr="00E56F49">
        <w:t>eduction of pension overlap in the transition period produces a loss</w:t>
      </w:r>
    </w:p>
    <w:p w14:paraId="71B72CED" w14:textId="563AB4E5" w:rsidR="00B62770" w:rsidRPr="00E56F49" w:rsidRDefault="002E1A56" w:rsidP="00036337">
      <w:pPr>
        <w:pStyle w:val="ListParagraph"/>
        <w:numPr>
          <w:ilvl w:val="0"/>
          <w:numId w:val="38"/>
        </w:numPr>
        <w:spacing w:after="240"/>
      </w:pPr>
      <w:r w:rsidRPr="00E56F49">
        <w:t>a</w:t>
      </w:r>
      <w:r w:rsidR="00B62770" w:rsidRPr="00E56F49">
        <w:t xml:space="preserve"> </w:t>
      </w:r>
      <w:r w:rsidR="005F63CE" w:rsidRPr="00E56F49">
        <w:t xml:space="preserve">tax trading </w:t>
      </w:r>
      <w:r w:rsidR="00B62770" w:rsidRPr="00E56F49">
        <w:t xml:space="preserve">loss occurs in the standard period, but there is a </w:t>
      </w:r>
      <w:r w:rsidR="00612025" w:rsidRPr="00E56F49">
        <w:t xml:space="preserve">pensionable </w:t>
      </w:r>
      <w:r w:rsidR="00B62770" w:rsidRPr="00E56F49">
        <w:t>profit after overlap deduction in the transition period</w:t>
      </w:r>
    </w:p>
    <w:p w14:paraId="3922AA62" w14:textId="56ACE81D" w:rsidR="00B62770" w:rsidRPr="00E56F49" w:rsidRDefault="002E1A56" w:rsidP="00036337">
      <w:pPr>
        <w:pStyle w:val="ListParagraph"/>
        <w:numPr>
          <w:ilvl w:val="0"/>
          <w:numId w:val="38"/>
        </w:numPr>
        <w:spacing w:after="240"/>
      </w:pPr>
      <w:bookmarkStart w:id="34" w:name="_Hlk170893557"/>
      <w:r w:rsidRPr="00E56F49">
        <w:t>a</w:t>
      </w:r>
      <w:r w:rsidR="00B62770" w:rsidRPr="00E56F49">
        <w:t xml:space="preserve"> </w:t>
      </w:r>
      <w:r w:rsidR="00612025" w:rsidRPr="00E56F49">
        <w:t xml:space="preserve">tax </w:t>
      </w:r>
      <w:r w:rsidR="00B62770" w:rsidRPr="00E56F49">
        <w:t>trading loss occurs in the standard period and there is a loss in the transition period after deduction of pension overlap</w:t>
      </w:r>
    </w:p>
    <w:bookmarkEnd w:id="34"/>
    <w:p w14:paraId="63F58BA8" w14:textId="04A8F8B7" w:rsidR="00B62770" w:rsidRPr="00E56F49" w:rsidRDefault="002E1A56" w:rsidP="00036337">
      <w:pPr>
        <w:pStyle w:val="ListParagraph"/>
        <w:numPr>
          <w:ilvl w:val="0"/>
          <w:numId w:val="38"/>
        </w:numPr>
        <w:spacing w:after="240"/>
      </w:pPr>
      <w:r w:rsidRPr="00E56F49">
        <w:t>a</w:t>
      </w:r>
      <w:r w:rsidR="00B62770" w:rsidRPr="00E56F49">
        <w:t xml:space="preserve"> GP leaves the practice or retires</w:t>
      </w:r>
    </w:p>
    <w:p w14:paraId="50D2C19D" w14:textId="675FDAD4" w:rsidR="000374BE" w:rsidRPr="00382868" w:rsidRDefault="002E1A56" w:rsidP="00036337">
      <w:pPr>
        <w:pStyle w:val="ListParagraph"/>
        <w:numPr>
          <w:ilvl w:val="0"/>
          <w:numId w:val="38"/>
        </w:numPr>
        <w:spacing w:after="240"/>
      </w:pPr>
      <w:r w:rsidRPr="00E56F49">
        <w:t>a</w:t>
      </w:r>
      <w:r w:rsidR="000870F7" w:rsidRPr="00E56F49">
        <w:t xml:space="preserve"> GP opts out (or in and out)</w:t>
      </w:r>
    </w:p>
    <w:p w14:paraId="1CD35241" w14:textId="0FA1738B" w:rsidR="00B62770" w:rsidRPr="00F76DCF" w:rsidRDefault="00267504" w:rsidP="00332D67">
      <w:pPr>
        <w:pStyle w:val="Heading3"/>
        <w:numPr>
          <w:ilvl w:val="0"/>
          <w:numId w:val="45"/>
        </w:numPr>
      </w:pPr>
      <w:bookmarkStart w:id="35" w:name="_Toc184040834"/>
      <w:r>
        <w:t>a</w:t>
      </w:r>
      <w:commentRangeStart w:id="36"/>
      <w:r w:rsidR="002C72E1" w:rsidRPr="00F76DCF">
        <w:t xml:space="preserve"> profit occurs in the standard period, but the deduction of pension overlap in the transition period produces a loss</w:t>
      </w:r>
      <w:commentRangeEnd w:id="36"/>
      <w:r w:rsidR="00CE16C0" w:rsidRPr="00F76DCF">
        <w:rPr>
          <w:rStyle w:val="CommentReference"/>
          <w:rFonts w:cstheme="majorBidi"/>
          <w:sz w:val="28"/>
          <w:szCs w:val="32"/>
        </w:rPr>
        <w:commentReference w:id="36"/>
      </w:r>
      <w:bookmarkEnd w:id="35"/>
    </w:p>
    <w:p w14:paraId="1C10A917" w14:textId="7CF17591" w:rsidR="00E42AE3" w:rsidRPr="004B3563" w:rsidRDefault="002C72E1" w:rsidP="00036337">
      <w:pPr>
        <w:spacing w:after="240"/>
      </w:pPr>
      <w:commentRangeStart w:id="37"/>
      <w:r w:rsidRPr="004B3563">
        <w:t>Pension</w:t>
      </w:r>
      <w:commentRangeEnd w:id="37"/>
      <w:r w:rsidR="00B02647">
        <w:rPr>
          <w:rStyle w:val="CommentReference"/>
          <w:rFonts w:eastAsia="Times New Roman"/>
          <w:kern w:val="0"/>
          <w:lang w:eastAsia="en-GB"/>
          <w14:ligatures w14:val="none"/>
        </w:rPr>
        <w:commentReference w:id="37"/>
      </w:r>
      <w:r w:rsidRPr="004B3563">
        <w:t xml:space="preserve"> overlap reflects income that has been pensioned twice and must be fully relieved</w:t>
      </w:r>
      <w:r w:rsidR="00E42AE3" w:rsidRPr="004B3563">
        <w:t>.</w:t>
      </w:r>
    </w:p>
    <w:p w14:paraId="0DBDE1B6" w14:textId="5B15CC5F" w:rsidR="002C72E1" w:rsidRPr="004B3563" w:rsidRDefault="00E42AE3" w:rsidP="00036337">
      <w:pPr>
        <w:spacing w:after="240"/>
      </w:pPr>
      <w:r w:rsidRPr="004B3563">
        <w:t>Pen</w:t>
      </w:r>
      <w:r w:rsidR="002C72E1" w:rsidRPr="004B3563">
        <w:t>sionable profit for the year ended 30/09/2023</w:t>
      </w:r>
      <w:r w:rsidR="002C72E1" w:rsidRPr="004B3563">
        <w:tab/>
      </w:r>
      <w:r w:rsidR="002C72E1" w:rsidRPr="004B3563">
        <w:tab/>
      </w:r>
      <w:r w:rsidR="002C72E1" w:rsidRPr="004B3563">
        <w:tab/>
      </w:r>
      <w:proofErr w:type="gramStart"/>
      <w:r w:rsidR="002C72E1" w:rsidRPr="004B3563">
        <w:tab/>
      </w:r>
      <w:r w:rsidR="00612025" w:rsidRPr="004B3563">
        <w:t xml:space="preserve">  </w:t>
      </w:r>
      <w:r w:rsidR="002C72E1" w:rsidRPr="004B3563">
        <w:t>98,630</w:t>
      </w:r>
      <w:proofErr w:type="gramEnd"/>
    </w:p>
    <w:p w14:paraId="663F3288" w14:textId="0EE00EBA" w:rsidR="002C72E1" w:rsidRPr="004B3563" w:rsidRDefault="002C72E1" w:rsidP="00036337">
      <w:pPr>
        <w:spacing w:after="240"/>
      </w:pPr>
      <w:r w:rsidRPr="004B3563">
        <w:t>Pensionable profit for the period 01/10/2023 to 31/03/2024</w:t>
      </w:r>
      <w:r w:rsidR="00390056" w:rsidRPr="004B3563">
        <w:tab/>
      </w:r>
      <w:r w:rsidR="00390056" w:rsidRPr="004B3563">
        <w:tab/>
      </w:r>
      <w:r w:rsidR="00390056" w:rsidRPr="004B3563">
        <w:tab/>
      </w:r>
      <w:r w:rsidR="00612025" w:rsidRPr="004B3563">
        <w:t xml:space="preserve"> </w:t>
      </w:r>
      <w:r w:rsidRPr="004B3563">
        <w:t>42,345</w:t>
      </w:r>
    </w:p>
    <w:p w14:paraId="495E5E46" w14:textId="7338295C" w:rsidR="002C72E1" w:rsidRPr="004B3563" w:rsidRDefault="002C72E1" w:rsidP="00036337">
      <w:pPr>
        <w:spacing w:after="240"/>
      </w:pPr>
      <w:r w:rsidRPr="004B3563">
        <w:t>Less pension overlap</w:t>
      </w:r>
      <w:r w:rsidRPr="004B3563">
        <w:tab/>
      </w:r>
      <w:r w:rsidRPr="004B3563">
        <w:tab/>
      </w:r>
      <w:r w:rsidRPr="004B3563">
        <w:tab/>
      </w:r>
      <w:r w:rsidRPr="004B3563">
        <w:tab/>
      </w:r>
      <w:r w:rsidRPr="004B3563">
        <w:tab/>
      </w:r>
      <w:r w:rsidRPr="004B3563">
        <w:tab/>
      </w:r>
      <w:r w:rsidRPr="004B3563">
        <w:tab/>
      </w:r>
      <w:r w:rsidRPr="004B3563">
        <w:tab/>
      </w:r>
      <w:r w:rsidRPr="004B3563">
        <w:rPr>
          <w:u w:val="single"/>
        </w:rPr>
        <w:t>(57,293)</w:t>
      </w:r>
    </w:p>
    <w:p w14:paraId="5881D0FA" w14:textId="6BBEFC6F" w:rsidR="002C72E1" w:rsidRPr="004B3563" w:rsidRDefault="002C72E1" w:rsidP="00036337">
      <w:pPr>
        <w:spacing w:after="240"/>
        <w:rPr>
          <w:u w:val="single"/>
        </w:rPr>
      </w:pPr>
      <w:r w:rsidRPr="004B3563">
        <w:t>Transition loss</w:t>
      </w:r>
      <w:r w:rsidRPr="004B3563">
        <w:tab/>
      </w:r>
      <w:r w:rsidRPr="004B3563">
        <w:tab/>
      </w:r>
      <w:r w:rsidRPr="004B3563">
        <w:tab/>
      </w:r>
      <w:r w:rsidRPr="004B3563">
        <w:tab/>
      </w:r>
      <w:r w:rsidRPr="004B3563">
        <w:tab/>
      </w:r>
      <w:r w:rsidRPr="004B3563">
        <w:tab/>
      </w:r>
      <w:r w:rsidRPr="004B3563">
        <w:tab/>
      </w:r>
      <w:r w:rsidRPr="004B3563">
        <w:tab/>
      </w:r>
      <w:r w:rsidRPr="004B3563">
        <w:tab/>
      </w:r>
      <w:r w:rsidRPr="004B3563">
        <w:rPr>
          <w:u w:val="single"/>
        </w:rPr>
        <w:t>(14,948)</w:t>
      </w:r>
    </w:p>
    <w:p w14:paraId="482008BC" w14:textId="77777777" w:rsidR="008D2897" w:rsidRPr="004B3563" w:rsidRDefault="002C72E1" w:rsidP="00036337">
      <w:pPr>
        <w:spacing w:after="240"/>
      </w:pPr>
      <w:r w:rsidRPr="004B3563">
        <w:t>The transition loss of £14,948 has been entirely created by the utilisation of pension overlap and must be relieved in 2023/24 by setting it against the pensionable profits of the standard period of £98,630.  Net pensionable profits of £83,682 will therefore arise in 2023/24.</w:t>
      </w:r>
      <w:r w:rsidR="00663376" w:rsidRPr="004B3563">
        <w:t xml:space="preserve">  </w:t>
      </w:r>
    </w:p>
    <w:p w14:paraId="23B817F0" w14:textId="712F16FC" w:rsidR="002C72E1" w:rsidRPr="004B3563" w:rsidRDefault="00663376" w:rsidP="00036337">
      <w:pPr>
        <w:spacing w:after="240"/>
      </w:pPr>
      <w:r w:rsidRPr="004B3563">
        <w:t>T</w:t>
      </w:r>
      <w:r w:rsidR="008D2897" w:rsidRPr="004B3563">
        <w:t>he above will occur regardless of taxable profit</w:t>
      </w:r>
      <w:r w:rsidR="00D26A25" w:rsidRPr="004B3563">
        <w:t>s</w:t>
      </w:r>
      <w:r w:rsidR="008D2897" w:rsidRPr="004B3563">
        <w:t xml:space="preserve"> being spread over </w:t>
      </w:r>
      <w:r w:rsidR="000F51C5">
        <w:t>5</w:t>
      </w:r>
      <w:r w:rsidR="000F51C5" w:rsidRPr="004B3563">
        <w:t xml:space="preserve"> </w:t>
      </w:r>
      <w:r w:rsidR="008D2897" w:rsidRPr="004B3563">
        <w:t>years.</w:t>
      </w:r>
      <w:r w:rsidR="007C45FC" w:rsidRPr="004B3563">
        <w:t xml:space="preserve"> The pension loss</w:t>
      </w:r>
      <w:r w:rsidR="00077422" w:rsidRPr="004B3563">
        <w:t xml:space="preserve"> created by overlap must be relieved at the earliest opportunity.</w:t>
      </w:r>
    </w:p>
    <w:p w14:paraId="7742ABEA" w14:textId="458CD2A1" w:rsidR="002C0FE3" w:rsidRPr="004B3563" w:rsidRDefault="006866A5" w:rsidP="00036337">
      <w:pPr>
        <w:spacing w:after="240"/>
      </w:pPr>
      <w:r w:rsidRPr="004B3563">
        <w:t>Should the transition loss exceed</w:t>
      </w:r>
      <w:r w:rsidR="00F13D27" w:rsidRPr="004B3563">
        <w:t xml:space="preserve"> the standard period pensionable profit</w:t>
      </w:r>
      <w:r w:rsidR="00C94314" w:rsidRPr="004B3563">
        <w:t>s,</w:t>
      </w:r>
      <w:r w:rsidR="00F13D27" w:rsidRPr="004B3563">
        <w:t xml:space="preserve"> and a loss remains, then the balance must be carried back to 202</w:t>
      </w:r>
      <w:r w:rsidR="0004585A" w:rsidRPr="004B3563">
        <w:t>2/23 and an amended certificate submitted for that year.</w:t>
      </w:r>
    </w:p>
    <w:p w14:paraId="20241538" w14:textId="77777777" w:rsidR="002C72E1" w:rsidRPr="00C462A3" w:rsidRDefault="002C72E1" w:rsidP="00036337">
      <w:pPr>
        <w:pStyle w:val="Heading2"/>
        <w:spacing w:before="0" w:after="240"/>
        <w:rPr>
          <w:sz w:val="24"/>
          <w:szCs w:val="28"/>
        </w:rPr>
      </w:pPr>
    </w:p>
    <w:p w14:paraId="74647E76" w14:textId="05CB680D" w:rsidR="002C72E1" w:rsidRPr="00F76DCF" w:rsidRDefault="00267504" w:rsidP="00332D67">
      <w:pPr>
        <w:pStyle w:val="Heading3"/>
        <w:numPr>
          <w:ilvl w:val="0"/>
          <w:numId w:val="44"/>
        </w:numPr>
      </w:pPr>
      <w:bookmarkStart w:id="38" w:name="_Toc184040835"/>
      <w:r>
        <w:t>a</w:t>
      </w:r>
      <w:r w:rsidR="002C72E1" w:rsidRPr="00F76DCF">
        <w:t xml:space="preserve"> </w:t>
      </w:r>
      <w:r w:rsidR="0001687A" w:rsidRPr="00F76DCF">
        <w:t xml:space="preserve">tax </w:t>
      </w:r>
      <w:r w:rsidR="002C72E1" w:rsidRPr="00F76DCF">
        <w:t xml:space="preserve">trading loss occurs in the standard period, but there is a </w:t>
      </w:r>
      <w:r w:rsidR="006C3716" w:rsidRPr="00F76DCF">
        <w:t xml:space="preserve">pensionable </w:t>
      </w:r>
      <w:r w:rsidR="002C72E1" w:rsidRPr="00F76DCF">
        <w:t>profit after overlap deduction in the transition period</w:t>
      </w:r>
      <w:bookmarkEnd w:id="38"/>
    </w:p>
    <w:p w14:paraId="5558249E" w14:textId="73990002" w:rsidR="002C72E1" w:rsidRPr="004B3563" w:rsidRDefault="00114B0B" w:rsidP="00036337">
      <w:pPr>
        <w:spacing w:after="240"/>
      </w:pPr>
      <w:r w:rsidRPr="004B3563">
        <w:t xml:space="preserve">Where a </w:t>
      </w:r>
      <w:r w:rsidR="006C3716" w:rsidRPr="004B3563">
        <w:t xml:space="preserve">tax </w:t>
      </w:r>
      <w:r w:rsidRPr="004B3563">
        <w:t>trading loss occurs in a period, the pensionable profit is treated as zero.</w:t>
      </w:r>
    </w:p>
    <w:p w14:paraId="3C781E8A" w14:textId="1D93295F" w:rsidR="00114B0B" w:rsidRPr="004B3563" w:rsidRDefault="00114B0B" w:rsidP="00036337">
      <w:pPr>
        <w:spacing w:after="240"/>
      </w:pPr>
      <w:r w:rsidRPr="004B3563">
        <w:t>Pensionable profit for the year ended 30/06/2023</w:t>
      </w:r>
      <w:r w:rsidRPr="004B3563">
        <w:tab/>
      </w:r>
      <w:r w:rsidR="008B1434" w:rsidRPr="004B3563">
        <w:t xml:space="preserve">            </w:t>
      </w:r>
      <w:r w:rsidRPr="004B3563">
        <w:tab/>
      </w:r>
      <w:r w:rsidR="006C3716" w:rsidRPr="004B3563">
        <w:t xml:space="preserve">                  </w:t>
      </w:r>
      <w:r w:rsidRPr="004B3563">
        <w:t>Nil</w:t>
      </w:r>
    </w:p>
    <w:p w14:paraId="31A5ACCD" w14:textId="08C42E7F" w:rsidR="00114B0B" w:rsidRPr="004B3563" w:rsidRDefault="00114B0B" w:rsidP="00036337">
      <w:pPr>
        <w:spacing w:after="240"/>
      </w:pPr>
      <w:r w:rsidRPr="004B3563">
        <w:t>Pensionable profit for the period 01/07/2023 to 31/03/2024</w:t>
      </w:r>
      <w:r w:rsidRPr="004B3563">
        <w:tab/>
      </w:r>
      <w:r w:rsidRPr="004B3563">
        <w:tab/>
      </w:r>
      <w:r w:rsidRPr="004B3563">
        <w:tab/>
        <w:t>87,424</w:t>
      </w:r>
    </w:p>
    <w:p w14:paraId="35E9E005" w14:textId="312D72E6" w:rsidR="00114B0B" w:rsidRPr="004B3563" w:rsidRDefault="00114B0B" w:rsidP="00036337">
      <w:pPr>
        <w:spacing w:after="240"/>
      </w:pPr>
      <w:r w:rsidRPr="004B3563">
        <w:t>Less pension overlap</w:t>
      </w:r>
      <w:r w:rsidRPr="004B3563">
        <w:tab/>
      </w:r>
      <w:r w:rsidRPr="004B3563">
        <w:tab/>
      </w:r>
      <w:r w:rsidRPr="004B3563">
        <w:tab/>
      </w:r>
      <w:r w:rsidRPr="004B3563">
        <w:tab/>
      </w:r>
      <w:r w:rsidRPr="004B3563">
        <w:tab/>
      </w:r>
      <w:r w:rsidRPr="004B3563">
        <w:tab/>
      </w:r>
      <w:r w:rsidRPr="004B3563">
        <w:tab/>
      </w:r>
      <w:r w:rsidRPr="004B3563">
        <w:tab/>
      </w:r>
      <w:r w:rsidRPr="004B3563">
        <w:rPr>
          <w:u w:val="single"/>
        </w:rPr>
        <w:t>(66,479)</w:t>
      </w:r>
    </w:p>
    <w:p w14:paraId="37731727" w14:textId="263A840C" w:rsidR="00114B0B" w:rsidRPr="004B3563" w:rsidRDefault="00114B0B" w:rsidP="00036337">
      <w:pPr>
        <w:spacing w:after="240"/>
        <w:rPr>
          <w:u w:val="single"/>
        </w:rPr>
      </w:pPr>
      <w:r w:rsidRPr="004B3563">
        <w:t>Transition pensionable profits</w:t>
      </w:r>
      <w:r w:rsidRPr="004B3563">
        <w:tab/>
      </w:r>
      <w:r w:rsidRPr="004B3563">
        <w:tab/>
      </w:r>
      <w:r w:rsidRPr="004B3563">
        <w:tab/>
      </w:r>
      <w:r w:rsidRPr="004B3563">
        <w:tab/>
      </w:r>
      <w:r w:rsidRPr="004B3563">
        <w:tab/>
      </w:r>
      <w:r w:rsidRPr="004B3563">
        <w:tab/>
      </w:r>
      <w:r w:rsidRPr="004B3563">
        <w:tab/>
      </w:r>
      <w:r w:rsidRPr="004B3563">
        <w:rPr>
          <w:u w:val="single"/>
        </w:rPr>
        <w:t>20,945</w:t>
      </w:r>
    </w:p>
    <w:p w14:paraId="5A336128" w14:textId="35F9FE0A" w:rsidR="00886773" w:rsidRPr="00332D67" w:rsidRDefault="00D832CD" w:rsidP="00332D67">
      <w:pPr>
        <w:spacing w:after="240"/>
      </w:pPr>
      <w:r w:rsidRPr="004B3563">
        <w:t xml:space="preserve">The pensionable position in this instance will follow </w:t>
      </w:r>
      <w:r w:rsidR="008628C8" w:rsidRPr="004B3563">
        <w:t>the tax position. If the GP has £15,000 of t</w:t>
      </w:r>
      <w:r w:rsidR="009131B7" w:rsidRPr="004B3563">
        <w:t xml:space="preserve">axable transition profit and spreads this over </w:t>
      </w:r>
      <w:r w:rsidR="00E23CF4">
        <w:t>5</w:t>
      </w:r>
      <w:r w:rsidR="00E23CF4" w:rsidRPr="004B3563">
        <w:t xml:space="preserve"> </w:t>
      </w:r>
      <w:r w:rsidR="009131B7" w:rsidRPr="004B3563">
        <w:t xml:space="preserve">years at </w:t>
      </w:r>
      <w:r w:rsidR="00CC6609" w:rsidRPr="004B3563">
        <w:t>£3,000 per year, t</w:t>
      </w:r>
      <w:r w:rsidR="00114B0B" w:rsidRPr="004B3563">
        <w:t xml:space="preserve">he GP </w:t>
      </w:r>
      <w:r w:rsidR="00CC6609" w:rsidRPr="004B3563">
        <w:t xml:space="preserve">must </w:t>
      </w:r>
      <w:r w:rsidR="00114B0B" w:rsidRPr="004B3563">
        <w:t xml:space="preserve">spread </w:t>
      </w:r>
      <w:r w:rsidR="00A129D3" w:rsidRPr="004B3563">
        <w:t xml:space="preserve">the pensionable transition profit of £20,945 and pension </w:t>
      </w:r>
      <w:r w:rsidR="00114B0B" w:rsidRPr="004B3563">
        <w:t>£4,189 each year over 2023/24 to 2027/28</w:t>
      </w:r>
      <w:r w:rsidR="0040021B" w:rsidRPr="004B3563">
        <w:t>.</w:t>
      </w:r>
    </w:p>
    <w:p w14:paraId="2F0719CC" w14:textId="25B6ED1D" w:rsidR="000E1D23" w:rsidRPr="00F76DCF" w:rsidRDefault="00267504" w:rsidP="00332D67">
      <w:pPr>
        <w:pStyle w:val="Heading3"/>
        <w:numPr>
          <w:ilvl w:val="0"/>
          <w:numId w:val="44"/>
        </w:numPr>
      </w:pPr>
      <w:bookmarkStart w:id="39" w:name="_Toc184040836"/>
      <w:r>
        <w:t>a</w:t>
      </w:r>
      <w:r w:rsidR="000E1D23" w:rsidRPr="00F76DCF">
        <w:t xml:space="preserve"> </w:t>
      </w:r>
      <w:r w:rsidR="00A40BAE" w:rsidRPr="00F76DCF">
        <w:t xml:space="preserve">tax </w:t>
      </w:r>
      <w:r w:rsidR="000E1D23" w:rsidRPr="00F76DCF">
        <w:t>trading loss occurs in the standard period and there is a loss in the transition period after deduction of pension overlap</w:t>
      </w:r>
      <w:bookmarkEnd w:id="39"/>
    </w:p>
    <w:p w14:paraId="5380CF7B" w14:textId="48A10840" w:rsidR="000E1D23" w:rsidRPr="004B3563" w:rsidRDefault="000E1D23" w:rsidP="00036337">
      <w:pPr>
        <w:spacing w:after="240"/>
      </w:pPr>
      <w:r w:rsidRPr="004B3563">
        <w:t xml:space="preserve">As in example </w:t>
      </w:r>
      <w:r w:rsidR="00F35866" w:rsidRPr="004B3563">
        <w:t xml:space="preserve">(b) </w:t>
      </w:r>
      <w:r w:rsidRPr="004B3563">
        <w:t>above, where a trading loss occurs, the pensionable pay is treated as zero.</w:t>
      </w:r>
    </w:p>
    <w:p w14:paraId="48DF5A30" w14:textId="160C2A71" w:rsidR="000E1D23" w:rsidRPr="004B3563" w:rsidRDefault="000E1D23" w:rsidP="00036337">
      <w:pPr>
        <w:spacing w:after="240"/>
      </w:pPr>
      <w:r w:rsidRPr="004B3563">
        <w:t>Pensionable profit for the year ended 31/12/2023</w:t>
      </w:r>
      <w:r w:rsidRPr="004B3563">
        <w:tab/>
      </w:r>
      <w:r w:rsidRPr="004B3563">
        <w:tab/>
      </w:r>
      <w:r w:rsidR="00F35866" w:rsidRPr="004B3563">
        <w:t xml:space="preserve">                      </w:t>
      </w:r>
      <w:r w:rsidR="008B1434" w:rsidRPr="004B3563">
        <w:t xml:space="preserve">  </w:t>
      </w:r>
      <w:r w:rsidR="00503FB6">
        <w:t xml:space="preserve">  </w:t>
      </w:r>
      <w:r w:rsidR="008B1434" w:rsidRPr="004B3563">
        <w:t xml:space="preserve">    </w:t>
      </w:r>
      <w:r w:rsidRPr="004B3563">
        <w:t>Nil</w:t>
      </w:r>
    </w:p>
    <w:p w14:paraId="62E7D040" w14:textId="19C7E54A" w:rsidR="000E1D23" w:rsidRPr="004B3563" w:rsidRDefault="000E1D23" w:rsidP="00036337">
      <w:pPr>
        <w:spacing w:after="240"/>
      </w:pPr>
      <w:r w:rsidRPr="004B3563">
        <w:t>Pensionable profit for the period 01/01/2024 to 31/03/2024</w:t>
      </w:r>
      <w:r w:rsidRPr="004B3563">
        <w:tab/>
      </w:r>
      <w:r w:rsidRPr="004B3563">
        <w:tab/>
      </w:r>
      <w:r w:rsidRPr="004B3563">
        <w:tab/>
      </w:r>
      <w:r w:rsidR="00503FB6">
        <w:t xml:space="preserve"> </w:t>
      </w:r>
      <w:r w:rsidRPr="004B3563">
        <w:t>32,768</w:t>
      </w:r>
    </w:p>
    <w:p w14:paraId="76937DE9" w14:textId="30105855" w:rsidR="000E1D23" w:rsidRPr="004B3563" w:rsidRDefault="000E1D23" w:rsidP="00036337">
      <w:pPr>
        <w:spacing w:after="240"/>
      </w:pPr>
      <w:r w:rsidRPr="004B3563">
        <w:t>Less pension overlap</w:t>
      </w:r>
      <w:r w:rsidRPr="004B3563">
        <w:tab/>
      </w:r>
      <w:r w:rsidRPr="004B3563">
        <w:tab/>
      </w:r>
      <w:r w:rsidRPr="004B3563">
        <w:tab/>
      </w:r>
      <w:r w:rsidRPr="004B3563">
        <w:tab/>
      </w:r>
      <w:r w:rsidRPr="004B3563">
        <w:tab/>
      </w:r>
      <w:r w:rsidRPr="004B3563">
        <w:tab/>
      </w:r>
      <w:r w:rsidRPr="004B3563">
        <w:tab/>
      </w:r>
      <w:r w:rsidRPr="004B3563">
        <w:tab/>
      </w:r>
      <w:r w:rsidRPr="004B3563">
        <w:rPr>
          <w:u w:val="single"/>
        </w:rPr>
        <w:t>(46,725)</w:t>
      </w:r>
    </w:p>
    <w:p w14:paraId="3D1151CC" w14:textId="77777777" w:rsidR="00976525" w:rsidRPr="004B3563" w:rsidRDefault="000E1D23" w:rsidP="00036337">
      <w:pPr>
        <w:spacing w:after="240"/>
        <w:rPr>
          <w:u w:val="single"/>
        </w:rPr>
      </w:pPr>
      <w:r w:rsidRPr="004B3563">
        <w:t>Transition loss</w:t>
      </w:r>
      <w:r w:rsidRPr="004B3563">
        <w:tab/>
      </w:r>
      <w:r w:rsidRPr="004B3563">
        <w:tab/>
      </w:r>
      <w:r w:rsidRPr="004B3563">
        <w:tab/>
      </w:r>
      <w:r w:rsidRPr="004B3563">
        <w:tab/>
      </w:r>
      <w:r w:rsidRPr="004B3563">
        <w:tab/>
      </w:r>
      <w:r w:rsidRPr="004B3563">
        <w:tab/>
      </w:r>
      <w:r w:rsidRPr="004B3563">
        <w:tab/>
      </w:r>
      <w:r w:rsidRPr="004B3563">
        <w:tab/>
      </w:r>
      <w:r w:rsidRPr="004B3563">
        <w:tab/>
      </w:r>
      <w:r w:rsidRPr="004B3563">
        <w:rPr>
          <w:u w:val="single"/>
        </w:rPr>
        <w:t>(13,957)</w:t>
      </w:r>
    </w:p>
    <w:p w14:paraId="2BC6031B" w14:textId="0CFB5F80" w:rsidR="000E1D23" w:rsidRDefault="000E1D23" w:rsidP="00036337">
      <w:pPr>
        <w:spacing w:after="240"/>
      </w:pPr>
      <w:r w:rsidRPr="004B3563">
        <w:t>There is an overall pension loss for the transition year of £13,957. As this is entirely created by the utilisation of pension overlap that represents income that has previously be</w:t>
      </w:r>
      <w:r w:rsidR="00E42AE3" w:rsidRPr="004B3563">
        <w:t>e</w:t>
      </w:r>
      <w:r w:rsidRPr="004B3563">
        <w:t>n pensioned twice, it must be relieved. The loss of £13,957 must therefore be carried back to set against pensionable profits of 2022/23, or earlier if there are no pensionable profits in 2022/23, and an amended Type 1 certificate will need to be submitted for that earlier year.</w:t>
      </w:r>
    </w:p>
    <w:p w14:paraId="242CAC38" w14:textId="77777777" w:rsidR="00C462A3" w:rsidRPr="004B3563" w:rsidRDefault="00C462A3" w:rsidP="00036337">
      <w:pPr>
        <w:spacing w:after="240"/>
      </w:pPr>
    </w:p>
    <w:p w14:paraId="71EED520" w14:textId="094BE3EA" w:rsidR="00EC6959" w:rsidRPr="005B63EA" w:rsidRDefault="00332D67" w:rsidP="00332D67">
      <w:pPr>
        <w:pStyle w:val="Heading3"/>
        <w:ind w:left="360"/>
      </w:pPr>
      <w:bookmarkStart w:id="40" w:name="_Toc184040837"/>
      <w:r>
        <w:lastRenderedPageBreak/>
        <w:t xml:space="preserve">d. </w:t>
      </w:r>
      <w:r w:rsidR="00267504">
        <w:t>a</w:t>
      </w:r>
      <w:r w:rsidR="00EC6959" w:rsidRPr="005B63EA">
        <w:t xml:space="preserve"> GP leaves the practice or retires</w:t>
      </w:r>
      <w:bookmarkEnd w:id="40"/>
    </w:p>
    <w:p w14:paraId="727313F3" w14:textId="11AFB6A4" w:rsidR="00EC6959" w:rsidRPr="004B3563" w:rsidRDefault="00EC6959" w:rsidP="00036337">
      <w:pPr>
        <w:spacing w:after="240"/>
      </w:pPr>
      <w:r w:rsidRPr="004B3563">
        <w:t>There are various permutations regarding leavers and retirement, including partial retirement, leaving one practice and joining another, 24-hour retirement</w:t>
      </w:r>
      <w:r w:rsidR="004839A6">
        <w:t>,</w:t>
      </w:r>
      <w:r w:rsidRPr="004B3563">
        <w:t xml:space="preserve"> </w:t>
      </w:r>
      <w:r w:rsidR="008F2C6B">
        <w:t>and so on</w:t>
      </w:r>
      <w:r w:rsidRPr="004B3563">
        <w:t>. Where a GP leaves a practice and does not return to pensionable membership, all pension overlap is relieved at the point of leaving/retiring (including 24-hour retirement) and should a pension loss occur, the loss carried back first again the standard period and then earlier periods by way of amended certificates if a loss still arises.</w:t>
      </w:r>
    </w:p>
    <w:p w14:paraId="04358E71" w14:textId="635AF45E" w:rsidR="00C462A3" w:rsidRPr="00382868" w:rsidRDefault="00EC6959" w:rsidP="00036337">
      <w:pPr>
        <w:spacing w:after="240"/>
      </w:pPr>
      <w:r w:rsidRPr="004B3563">
        <w:t xml:space="preserve">Under partial retirement, NHS </w:t>
      </w:r>
      <w:r w:rsidR="00B61AA2">
        <w:t>P</w:t>
      </w:r>
      <w:r w:rsidRPr="004B3563">
        <w:t xml:space="preserve">ension </w:t>
      </w:r>
      <w:r w:rsidR="00B61AA2">
        <w:t xml:space="preserve">Scheme </w:t>
      </w:r>
      <w:r w:rsidRPr="004B3563">
        <w:t xml:space="preserve">membership does not cease. The rules say that work commitment must be reduced by at least 10% and this will reflect in reduced profit allocation after the point of partial retirement. The partial retirement itself will have no impact on how pension overlap is claimed. As membership of the </w:t>
      </w:r>
      <w:r w:rsidR="00B61AA2">
        <w:t>S</w:t>
      </w:r>
      <w:r w:rsidR="004839A6">
        <w:t>c</w:t>
      </w:r>
      <w:r w:rsidR="004839A6" w:rsidRPr="004B3563">
        <w:t>heme</w:t>
      </w:r>
      <w:r w:rsidRPr="004B3563">
        <w:t xml:space="preserve"> continues after drawing the benefit, the pension overlap is claimed in the transition period in the same way as the examples in the earlier part of this guidance, as determined by the 12 month and short accounting periods or the apportionment of a longer period.</w:t>
      </w:r>
    </w:p>
    <w:p w14:paraId="51FE9916" w14:textId="43E87BCF" w:rsidR="00DA59C2" w:rsidRPr="005B63EA" w:rsidRDefault="00C462A3" w:rsidP="00332D67">
      <w:pPr>
        <w:pStyle w:val="Heading3"/>
        <w:numPr>
          <w:ilvl w:val="0"/>
          <w:numId w:val="48"/>
        </w:numPr>
      </w:pPr>
      <w:bookmarkStart w:id="41" w:name="_Toc184040838"/>
      <w:r>
        <w:t>a</w:t>
      </w:r>
      <w:r w:rsidR="00DA59C2" w:rsidRPr="005B63EA">
        <w:t xml:space="preserve"> GP opts out (or in and out)</w:t>
      </w:r>
      <w:bookmarkEnd w:id="41"/>
    </w:p>
    <w:p w14:paraId="34B53AD4" w14:textId="70E6F05F" w:rsidR="000870F7" w:rsidRPr="004B3563" w:rsidRDefault="000870F7" w:rsidP="00036337">
      <w:pPr>
        <w:spacing w:after="240"/>
      </w:pPr>
      <w:r w:rsidRPr="004B3563">
        <w:t xml:space="preserve">The general principle remains that opting out of the </w:t>
      </w:r>
      <w:r w:rsidR="00F54AA0">
        <w:t>S</w:t>
      </w:r>
      <w:r w:rsidRPr="004B3563">
        <w:t xml:space="preserve">cheme represents a cessation of membership that should crystallise the relief of pension overlap. </w:t>
      </w:r>
      <w:r w:rsidR="00D228EB" w:rsidRPr="004B3563">
        <w:t>A</w:t>
      </w:r>
      <w:r w:rsidRPr="004B3563">
        <w:t xml:space="preserve"> pragmatic approach may be </w:t>
      </w:r>
      <w:r w:rsidR="00D228EB" w:rsidRPr="004B3563">
        <w:t xml:space="preserve">needed </w:t>
      </w:r>
      <w:r w:rsidRPr="004B3563">
        <w:t xml:space="preserve">depending upon the circumstances and the combination of opt outs, ins and outs </w:t>
      </w:r>
      <w:r w:rsidR="00F4188D">
        <w:t>and so on</w:t>
      </w:r>
      <w:r w:rsidR="00F54AA0">
        <w:t>,</w:t>
      </w:r>
      <w:r w:rsidRPr="004B3563">
        <w:t xml:space="preserve"> and the length of the accounting period(s) in place.</w:t>
      </w:r>
      <w:r w:rsidR="00D228EB" w:rsidRPr="004B3563">
        <w:t xml:space="preserve"> The appendix gives some examples </w:t>
      </w:r>
      <w:r w:rsidR="00A17C08" w:rsidRPr="004B3563">
        <w:t>for a variety of such scenarios</w:t>
      </w:r>
      <w:r w:rsidR="00A17E5D" w:rsidRPr="004B3563">
        <w:t>.</w:t>
      </w:r>
    </w:p>
    <w:p w14:paraId="382332D9" w14:textId="77777777" w:rsidR="00A17C08" w:rsidRDefault="00A17C08" w:rsidP="00382868">
      <w:pPr>
        <w:pStyle w:val="Heading2"/>
        <w:spacing w:before="0" w:after="240"/>
        <w:rPr>
          <w:rFonts w:eastAsia="Times New Roman"/>
          <w:lang w:eastAsia="en-GB"/>
        </w:rPr>
      </w:pPr>
      <w:bookmarkStart w:id="42" w:name="_Toc184040839"/>
      <w:bookmarkStart w:id="43" w:name="_Hlk179803757"/>
      <w:r w:rsidRPr="00DA59C2">
        <w:rPr>
          <w:rFonts w:eastAsia="Times New Roman"/>
          <w:lang w:eastAsia="en-GB"/>
        </w:rPr>
        <w:t>Summary</w:t>
      </w:r>
      <w:bookmarkEnd w:id="42"/>
      <w:r w:rsidRPr="00DA59C2">
        <w:rPr>
          <w:rFonts w:eastAsia="Times New Roman"/>
          <w:lang w:eastAsia="en-GB"/>
        </w:rPr>
        <w:t xml:space="preserve"> </w:t>
      </w:r>
    </w:p>
    <w:bookmarkEnd w:id="43"/>
    <w:p w14:paraId="17800230" w14:textId="68AC6172" w:rsidR="00EC6959" w:rsidRPr="00C462A3" w:rsidRDefault="00EC6959" w:rsidP="00036337">
      <w:pPr>
        <w:spacing w:after="240"/>
      </w:pPr>
      <w:r w:rsidRPr="00C462A3">
        <w:t xml:space="preserve">It should be noted that, in all circumstances, the full amount of pensionable pay will only be pensioned once, but, as with the tax position, this may occur across multiple years.  </w:t>
      </w:r>
    </w:p>
    <w:p w14:paraId="30CDAE94" w14:textId="32DF2128" w:rsidR="00A17C08" w:rsidRPr="00C462A3" w:rsidRDefault="007D0454" w:rsidP="00036337">
      <w:pPr>
        <w:spacing w:after="240"/>
      </w:pPr>
      <w:r w:rsidRPr="00C462A3">
        <w:t xml:space="preserve">GPs and their advisers </w:t>
      </w:r>
      <w:r w:rsidR="00A17C08" w:rsidRPr="00C462A3">
        <w:t xml:space="preserve">need to be aware that the restrictions in section 216 and 217 ITTOIA 2005 that limited changes in accounting period to a maximum of 18 months do not apply for 2023/24, so it would be possible to have, </w:t>
      </w:r>
      <w:r w:rsidR="00684D02" w:rsidRPr="00C462A3">
        <w:t>for example</w:t>
      </w:r>
      <w:r w:rsidR="00A17C08" w:rsidRPr="00C462A3">
        <w:t>, a 23-month period. The rules that restrict a period of account to 18 months for capital allowances, however, do still apply (section 6(6) CA Act 2021).</w:t>
      </w:r>
    </w:p>
    <w:p w14:paraId="24E09F5D" w14:textId="7E502F7E" w:rsidR="00EC6959" w:rsidRPr="00C462A3" w:rsidRDefault="001A0038" w:rsidP="00036337">
      <w:pPr>
        <w:spacing w:after="240"/>
      </w:pPr>
      <w:r w:rsidRPr="00C462A3">
        <w:t>I</w:t>
      </w:r>
      <w:r w:rsidR="00EC6959" w:rsidRPr="00C462A3">
        <w:t xml:space="preserve">n determining whether to accelerate taxable transition profits, </w:t>
      </w:r>
      <w:r w:rsidRPr="00C462A3">
        <w:t xml:space="preserve">GPs and their advisers </w:t>
      </w:r>
      <w:r w:rsidR="00EC6959" w:rsidRPr="00C462A3">
        <w:t>will need to consider the full implications concerning pension benefits, collection of shortfalls of pension contributions and the tax relief position from the collection of such shortfalls along with potential cashflow issues for additional tax and pension contributions liabilities</w:t>
      </w:r>
      <w:r w:rsidR="00F3154B" w:rsidRPr="00C462A3">
        <w:t>.</w:t>
      </w:r>
    </w:p>
    <w:p w14:paraId="52BFEC2F" w14:textId="77777777" w:rsidR="00C462A3" w:rsidRDefault="00C462A3" w:rsidP="00036337">
      <w:pPr>
        <w:spacing w:after="240"/>
        <w:rPr>
          <w:rFonts w:eastAsia="Times New Roman" w:cs="Arial"/>
          <w:b/>
          <w:bCs/>
          <w:color w:val="006FC0"/>
          <w:spacing w:val="-2"/>
          <w:kern w:val="0"/>
          <w:sz w:val="32"/>
          <w:szCs w:val="36"/>
          <w:lang w:eastAsia="en-GB"/>
          <w14:ligatures w14:val="none"/>
        </w:rPr>
      </w:pPr>
      <w:bookmarkStart w:id="44" w:name="_Hlk179803772"/>
      <w:r>
        <w:rPr>
          <w:rFonts w:eastAsia="Times New Roman" w:cs="Arial"/>
          <w:b/>
          <w:bCs/>
          <w:color w:val="006FC0"/>
          <w:spacing w:val="-2"/>
          <w:kern w:val="0"/>
          <w:sz w:val="32"/>
          <w:szCs w:val="36"/>
          <w:lang w:eastAsia="en-GB"/>
          <w14:ligatures w14:val="none"/>
        </w:rPr>
        <w:br w:type="page"/>
      </w:r>
    </w:p>
    <w:p w14:paraId="1265875B" w14:textId="4A344821" w:rsidR="00A17C08" w:rsidRDefault="00A17C08" w:rsidP="00382868">
      <w:pPr>
        <w:pStyle w:val="Heading2"/>
        <w:rPr>
          <w:rFonts w:eastAsia="Times New Roman"/>
          <w:lang w:eastAsia="en-GB"/>
        </w:rPr>
      </w:pPr>
      <w:bookmarkStart w:id="45" w:name="_Toc184040840"/>
      <w:r w:rsidRPr="00DA59C2">
        <w:rPr>
          <w:rFonts w:eastAsia="Times New Roman"/>
          <w:lang w:eastAsia="en-GB"/>
        </w:rPr>
        <w:lastRenderedPageBreak/>
        <w:t xml:space="preserve">Appendix: </w:t>
      </w:r>
      <w:proofErr w:type="spellStart"/>
      <w:r w:rsidRPr="00DA59C2">
        <w:rPr>
          <w:rFonts w:eastAsia="Times New Roman"/>
          <w:lang w:eastAsia="en-GB"/>
        </w:rPr>
        <w:t>Opt</w:t>
      </w:r>
      <w:proofErr w:type="spellEnd"/>
      <w:r w:rsidRPr="00DA59C2">
        <w:rPr>
          <w:rFonts w:eastAsia="Times New Roman"/>
          <w:lang w:eastAsia="en-GB"/>
        </w:rPr>
        <w:t xml:space="preserve"> </w:t>
      </w:r>
      <w:r w:rsidR="00C15985">
        <w:rPr>
          <w:rFonts w:eastAsia="Times New Roman"/>
          <w:lang w:eastAsia="en-GB"/>
        </w:rPr>
        <w:t>o</w:t>
      </w:r>
      <w:r w:rsidRPr="00DA59C2">
        <w:rPr>
          <w:rFonts w:eastAsia="Times New Roman"/>
          <w:lang w:eastAsia="en-GB"/>
        </w:rPr>
        <w:t>uts</w:t>
      </w:r>
      <w:bookmarkEnd w:id="45"/>
      <w:r w:rsidRPr="00DA59C2">
        <w:rPr>
          <w:rFonts w:eastAsia="Times New Roman"/>
          <w:lang w:eastAsia="en-GB"/>
        </w:rPr>
        <w:t xml:space="preserve"> </w:t>
      </w:r>
    </w:p>
    <w:bookmarkEnd w:id="44"/>
    <w:p w14:paraId="727C8FC4" w14:textId="478C1A79" w:rsidR="00BD3176" w:rsidRDefault="00A54DF0" w:rsidP="00036337">
      <w:pPr>
        <w:spacing w:after="240"/>
        <w:rPr>
          <w:sz w:val="22"/>
          <w:szCs w:val="22"/>
        </w:rPr>
      </w:pPr>
      <w:r w:rsidRPr="008B1434">
        <w:rPr>
          <w:sz w:val="22"/>
          <w:szCs w:val="22"/>
        </w:rPr>
        <w:t>In a position where the GP remains a fully taxable member throughout, we may see:</w:t>
      </w:r>
    </w:p>
    <w:p w14:paraId="4B3FCA36" w14:textId="35B9B1BE" w:rsidR="007F16EB" w:rsidRPr="007F16EB" w:rsidRDefault="00C57E29" w:rsidP="00332D67">
      <w:pPr>
        <w:pStyle w:val="Heading3"/>
        <w:numPr>
          <w:ilvl w:val="0"/>
          <w:numId w:val="49"/>
        </w:numPr>
      </w:pPr>
      <w:bookmarkStart w:id="46" w:name="_Hlk179803805"/>
      <w:bookmarkStart w:id="47" w:name="_Toc184040841"/>
      <w:r w:rsidRPr="005B63EA">
        <w:t>Standard year end 30/06.  GP membership follows this pattern:</w:t>
      </w:r>
      <w:bookmarkEnd w:id="46"/>
      <w:bookmarkEnd w:id="47"/>
    </w:p>
    <w:p w14:paraId="2F774AC6" w14:textId="3D1AE13E" w:rsidR="00C57E29" w:rsidRPr="007F16EB" w:rsidRDefault="00C57E29" w:rsidP="00332D67">
      <w:pPr>
        <w:spacing w:before="360" w:after="120"/>
      </w:pPr>
      <w:r w:rsidRPr="007F16EB">
        <w:t xml:space="preserve">Opted in </w:t>
      </w:r>
      <w:r w:rsidRPr="007F16EB">
        <w:tab/>
        <w:t>01/07/2022 – 30/09/2022</w:t>
      </w:r>
      <w:r w:rsidR="00394E1C" w:rsidRPr="007F16EB">
        <w:t xml:space="preserve"> (92 days)</w:t>
      </w:r>
    </w:p>
    <w:p w14:paraId="23E5CDA6" w14:textId="5DE27F6D" w:rsidR="00C57E29" w:rsidRPr="007F16EB" w:rsidRDefault="00C57E29" w:rsidP="00332D67">
      <w:pPr>
        <w:spacing w:after="120"/>
      </w:pPr>
      <w:r w:rsidRPr="007F16EB">
        <w:t xml:space="preserve">Opted out </w:t>
      </w:r>
      <w:r w:rsidRPr="007F16EB">
        <w:tab/>
        <w:t>01/10/2022 – 28/02/2023</w:t>
      </w:r>
      <w:r w:rsidR="00394E1C" w:rsidRPr="007F16EB">
        <w:t xml:space="preserve"> (151 days)</w:t>
      </w:r>
    </w:p>
    <w:p w14:paraId="5B537364" w14:textId="70CF446B" w:rsidR="00C57E29" w:rsidRPr="007F16EB" w:rsidRDefault="00C57E29" w:rsidP="00332D67">
      <w:pPr>
        <w:spacing w:after="120"/>
      </w:pPr>
      <w:r w:rsidRPr="007F16EB">
        <w:t xml:space="preserve">Opted in </w:t>
      </w:r>
      <w:r w:rsidRPr="007F16EB">
        <w:tab/>
        <w:t>01/03/2023 – 31/12/2023</w:t>
      </w:r>
      <w:r w:rsidR="00394E1C" w:rsidRPr="007F16EB">
        <w:t xml:space="preserve"> (306 days)</w:t>
      </w:r>
    </w:p>
    <w:p w14:paraId="7264AE39" w14:textId="735B70A9" w:rsidR="00C57E29" w:rsidRPr="007F16EB" w:rsidRDefault="00C57E29" w:rsidP="00332D67">
      <w:pPr>
        <w:spacing w:after="120"/>
      </w:pPr>
      <w:r w:rsidRPr="007F16EB">
        <w:t xml:space="preserve">Opted out </w:t>
      </w:r>
      <w:r w:rsidRPr="007F16EB">
        <w:tab/>
        <w:t xml:space="preserve">01/01/2024 </w:t>
      </w:r>
      <w:r w:rsidR="00394E1C" w:rsidRPr="007F16EB">
        <w:t>–</w:t>
      </w:r>
      <w:r w:rsidRPr="007F16EB">
        <w:t xml:space="preserve"> </w:t>
      </w:r>
      <w:r w:rsidR="00394E1C" w:rsidRPr="007F16EB">
        <w:t>31/03/2024 (90 days)</w:t>
      </w:r>
    </w:p>
    <w:p w14:paraId="6EC357AD" w14:textId="5102DA40" w:rsidR="007F16EB" w:rsidRPr="007F16EB" w:rsidRDefault="00481171" w:rsidP="00332D67">
      <w:pPr>
        <w:spacing w:after="360"/>
      </w:pPr>
      <w:r w:rsidRPr="007F16EB">
        <w:t>Total period covers 639 days.</w:t>
      </w:r>
    </w:p>
    <w:p w14:paraId="43F92E5E" w14:textId="693D466B" w:rsidR="00486E4F" w:rsidRPr="007F16EB" w:rsidRDefault="00394E1C" w:rsidP="00332D67">
      <w:pPr>
        <w:spacing w:after="120"/>
      </w:pPr>
      <w:r w:rsidRPr="007F16EB">
        <w:t xml:space="preserve">There are </w:t>
      </w:r>
      <w:r w:rsidR="006F3752" w:rsidRPr="007F16EB">
        <w:t xml:space="preserve">2 </w:t>
      </w:r>
      <w:r w:rsidRPr="007F16EB">
        <w:t>points of opt out in the overall accounting period that need to be considered for the 2023/24 certificate, being 30/09/2022 and 31/12/2023.</w:t>
      </w:r>
    </w:p>
    <w:p w14:paraId="4145EBE7" w14:textId="57077BC3" w:rsidR="00481171" w:rsidRPr="007F16EB" w:rsidRDefault="00481171" w:rsidP="00332D67">
      <w:pPr>
        <w:spacing w:after="120"/>
      </w:pPr>
      <w:r w:rsidRPr="007F16EB">
        <w:t>If accounts are prepared for the year ended 30/06/2023 and then another for the period 01/07/2023 to 31/03/2024, we see the following movement:</w:t>
      </w:r>
    </w:p>
    <w:p w14:paraId="7BB7147D" w14:textId="77777777" w:rsidR="007F16EB" w:rsidRPr="007F16EB" w:rsidRDefault="007F16EB" w:rsidP="00332D67">
      <w:pPr>
        <w:spacing w:after="120"/>
      </w:pPr>
    </w:p>
    <w:p w14:paraId="52E4EC7C" w14:textId="57CA01E2" w:rsidR="00481171" w:rsidRPr="007F16EB" w:rsidRDefault="00481171" w:rsidP="00332D67">
      <w:pPr>
        <w:spacing w:after="120"/>
      </w:pPr>
      <w:r w:rsidRPr="007F16EB">
        <w:t>Opted in</w:t>
      </w:r>
      <w:r w:rsidRPr="007F16EB">
        <w:tab/>
        <w:t>01/07/2022 – 30/09/2022 (92 days)</w:t>
      </w:r>
    </w:p>
    <w:p w14:paraId="49F8D603" w14:textId="2BAD30FC" w:rsidR="00481171" w:rsidRPr="007F16EB" w:rsidRDefault="00481171" w:rsidP="00332D67">
      <w:pPr>
        <w:spacing w:after="120"/>
      </w:pPr>
      <w:r w:rsidRPr="007F16EB">
        <w:t>Opted out</w:t>
      </w:r>
      <w:r w:rsidRPr="007F16EB">
        <w:tab/>
        <w:t>01/10/2022 – 28/02/2023 (151 days)</w:t>
      </w:r>
    </w:p>
    <w:p w14:paraId="75C1B172" w14:textId="2162E39E" w:rsidR="00481171" w:rsidRPr="007F16EB" w:rsidRDefault="00481171" w:rsidP="00332D67">
      <w:pPr>
        <w:spacing w:after="120"/>
      </w:pPr>
      <w:r w:rsidRPr="007F16EB">
        <w:t xml:space="preserve">Opted in </w:t>
      </w:r>
      <w:r w:rsidRPr="007F16EB">
        <w:tab/>
        <w:t>01/01/2023 – 30/06/2023 (122 days)</w:t>
      </w:r>
    </w:p>
    <w:p w14:paraId="7541E2A0" w14:textId="0E2291BF" w:rsidR="00481171" w:rsidRPr="007F16EB" w:rsidRDefault="00481171" w:rsidP="00332D67">
      <w:pPr>
        <w:spacing w:after="360"/>
      </w:pPr>
      <w:proofErr w:type="gramStart"/>
      <w:r w:rsidRPr="007F16EB">
        <w:t>Total</w:t>
      </w:r>
      <w:proofErr w:type="gramEnd"/>
      <w:r w:rsidRPr="007F16EB">
        <w:t xml:space="preserve"> opt in period </w:t>
      </w:r>
      <w:r w:rsidR="00DC5AF4" w:rsidRPr="007F16EB">
        <w:t>214 days, overall period 365 days.</w:t>
      </w:r>
    </w:p>
    <w:p w14:paraId="6887D337" w14:textId="3999F400" w:rsidR="00DC5AF4" w:rsidRPr="007F16EB" w:rsidRDefault="00DC5AF4" w:rsidP="00332D67">
      <w:pPr>
        <w:spacing w:after="120"/>
      </w:pPr>
      <w:r w:rsidRPr="007F16EB">
        <w:t xml:space="preserve">Opted in </w:t>
      </w:r>
      <w:r w:rsidRPr="007F16EB">
        <w:tab/>
        <w:t>01/07/2023 – 31/12/2023 (184 days)</w:t>
      </w:r>
    </w:p>
    <w:p w14:paraId="56C6E2C5" w14:textId="17203BC5" w:rsidR="00DC5AF4" w:rsidRPr="007F16EB" w:rsidRDefault="00DC5AF4" w:rsidP="00332D67">
      <w:pPr>
        <w:spacing w:after="120"/>
      </w:pPr>
      <w:r w:rsidRPr="007F16EB">
        <w:t xml:space="preserve">Opted out </w:t>
      </w:r>
      <w:r w:rsidRPr="007F16EB">
        <w:tab/>
        <w:t>01/01/2024 – 31/03/2024 (90 days)</w:t>
      </w:r>
    </w:p>
    <w:p w14:paraId="5114523D" w14:textId="757BA8C8" w:rsidR="007F16EB" w:rsidRPr="007F16EB" w:rsidRDefault="00DC5AF4" w:rsidP="00332D67">
      <w:pPr>
        <w:spacing w:after="360"/>
      </w:pPr>
      <w:proofErr w:type="gramStart"/>
      <w:r w:rsidRPr="007F16EB">
        <w:t>Total</w:t>
      </w:r>
      <w:proofErr w:type="gramEnd"/>
      <w:r w:rsidRPr="007F16EB">
        <w:t xml:space="preserve"> opt in period 184 days, overall period 274 days.</w:t>
      </w:r>
    </w:p>
    <w:p w14:paraId="4B7A06A7" w14:textId="43F60B17" w:rsidR="00DC5AF4" w:rsidRPr="007F16EB" w:rsidRDefault="00DC5AF4" w:rsidP="00036337">
      <w:pPr>
        <w:spacing w:after="240"/>
      </w:pPr>
      <w:r w:rsidRPr="007F16EB">
        <w:t xml:space="preserve">As the GP was opted in at the end of the standard 30/06/2023 accounting year end, it would seem appropriate to apportion the 365 days year end by 214/365 and enter those details in the standard period boxes. The additional period of 01/07/2023 to 31/03/2024 would then need to </w:t>
      </w:r>
      <w:r w:rsidR="00E42AE3" w:rsidRPr="007F16EB">
        <w:t xml:space="preserve">be </w:t>
      </w:r>
      <w:r w:rsidRPr="007F16EB">
        <w:t>apportioned in the parallel transition period boxes by 184/274</w:t>
      </w:r>
      <w:r w:rsidR="002C0142" w:rsidRPr="007F16EB">
        <w:t>.</w:t>
      </w:r>
    </w:p>
    <w:p w14:paraId="18831159" w14:textId="7156ADDD" w:rsidR="002C0142" w:rsidRPr="007F16EB" w:rsidRDefault="002C0142" w:rsidP="00036337">
      <w:pPr>
        <w:spacing w:after="240"/>
      </w:pPr>
      <w:r w:rsidRPr="007F16EB">
        <w:t xml:space="preserve">The overlap is crystalised at the date of the first </w:t>
      </w:r>
      <w:r w:rsidR="00802EA6" w:rsidRPr="007F16EB">
        <w:t>crystallisation event, in this case 30/9/</w:t>
      </w:r>
      <w:r w:rsidR="00BE76C0" w:rsidRPr="007F16EB">
        <w:t>20</w:t>
      </w:r>
      <w:r w:rsidR="00802EA6" w:rsidRPr="007F16EB">
        <w:t>22, and will be set off against the standard period</w:t>
      </w:r>
      <w:r w:rsidR="009E3FE1" w:rsidRPr="007F16EB">
        <w:t xml:space="preserve">’s pensionable profit. </w:t>
      </w:r>
    </w:p>
    <w:p w14:paraId="25A03360" w14:textId="77D10E40" w:rsidR="009E3FE1" w:rsidRPr="007F16EB" w:rsidRDefault="009E3FE1" w:rsidP="00036337">
      <w:pPr>
        <w:spacing w:after="240"/>
      </w:pPr>
      <w:r w:rsidRPr="007F16EB">
        <w:t xml:space="preserve">No further overlap is created when the GP opts back in </w:t>
      </w:r>
      <w:r w:rsidR="00AD6AC4" w:rsidRPr="007F16EB">
        <w:t>on</w:t>
      </w:r>
      <w:r w:rsidRPr="007F16EB">
        <w:t xml:space="preserve"> 1 July 2023 </w:t>
      </w:r>
      <w:r w:rsidR="00B93ED9" w:rsidRPr="007F16EB">
        <w:t>and so there is no overlap to use against the transition profits at 31/12/</w:t>
      </w:r>
      <w:r w:rsidR="00BE76C0" w:rsidRPr="007F16EB">
        <w:t>20</w:t>
      </w:r>
      <w:r w:rsidR="00B93ED9" w:rsidRPr="007F16EB">
        <w:t>23</w:t>
      </w:r>
      <w:r w:rsidR="00AD6AC4" w:rsidRPr="007F16EB">
        <w:t>.</w:t>
      </w:r>
    </w:p>
    <w:p w14:paraId="0D1C2AA2" w14:textId="77777777" w:rsidR="007F16EB" w:rsidRPr="007F16EB" w:rsidRDefault="007F16EB" w:rsidP="00036337">
      <w:pPr>
        <w:spacing w:after="240"/>
      </w:pPr>
      <w:bookmarkStart w:id="48" w:name="_Hlk170898869"/>
      <w:bookmarkStart w:id="49" w:name="_Hlk170900675"/>
    </w:p>
    <w:p w14:paraId="5803B6E6" w14:textId="5F7E58A9" w:rsidR="00DC5AF4" w:rsidRPr="007F16EB" w:rsidRDefault="00DC5AF4" w:rsidP="00036337">
      <w:pPr>
        <w:spacing w:after="240"/>
      </w:pPr>
      <w:r w:rsidRPr="007F16EB">
        <w:t xml:space="preserve">Overall </w:t>
      </w:r>
      <w:r w:rsidR="000B5AE0" w:rsidRPr="007F16EB">
        <w:t xml:space="preserve">NHS </w:t>
      </w:r>
      <w:r w:rsidRPr="007F16EB">
        <w:t>profit year ended 30/06/2023</w:t>
      </w:r>
      <w:r w:rsidRPr="007F16EB">
        <w:tab/>
      </w:r>
      <w:r w:rsidRPr="007F16EB">
        <w:tab/>
      </w:r>
      <w:r w:rsidRPr="007F16EB">
        <w:tab/>
      </w:r>
      <w:r w:rsidRPr="007F16EB">
        <w:tab/>
      </w:r>
      <w:r w:rsidR="006B7C22" w:rsidRPr="007F16EB">
        <w:tab/>
      </w:r>
      <w:r w:rsidR="000B5AE0" w:rsidRPr="007F16EB">
        <w:tab/>
      </w:r>
      <w:r w:rsidRPr="007F16EB">
        <w:t>125,861</w:t>
      </w:r>
    </w:p>
    <w:p w14:paraId="524C82A2" w14:textId="2D4A9015" w:rsidR="000B5AE0" w:rsidRPr="007F16EB" w:rsidRDefault="000B5AE0" w:rsidP="00036337">
      <w:pPr>
        <w:spacing w:after="240"/>
      </w:pPr>
      <w:r w:rsidRPr="007F16EB">
        <w:t xml:space="preserve">Time apportioned </w:t>
      </w:r>
      <w:r w:rsidR="001E4B9A" w:rsidRPr="007F16EB">
        <w:t xml:space="preserve">214/365 </w:t>
      </w:r>
      <w:r w:rsidR="001E4B9A" w:rsidRPr="007F16EB">
        <w:tab/>
      </w:r>
      <w:r w:rsidR="001E4B9A" w:rsidRPr="007F16EB">
        <w:tab/>
      </w:r>
      <w:r w:rsidR="001E4B9A" w:rsidRPr="007F16EB">
        <w:tab/>
      </w:r>
      <w:r w:rsidR="001E4B9A" w:rsidRPr="007F16EB">
        <w:tab/>
      </w:r>
      <w:r w:rsidR="001E4B9A" w:rsidRPr="007F16EB">
        <w:tab/>
      </w:r>
      <w:r w:rsidR="001E4B9A" w:rsidRPr="007F16EB">
        <w:tab/>
      </w:r>
      <w:r w:rsidR="001E4B9A" w:rsidRPr="007F16EB">
        <w:tab/>
      </w:r>
      <w:r w:rsidR="001E4B9A" w:rsidRPr="007F16EB">
        <w:tab/>
        <w:t>73,792</w:t>
      </w:r>
    </w:p>
    <w:p w14:paraId="5ADC7591" w14:textId="1EF48D6D" w:rsidR="00B93ED9" w:rsidRPr="007F16EB" w:rsidRDefault="00B93ED9" w:rsidP="00036337">
      <w:pPr>
        <w:spacing w:after="240"/>
      </w:pPr>
      <w:r w:rsidRPr="007F16EB">
        <w:t>Less pension overlap (in full)</w:t>
      </w:r>
      <w:r w:rsidRPr="007F16EB">
        <w:tab/>
      </w:r>
      <w:r w:rsidRPr="007F16EB">
        <w:tab/>
      </w:r>
      <w:r w:rsidRPr="007F16EB">
        <w:tab/>
      </w:r>
      <w:r w:rsidRPr="007F16EB">
        <w:tab/>
      </w:r>
      <w:r w:rsidRPr="007F16EB">
        <w:tab/>
      </w:r>
      <w:r w:rsidRPr="007F16EB">
        <w:tab/>
      </w:r>
      <w:r w:rsidRPr="007F16EB">
        <w:tab/>
      </w:r>
      <w:r w:rsidR="006B7C22" w:rsidRPr="007F16EB">
        <w:tab/>
      </w:r>
      <w:r w:rsidRPr="007F16EB">
        <w:rPr>
          <w:u w:val="single"/>
        </w:rPr>
        <w:t>(87,692)</w:t>
      </w:r>
    </w:p>
    <w:p w14:paraId="36C383E8" w14:textId="660AFFBF" w:rsidR="006B7C22" w:rsidRPr="007F16EB" w:rsidRDefault="00376AA6" w:rsidP="00036337">
      <w:pPr>
        <w:spacing w:after="240"/>
      </w:pPr>
      <w:r w:rsidRPr="007F16EB">
        <w:t xml:space="preserve">Pensionable </w:t>
      </w:r>
      <w:r w:rsidR="001E4B9A" w:rsidRPr="007F16EB">
        <w:t xml:space="preserve">loss </w:t>
      </w:r>
      <w:r w:rsidRPr="007F16EB">
        <w:t xml:space="preserve">in the standard period </w:t>
      </w:r>
      <w:r w:rsidRPr="007F16EB">
        <w:tab/>
      </w:r>
      <w:r w:rsidRPr="007F16EB">
        <w:tab/>
      </w:r>
      <w:r w:rsidRPr="007F16EB">
        <w:tab/>
      </w:r>
      <w:r w:rsidRPr="007F16EB">
        <w:tab/>
      </w:r>
      <w:r w:rsidRPr="007F16EB">
        <w:tab/>
      </w:r>
      <w:r w:rsidR="006B7C22" w:rsidRPr="007F16EB">
        <w:tab/>
      </w:r>
      <w:r w:rsidR="00C335F6" w:rsidRPr="007F16EB">
        <w:rPr>
          <w:u w:val="single"/>
        </w:rPr>
        <w:t>(13,900)</w:t>
      </w:r>
    </w:p>
    <w:p w14:paraId="7CEF9B43" w14:textId="77777777" w:rsidR="004328A0" w:rsidRPr="007F16EB" w:rsidRDefault="004328A0" w:rsidP="00036337">
      <w:pPr>
        <w:spacing w:after="240"/>
      </w:pPr>
    </w:p>
    <w:p w14:paraId="05F3D3D8" w14:textId="413081C8" w:rsidR="00DC5AF4" w:rsidRPr="007F16EB" w:rsidRDefault="00DC5AF4" w:rsidP="00036337">
      <w:pPr>
        <w:spacing w:after="240"/>
      </w:pPr>
      <w:r w:rsidRPr="007F16EB">
        <w:t xml:space="preserve">Overall </w:t>
      </w:r>
      <w:r w:rsidR="00E71D7D" w:rsidRPr="007F16EB">
        <w:t xml:space="preserve">NHS </w:t>
      </w:r>
      <w:r w:rsidRPr="007F16EB">
        <w:t>profit period ended 31/03/2024</w:t>
      </w:r>
      <w:r w:rsidRPr="007F16EB">
        <w:tab/>
      </w:r>
      <w:r w:rsidRPr="007F16EB">
        <w:tab/>
      </w:r>
      <w:r w:rsidRPr="007F16EB">
        <w:tab/>
      </w:r>
      <w:r w:rsidRPr="007F16EB">
        <w:tab/>
      </w:r>
      <w:r w:rsidR="00E71D7D" w:rsidRPr="007F16EB">
        <w:tab/>
      </w:r>
      <w:r w:rsidR="00E71D7D" w:rsidRPr="007F16EB">
        <w:tab/>
      </w:r>
      <w:r w:rsidRPr="007F16EB">
        <w:t>85,218</w:t>
      </w:r>
    </w:p>
    <w:p w14:paraId="7CFDF307" w14:textId="1A8D8613" w:rsidR="00AD6AC4" w:rsidRPr="007F16EB" w:rsidRDefault="00E71D7D" w:rsidP="00036337">
      <w:pPr>
        <w:spacing w:after="240"/>
        <w:rPr>
          <w:u w:val="single"/>
        </w:rPr>
      </w:pPr>
      <w:r w:rsidRPr="007F16EB">
        <w:t xml:space="preserve">Time apportioned </w:t>
      </w:r>
      <w:r w:rsidR="00DC5AF4" w:rsidRPr="007F16EB">
        <w:t>184/274</w:t>
      </w:r>
      <w:r w:rsidR="00DC5AF4" w:rsidRPr="007F16EB">
        <w:tab/>
      </w:r>
      <w:r w:rsidR="00DC5AF4" w:rsidRPr="007F16EB">
        <w:tab/>
      </w:r>
      <w:r w:rsidR="00DC5AF4" w:rsidRPr="007F16EB">
        <w:tab/>
      </w:r>
      <w:r w:rsidR="00DC5AF4" w:rsidRPr="007F16EB">
        <w:tab/>
      </w:r>
      <w:r w:rsidR="00DC5AF4" w:rsidRPr="007F16EB">
        <w:tab/>
      </w:r>
      <w:r w:rsidR="00DC5AF4" w:rsidRPr="007F16EB">
        <w:tab/>
      </w:r>
      <w:r w:rsidR="00DC5AF4" w:rsidRPr="007F16EB">
        <w:tab/>
      </w:r>
      <w:r w:rsidR="00DC5AF4" w:rsidRPr="007F16EB">
        <w:tab/>
      </w:r>
      <w:r w:rsidR="00DC5AF4" w:rsidRPr="007F16EB">
        <w:rPr>
          <w:u w:val="single"/>
        </w:rPr>
        <w:t>57,227</w:t>
      </w:r>
    </w:p>
    <w:bookmarkEnd w:id="48"/>
    <w:bookmarkEnd w:id="49"/>
    <w:p w14:paraId="031DD8FD" w14:textId="77777777" w:rsidR="002179D1" w:rsidRPr="007F16EB" w:rsidRDefault="00A66D15" w:rsidP="00036337">
      <w:pPr>
        <w:spacing w:after="240"/>
      </w:pPr>
      <w:r w:rsidRPr="007F16EB">
        <w:t xml:space="preserve">Total of pensionable profits in the 2023/24 </w:t>
      </w:r>
      <w:r w:rsidR="00700361" w:rsidRPr="007F16EB">
        <w:t xml:space="preserve">pension year will then be </w:t>
      </w:r>
    </w:p>
    <w:p w14:paraId="5FFCDD1C" w14:textId="2406F133" w:rsidR="007F16EB" w:rsidRPr="00332D67" w:rsidRDefault="00700361" w:rsidP="00036337">
      <w:pPr>
        <w:spacing w:after="240"/>
        <w:rPr>
          <w:u w:val="single"/>
        </w:rPr>
      </w:pPr>
      <w:r w:rsidRPr="007F16EB">
        <w:t>£57227 -</w:t>
      </w:r>
      <w:r w:rsidR="00194631" w:rsidRPr="007F16EB">
        <w:t xml:space="preserve"> </w:t>
      </w:r>
      <w:r w:rsidRPr="007F16EB">
        <w:t>£13900</w:t>
      </w:r>
      <w:r w:rsidR="00194631" w:rsidRPr="007F16EB">
        <w:t xml:space="preserve"> </w:t>
      </w:r>
      <w:r w:rsidRPr="007F16EB">
        <w:t xml:space="preserve">= </w:t>
      </w:r>
      <w:r w:rsidR="00A15B66" w:rsidRPr="007F16EB">
        <w:t xml:space="preserve">   </w:t>
      </w:r>
      <w:r w:rsidRPr="007F16EB">
        <w:rPr>
          <w:u w:val="single"/>
        </w:rPr>
        <w:t>£43,326</w:t>
      </w:r>
    </w:p>
    <w:p w14:paraId="2DEA5D7E" w14:textId="0C9C3729" w:rsidR="000C608B" w:rsidRPr="007F16EB" w:rsidRDefault="006567C6" w:rsidP="00036337">
      <w:pPr>
        <w:spacing w:after="240"/>
      </w:pPr>
      <w:r w:rsidRPr="007F16EB">
        <w:t xml:space="preserve">There may well </w:t>
      </w:r>
      <w:r w:rsidR="00C67453" w:rsidRPr="007F16EB">
        <w:t xml:space="preserve">be a significant amount of transition period taxable profit that is spread over </w:t>
      </w:r>
      <w:r w:rsidR="006F1C30" w:rsidRPr="007F16EB">
        <w:t xml:space="preserve">5 </w:t>
      </w:r>
      <w:r w:rsidR="00C67453" w:rsidRPr="007F16EB">
        <w:t>years</w:t>
      </w:r>
      <w:r w:rsidR="00AD6AC4" w:rsidRPr="007F16EB">
        <w:t>,</w:t>
      </w:r>
      <w:r w:rsidR="006A6449" w:rsidRPr="007F16EB">
        <w:t xml:space="preserve"> but as the opt out for pension purposes occurred in the standard </w:t>
      </w:r>
      <w:r w:rsidR="00871027" w:rsidRPr="007F16EB">
        <w:t xml:space="preserve">period </w:t>
      </w:r>
      <w:r w:rsidR="006A6449" w:rsidRPr="007F16EB">
        <w:t>the overlap is fully utilised.</w:t>
      </w:r>
    </w:p>
    <w:p w14:paraId="6B03D2E9" w14:textId="77777777" w:rsidR="00332D67" w:rsidRDefault="000C608B" w:rsidP="00036337">
      <w:pPr>
        <w:spacing w:after="240"/>
        <w:sectPr w:rsidR="00332D67">
          <w:footerReference w:type="default" r:id="rId20"/>
          <w:pgSz w:w="11906" w:h="16838"/>
          <w:pgMar w:top="1440" w:right="1440" w:bottom="1440" w:left="1440" w:header="708" w:footer="708" w:gutter="0"/>
          <w:cols w:space="708"/>
          <w:docGrid w:linePitch="360"/>
        </w:sectPr>
      </w:pPr>
      <w:r w:rsidRPr="007F16EB">
        <w:t>Had a long set of accounts been prepared</w:t>
      </w:r>
      <w:r w:rsidR="00B24226" w:rsidRPr="007F16EB">
        <w:t>,</w:t>
      </w:r>
      <w:r w:rsidRPr="007F16EB">
        <w:t xml:space="preserve"> the total </w:t>
      </w:r>
      <w:r w:rsidR="00C05246" w:rsidRPr="007F16EB">
        <w:t>639-day</w:t>
      </w:r>
      <w:r w:rsidRPr="007F16EB">
        <w:t xml:space="preserve"> period would need apportioning 214/639 days to </w:t>
      </w:r>
      <w:r w:rsidR="00194865" w:rsidRPr="007F16EB">
        <w:t>enter</w:t>
      </w:r>
      <w:r w:rsidRPr="007F16EB">
        <w:t xml:space="preserve"> </w:t>
      </w:r>
      <w:r w:rsidR="006A4306" w:rsidRPr="007F16EB">
        <w:t xml:space="preserve">for </w:t>
      </w:r>
      <w:r w:rsidRPr="007F16EB">
        <w:t>the standard period boxes and 184/639 in the transition period boxes, with the pension overlap claim</w:t>
      </w:r>
      <w:r w:rsidR="006A4306" w:rsidRPr="007F16EB">
        <w:t>ed</w:t>
      </w:r>
      <w:r w:rsidRPr="007F16EB">
        <w:t xml:space="preserve"> against the </w:t>
      </w:r>
      <w:r w:rsidR="00C05246" w:rsidRPr="007F16EB">
        <w:t xml:space="preserve">standard period </w:t>
      </w:r>
      <w:r w:rsidRPr="007F16EB">
        <w:t>element.</w:t>
      </w:r>
      <w:bookmarkStart w:id="50" w:name="_Hlk179803819"/>
    </w:p>
    <w:p w14:paraId="410DC124" w14:textId="35D18E0A" w:rsidR="00B24226" w:rsidRPr="00332D67" w:rsidRDefault="000C608B" w:rsidP="00332D67">
      <w:pPr>
        <w:pStyle w:val="Heading3"/>
        <w:numPr>
          <w:ilvl w:val="0"/>
          <w:numId w:val="49"/>
        </w:numPr>
      </w:pPr>
      <w:bookmarkStart w:id="51" w:name="_Toc184040842"/>
      <w:r w:rsidRPr="005B63EA">
        <w:lastRenderedPageBreak/>
        <w:t>Standard year end 30/06. GP membership follows this pattern:</w:t>
      </w:r>
      <w:bookmarkStart w:id="52" w:name="_Hlk179302045"/>
      <w:bookmarkEnd w:id="50"/>
      <w:bookmarkEnd w:id="51"/>
    </w:p>
    <w:p w14:paraId="0B8E75FA" w14:textId="1C1A8930" w:rsidR="000C608B" w:rsidRPr="008B1434" w:rsidRDefault="000C608B" w:rsidP="00332D67">
      <w:pPr>
        <w:spacing w:before="360" w:after="240"/>
        <w:rPr>
          <w:sz w:val="22"/>
          <w:szCs w:val="22"/>
        </w:rPr>
      </w:pPr>
      <w:r w:rsidRPr="008B1434">
        <w:rPr>
          <w:sz w:val="22"/>
          <w:szCs w:val="22"/>
        </w:rPr>
        <w:t xml:space="preserve">Opted in </w:t>
      </w:r>
      <w:r w:rsidRPr="008B1434">
        <w:rPr>
          <w:sz w:val="22"/>
          <w:szCs w:val="22"/>
        </w:rPr>
        <w:tab/>
        <w:t>01/07/2022 – 30/04/2023 (304 days)</w:t>
      </w:r>
    </w:p>
    <w:p w14:paraId="7350B1F7" w14:textId="4B1BEED4" w:rsidR="000C608B" w:rsidRPr="008B1434" w:rsidRDefault="000C608B" w:rsidP="00036337">
      <w:pPr>
        <w:spacing w:after="240"/>
        <w:rPr>
          <w:sz w:val="22"/>
          <w:szCs w:val="22"/>
        </w:rPr>
      </w:pPr>
      <w:r w:rsidRPr="008B1434">
        <w:rPr>
          <w:sz w:val="22"/>
          <w:szCs w:val="22"/>
        </w:rPr>
        <w:t xml:space="preserve">Opted out </w:t>
      </w:r>
      <w:r w:rsidRPr="008B1434">
        <w:rPr>
          <w:sz w:val="22"/>
          <w:szCs w:val="22"/>
        </w:rPr>
        <w:tab/>
        <w:t>01/05/2023 – 28/02/2024 (304 days)</w:t>
      </w:r>
    </w:p>
    <w:p w14:paraId="79C83FC3" w14:textId="70F5786E" w:rsidR="000C608B" w:rsidRPr="008B1434" w:rsidRDefault="000C608B" w:rsidP="00036337">
      <w:pPr>
        <w:spacing w:after="240"/>
        <w:rPr>
          <w:sz w:val="22"/>
          <w:szCs w:val="22"/>
        </w:rPr>
      </w:pPr>
      <w:r w:rsidRPr="008B1434">
        <w:rPr>
          <w:sz w:val="22"/>
          <w:szCs w:val="22"/>
        </w:rPr>
        <w:t xml:space="preserve">Opted in </w:t>
      </w:r>
      <w:r w:rsidRPr="008B1434">
        <w:rPr>
          <w:sz w:val="22"/>
          <w:szCs w:val="22"/>
        </w:rPr>
        <w:tab/>
        <w:t>01/03/2024 – 31/03/2024 (31 days)</w:t>
      </w:r>
    </w:p>
    <w:bookmarkEnd w:id="52"/>
    <w:p w14:paraId="63731ED3" w14:textId="4342F59E" w:rsidR="00B24226" w:rsidRDefault="000C608B" w:rsidP="00332D67">
      <w:pPr>
        <w:spacing w:after="360"/>
        <w:rPr>
          <w:sz w:val="22"/>
          <w:szCs w:val="22"/>
        </w:rPr>
      </w:pPr>
      <w:r w:rsidRPr="008B1434">
        <w:rPr>
          <w:sz w:val="22"/>
          <w:szCs w:val="22"/>
        </w:rPr>
        <w:t>Total period covers 639 days.</w:t>
      </w:r>
    </w:p>
    <w:p w14:paraId="4F70927A" w14:textId="3D242217" w:rsidR="00DA0E19" w:rsidRDefault="000C608B" w:rsidP="00036337">
      <w:pPr>
        <w:spacing w:after="240"/>
        <w:rPr>
          <w:sz w:val="22"/>
          <w:szCs w:val="22"/>
        </w:rPr>
      </w:pPr>
      <w:r w:rsidRPr="008B1434">
        <w:rPr>
          <w:sz w:val="22"/>
          <w:szCs w:val="22"/>
        </w:rPr>
        <w:t xml:space="preserve">There </w:t>
      </w:r>
      <w:r w:rsidR="00934083" w:rsidRPr="008B1434">
        <w:rPr>
          <w:sz w:val="22"/>
          <w:szCs w:val="22"/>
        </w:rPr>
        <w:t xml:space="preserve">is only one opt out </w:t>
      </w:r>
      <w:r w:rsidRPr="008B1434">
        <w:rPr>
          <w:sz w:val="22"/>
          <w:szCs w:val="22"/>
        </w:rPr>
        <w:t>point in the overall accounting period that needs to be considered for the 2023/24 certificate, being 30/0</w:t>
      </w:r>
      <w:r w:rsidR="00934083" w:rsidRPr="008B1434">
        <w:rPr>
          <w:sz w:val="22"/>
          <w:szCs w:val="22"/>
        </w:rPr>
        <w:t>4</w:t>
      </w:r>
      <w:r w:rsidRPr="008B1434">
        <w:rPr>
          <w:sz w:val="22"/>
          <w:szCs w:val="22"/>
        </w:rPr>
        <w:t>/202</w:t>
      </w:r>
      <w:r w:rsidR="00934083" w:rsidRPr="008B1434">
        <w:rPr>
          <w:sz w:val="22"/>
          <w:szCs w:val="22"/>
        </w:rPr>
        <w:t>3</w:t>
      </w:r>
      <w:r w:rsidRPr="008B1434">
        <w:rPr>
          <w:sz w:val="22"/>
          <w:szCs w:val="22"/>
        </w:rPr>
        <w:t xml:space="preserve"> and </w:t>
      </w:r>
      <w:r w:rsidR="00934083" w:rsidRPr="008B1434">
        <w:rPr>
          <w:sz w:val="22"/>
          <w:szCs w:val="22"/>
        </w:rPr>
        <w:t xml:space="preserve">this falls within the standard period accounting year end of </w:t>
      </w:r>
      <w:r w:rsidRPr="008B1434">
        <w:rPr>
          <w:sz w:val="22"/>
          <w:szCs w:val="22"/>
        </w:rPr>
        <w:t>3</w:t>
      </w:r>
      <w:r w:rsidR="00934083" w:rsidRPr="008B1434">
        <w:rPr>
          <w:sz w:val="22"/>
          <w:szCs w:val="22"/>
        </w:rPr>
        <w:t>0</w:t>
      </w:r>
      <w:r w:rsidRPr="008B1434">
        <w:rPr>
          <w:sz w:val="22"/>
          <w:szCs w:val="22"/>
        </w:rPr>
        <w:t>/</w:t>
      </w:r>
      <w:r w:rsidR="00934083" w:rsidRPr="008B1434">
        <w:rPr>
          <w:sz w:val="22"/>
          <w:szCs w:val="22"/>
        </w:rPr>
        <w:t>06</w:t>
      </w:r>
      <w:r w:rsidRPr="008B1434">
        <w:rPr>
          <w:sz w:val="22"/>
          <w:szCs w:val="22"/>
        </w:rPr>
        <w:t>/2023.</w:t>
      </w:r>
    </w:p>
    <w:p w14:paraId="7F89FE67" w14:textId="77777777" w:rsidR="00F56E6A" w:rsidRPr="008B1434" w:rsidRDefault="00F56E6A" w:rsidP="00036337">
      <w:pPr>
        <w:spacing w:after="240"/>
        <w:rPr>
          <w:sz w:val="22"/>
          <w:szCs w:val="22"/>
        </w:rPr>
      </w:pPr>
    </w:p>
    <w:p w14:paraId="3C63587E" w14:textId="5C2B1265" w:rsidR="003901C8" w:rsidRPr="008B1434" w:rsidRDefault="003901C8" w:rsidP="00036337">
      <w:pPr>
        <w:spacing w:after="240"/>
        <w:rPr>
          <w:sz w:val="22"/>
          <w:szCs w:val="22"/>
        </w:rPr>
      </w:pPr>
      <w:r w:rsidRPr="008B1434">
        <w:rPr>
          <w:sz w:val="22"/>
          <w:szCs w:val="22"/>
        </w:rPr>
        <w:t xml:space="preserve">Overall </w:t>
      </w:r>
      <w:r w:rsidR="005E4BDC" w:rsidRPr="008B1434">
        <w:rPr>
          <w:sz w:val="22"/>
          <w:szCs w:val="22"/>
        </w:rPr>
        <w:t xml:space="preserve">NHS </w:t>
      </w:r>
      <w:r w:rsidRPr="008B1434">
        <w:rPr>
          <w:sz w:val="22"/>
          <w:szCs w:val="22"/>
        </w:rPr>
        <w:t>profit year ended 30/06/2023</w:t>
      </w:r>
      <w:r w:rsidRPr="008B1434">
        <w:rPr>
          <w:sz w:val="22"/>
          <w:szCs w:val="22"/>
        </w:rPr>
        <w:tab/>
      </w:r>
      <w:r w:rsidRPr="008B1434">
        <w:rPr>
          <w:sz w:val="22"/>
          <w:szCs w:val="22"/>
        </w:rPr>
        <w:tab/>
      </w:r>
      <w:r w:rsidRPr="008B1434">
        <w:rPr>
          <w:sz w:val="22"/>
          <w:szCs w:val="22"/>
        </w:rPr>
        <w:tab/>
      </w:r>
      <w:r w:rsidRPr="008B1434">
        <w:rPr>
          <w:sz w:val="22"/>
          <w:szCs w:val="22"/>
        </w:rPr>
        <w:tab/>
      </w:r>
      <w:r w:rsidR="00DA0E19" w:rsidRPr="008B1434">
        <w:rPr>
          <w:sz w:val="22"/>
          <w:szCs w:val="22"/>
        </w:rPr>
        <w:tab/>
      </w:r>
      <w:r w:rsidR="005E4BDC" w:rsidRPr="008B1434">
        <w:rPr>
          <w:sz w:val="22"/>
          <w:szCs w:val="22"/>
        </w:rPr>
        <w:tab/>
      </w:r>
      <w:r w:rsidRPr="008B1434">
        <w:rPr>
          <w:sz w:val="22"/>
          <w:szCs w:val="22"/>
        </w:rPr>
        <w:t>125,861</w:t>
      </w:r>
    </w:p>
    <w:p w14:paraId="4A469BC9" w14:textId="7B6D89C0" w:rsidR="003901C8" w:rsidRPr="008B1434" w:rsidRDefault="003901C8" w:rsidP="00036337">
      <w:pPr>
        <w:spacing w:after="240"/>
        <w:rPr>
          <w:sz w:val="22"/>
          <w:szCs w:val="22"/>
        </w:rPr>
      </w:pPr>
      <w:r w:rsidRPr="008B1434">
        <w:rPr>
          <w:sz w:val="22"/>
          <w:szCs w:val="22"/>
        </w:rPr>
        <w:t xml:space="preserve">Overall </w:t>
      </w:r>
      <w:r w:rsidR="005E4BDC" w:rsidRPr="008B1434">
        <w:rPr>
          <w:sz w:val="22"/>
          <w:szCs w:val="22"/>
        </w:rPr>
        <w:t>NHS</w:t>
      </w:r>
      <w:r w:rsidRPr="008B1434">
        <w:rPr>
          <w:sz w:val="22"/>
          <w:szCs w:val="22"/>
        </w:rPr>
        <w:t xml:space="preserve"> profit period ended 31/03/2024</w:t>
      </w:r>
      <w:r w:rsidRPr="008B1434">
        <w:rPr>
          <w:sz w:val="22"/>
          <w:szCs w:val="22"/>
        </w:rPr>
        <w:tab/>
      </w:r>
      <w:r w:rsidRPr="008B1434">
        <w:rPr>
          <w:sz w:val="22"/>
          <w:szCs w:val="22"/>
        </w:rPr>
        <w:tab/>
      </w:r>
      <w:r w:rsidRPr="008B1434">
        <w:rPr>
          <w:sz w:val="22"/>
          <w:szCs w:val="22"/>
        </w:rPr>
        <w:tab/>
      </w:r>
      <w:r w:rsidRPr="008B1434">
        <w:rPr>
          <w:sz w:val="22"/>
          <w:szCs w:val="22"/>
        </w:rPr>
        <w:tab/>
      </w:r>
      <w:r w:rsidR="00DA0E19" w:rsidRPr="008B1434">
        <w:rPr>
          <w:sz w:val="22"/>
          <w:szCs w:val="22"/>
        </w:rPr>
        <w:tab/>
      </w:r>
      <w:r w:rsidR="005E4BDC" w:rsidRPr="008B1434">
        <w:rPr>
          <w:sz w:val="22"/>
          <w:szCs w:val="22"/>
        </w:rPr>
        <w:tab/>
      </w:r>
      <w:r w:rsidRPr="008B1434">
        <w:rPr>
          <w:sz w:val="22"/>
          <w:szCs w:val="22"/>
        </w:rPr>
        <w:t>85,218</w:t>
      </w:r>
    </w:p>
    <w:p w14:paraId="719DF2E9" w14:textId="77777777" w:rsidR="003901C8" w:rsidRPr="008B1434" w:rsidRDefault="003901C8" w:rsidP="00036337">
      <w:pPr>
        <w:spacing w:after="240"/>
        <w:rPr>
          <w:sz w:val="22"/>
          <w:szCs w:val="22"/>
        </w:rPr>
      </w:pPr>
      <w:r w:rsidRPr="008B1434">
        <w:rPr>
          <w:sz w:val="22"/>
          <w:szCs w:val="22"/>
        </w:rPr>
        <w:t>Pensionable profit within year ended 30/06/2023 for opted in period</w:t>
      </w:r>
    </w:p>
    <w:p w14:paraId="537CC530" w14:textId="48C4984D" w:rsidR="003901C8" w:rsidRPr="008B1434" w:rsidRDefault="003901C8" w:rsidP="00036337">
      <w:pPr>
        <w:spacing w:after="240"/>
        <w:rPr>
          <w:sz w:val="22"/>
          <w:szCs w:val="22"/>
        </w:rPr>
      </w:pPr>
      <w:r w:rsidRPr="008B1434">
        <w:rPr>
          <w:sz w:val="22"/>
          <w:szCs w:val="22"/>
        </w:rPr>
        <w:t>125,861 x 304/365</w:t>
      </w:r>
      <w:r w:rsidRPr="008B1434">
        <w:rPr>
          <w:sz w:val="22"/>
          <w:szCs w:val="22"/>
        </w:rPr>
        <w:tab/>
      </w:r>
      <w:r w:rsidRPr="008B1434">
        <w:rPr>
          <w:sz w:val="22"/>
          <w:szCs w:val="22"/>
        </w:rPr>
        <w:tab/>
      </w:r>
      <w:r w:rsidRPr="008B1434">
        <w:rPr>
          <w:sz w:val="22"/>
          <w:szCs w:val="22"/>
        </w:rPr>
        <w:tab/>
      </w:r>
      <w:r w:rsidRPr="008B1434">
        <w:rPr>
          <w:sz w:val="22"/>
          <w:szCs w:val="22"/>
        </w:rPr>
        <w:tab/>
      </w:r>
      <w:r w:rsidRPr="008B1434">
        <w:rPr>
          <w:sz w:val="22"/>
          <w:szCs w:val="22"/>
        </w:rPr>
        <w:tab/>
      </w:r>
      <w:r w:rsidRPr="008B1434">
        <w:rPr>
          <w:sz w:val="22"/>
          <w:szCs w:val="22"/>
        </w:rPr>
        <w:tab/>
      </w:r>
      <w:r w:rsidRPr="008B1434">
        <w:rPr>
          <w:sz w:val="22"/>
          <w:szCs w:val="22"/>
        </w:rPr>
        <w:tab/>
      </w:r>
      <w:r w:rsidRPr="008B1434">
        <w:rPr>
          <w:sz w:val="22"/>
          <w:szCs w:val="22"/>
        </w:rPr>
        <w:tab/>
      </w:r>
      <w:r w:rsidR="00DA0E19" w:rsidRPr="008B1434">
        <w:rPr>
          <w:sz w:val="22"/>
          <w:szCs w:val="22"/>
        </w:rPr>
        <w:tab/>
      </w:r>
      <w:r w:rsidR="00996E84" w:rsidRPr="008B1434">
        <w:rPr>
          <w:sz w:val="22"/>
          <w:szCs w:val="22"/>
        </w:rPr>
        <w:t>107</w:t>
      </w:r>
      <w:r w:rsidRPr="008B1434">
        <w:rPr>
          <w:sz w:val="22"/>
          <w:szCs w:val="22"/>
        </w:rPr>
        <w:t>,</w:t>
      </w:r>
      <w:r w:rsidR="00996E84" w:rsidRPr="008B1434">
        <w:rPr>
          <w:sz w:val="22"/>
          <w:szCs w:val="22"/>
        </w:rPr>
        <w:t>325</w:t>
      </w:r>
    </w:p>
    <w:p w14:paraId="49BD3476" w14:textId="607095D0" w:rsidR="00996E84" w:rsidRPr="008B1434" w:rsidRDefault="00996E84" w:rsidP="00036337">
      <w:pPr>
        <w:spacing w:after="240"/>
        <w:rPr>
          <w:sz w:val="22"/>
          <w:szCs w:val="22"/>
        </w:rPr>
      </w:pPr>
      <w:r w:rsidRPr="008B1434">
        <w:rPr>
          <w:sz w:val="22"/>
          <w:szCs w:val="22"/>
        </w:rPr>
        <w:t xml:space="preserve">Less pension </w:t>
      </w:r>
      <w:proofErr w:type="gramStart"/>
      <w:r w:rsidRPr="008B1434">
        <w:rPr>
          <w:sz w:val="22"/>
          <w:szCs w:val="22"/>
        </w:rPr>
        <w:t>overlap</w:t>
      </w:r>
      <w:proofErr w:type="gramEnd"/>
      <w:r w:rsidR="00D040A7" w:rsidRPr="008B1434">
        <w:rPr>
          <w:sz w:val="22"/>
          <w:szCs w:val="22"/>
        </w:rPr>
        <w:t xml:space="preserve"> at </w:t>
      </w:r>
      <w:r w:rsidR="00A8485F" w:rsidRPr="008B1434">
        <w:rPr>
          <w:sz w:val="22"/>
          <w:szCs w:val="22"/>
        </w:rPr>
        <w:t>30/04/2023</w:t>
      </w:r>
      <w:r w:rsidRPr="008B1434">
        <w:rPr>
          <w:sz w:val="22"/>
          <w:szCs w:val="22"/>
        </w:rPr>
        <w:tab/>
      </w:r>
      <w:r w:rsidRPr="008B1434">
        <w:rPr>
          <w:sz w:val="22"/>
          <w:szCs w:val="22"/>
        </w:rPr>
        <w:tab/>
      </w:r>
      <w:r w:rsidRPr="008B1434">
        <w:rPr>
          <w:sz w:val="22"/>
          <w:szCs w:val="22"/>
        </w:rPr>
        <w:tab/>
      </w:r>
      <w:r w:rsidRPr="008B1434">
        <w:rPr>
          <w:sz w:val="22"/>
          <w:szCs w:val="22"/>
        </w:rPr>
        <w:tab/>
      </w:r>
      <w:r w:rsidRPr="008B1434">
        <w:rPr>
          <w:sz w:val="22"/>
          <w:szCs w:val="22"/>
        </w:rPr>
        <w:tab/>
      </w:r>
      <w:r w:rsidR="00DA0E19" w:rsidRPr="008B1434">
        <w:rPr>
          <w:sz w:val="22"/>
          <w:szCs w:val="22"/>
        </w:rPr>
        <w:tab/>
      </w:r>
      <w:r w:rsidR="00DA0E19" w:rsidRPr="008B1434">
        <w:rPr>
          <w:sz w:val="22"/>
          <w:szCs w:val="22"/>
        </w:rPr>
        <w:tab/>
      </w:r>
      <w:r w:rsidRPr="008B1434">
        <w:rPr>
          <w:sz w:val="22"/>
          <w:szCs w:val="22"/>
          <w:u w:val="single"/>
        </w:rPr>
        <w:t>(87,692)</w:t>
      </w:r>
    </w:p>
    <w:p w14:paraId="1E2FAE94" w14:textId="41500098" w:rsidR="00996E84" w:rsidRPr="008B1434" w:rsidRDefault="00996E84" w:rsidP="00036337">
      <w:pPr>
        <w:spacing w:after="240"/>
        <w:rPr>
          <w:sz w:val="22"/>
          <w:szCs w:val="22"/>
          <w:u w:val="single"/>
        </w:rPr>
      </w:pPr>
      <w:r w:rsidRPr="008B1434">
        <w:rPr>
          <w:sz w:val="22"/>
          <w:szCs w:val="22"/>
        </w:rPr>
        <w:t>Standard period pensionable profits</w:t>
      </w:r>
      <w:r w:rsidRPr="008B1434">
        <w:rPr>
          <w:sz w:val="22"/>
          <w:szCs w:val="22"/>
        </w:rPr>
        <w:tab/>
      </w:r>
      <w:r w:rsidRPr="008B1434">
        <w:rPr>
          <w:sz w:val="22"/>
          <w:szCs w:val="22"/>
        </w:rPr>
        <w:tab/>
      </w:r>
      <w:r w:rsidRPr="008B1434">
        <w:rPr>
          <w:sz w:val="22"/>
          <w:szCs w:val="22"/>
        </w:rPr>
        <w:tab/>
      </w:r>
      <w:r w:rsidRPr="008B1434">
        <w:rPr>
          <w:sz w:val="22"/>
          <w:szCs w:val="22"/>
        </w:rPr>
        <w:tab/>
      </w:r>
      <w:r w:rsidRPr="008B1434">
        <w:rPr>
          <w:sz w:val="22"/>
          <w:szCs w:val="22"/>
        </w:rPr>
        <w:tab/>
      </w:r>
      <w:r w:rsidRPr="008B1434">
        <w:rPr>
          <w:sz w:val="22"/>
          <w:szCs w:val="22"/>
        </w:rPr>
        <w:tab/>
      </w:r>
      <w:r w:rsidR="00DA0E19" w:rsidRPr="008B1434">
        <w:rPr>
          <w:sz w:val="22"/>
          <w:szCs w:val="22"/>
        </w:rPr>
        <w:tab/>
      </w:r>
      <w:r w:rsidRPr="008B1434">
        <w:rPr>
          <w:sz w:val="22"/>
          <w:szCs w:val="22"/>
          <w:u w:val="single"/>
        </w:rPr>
        <w:t>19,633</w:t>
      </w:r>
    </w:p>
    <w:p w14:paraId="0F6C2CD9" w14:textId="77777777" w:rsidR="003901C8" w:rsidRPr="008B1434" w:rsidRDefault="003901C8" w:rsidP="00036337">
      <w:pPr>
        <w:spacing w:after="240"/>
        <w:rPr>
          <w:sz w:val="22"/>
          <w:szCs w:val="22"/>
        </w:rPr>
      </w:pPr>
      <w:r w:rsidRPr="008B1434">
        <w:rPr>
          <w:sz w:val="22"/>
          <w:szCs w:val="22"/>
        </w:rPr>
        <w:t>Pensionable profit within period ended 31/03/2024 for opted in period</w:t>
      </w:r>
    </w:p>
    <w:p w14:paraId="670C40F8" w14:textId="010D354F" w:rsidR="003901C8" w:rsidRPr="008B1434" w:rsidRDefault="003901C8" w:rsidP="00036337">
      <w:pPr>
        <w:spacing w:after="240"/>
        <w:rPr>
          <w:sz w:val="22"/>
          <w:szCs w:val="22"/>
          <w:u w:val="single"/>
        </w:rPr>
      </w:pPr>
      <w:r w:rsidRPr="008B1434">
        <w:rPr>
          <w:sz w:val="22"/>
          <w:szCs w:val="22"/>
        </w:rPr>
        <w:t xml:space="preserve">85,218 x </w:t>
      </w:r>
      <w:r w:rsidR="00996E84" w:rsidRPr="008B1434">
        <w:rPr>
          <w:sz w:val="22"/>
          <w:szCs w:val="22"/>
        </w:rPr>
        <w:t>31</w:t>
      </w:r>
      <w:r w:rsidRPr="008B1434">
        <w:rPr>
          <w:sz w:val="22"/>
          <w:szCs w:val="22"/>
        </w:rPr>
        <w:t>/274</w:t>
      </w:r>
      <w:r w:rsidRPr="008B1434">
        <w:rPr>
          <w:sz w:val="22"/>
          <w:szCs w:val="22"/>
        </w:rPr>
        <w:tab/>
      </w:r>
      <w:r w:rsidRPr="008B1434">
        <w:rPr>
          <w:sz w:val="22"/>
          <w:szCs w:val="22"/>
        </w:rPr>
        <w:tab/>
      </w:r>
      <w:r w:rsidRPr="008B1434">
        <w:rPr>
          <w:sz w:val="22"/>
          <w:szCs w:val="22"/>
        </w:rPr>
        <w:tab/>
      </w:r>
      <w:r w:rsidRPr="008B1434">
        <w:rPr>
          <w:sz w:val="22"/>
          <w:szCs w:val="22"/>
        </w:rPr>
        <w:tab/>
      </w:r>
      <w:r w:rsidRPr="008B1434">
        <w:rPr>
          <w:sz w:val="22"/>
          <w:szCs w:val="22"/>
        </w:rPr>
        <w:tab/>
      </w:r>
      <w:r w:rsidRPr="008B1434">
        <w:rPr>
          <w:sz w:val="22"/>
          <w:szCs w:val="22"/>
        </w:rPr>
        <w:tab/>
      </w:r>
      <w:r w:rsidRPr="008B1434">
        <w:rPr>
          <w:sz w:val="22"/>
          <w:szCs w:val="22"/>
        </w:rPr>
        <w:tab/>
      </w:r>
      <w:r w:rsidRPr="008B1434">
        <w:rPr>
          <w:sz w:val="22"/>
          <w:szCs w:val="22"/>
        </w:rPr>
        <w:tab/>
      </w:r>
      <w:r w:rsidR="00E63DD8">
        <w:rPr>
          <w:sz w:val="22"/>
          <w:szCs w:val="22"/>
        </w:rPr>
        <w:tab/>
      </w:r>
      <w:r w:rsidR="00996E84" w:rsidRPr="008B1434">
        <w:rPr>
          <w:sz w:val="22"/>
          <w:szCs w:val="22"/>
          <w:u w:val="single"/>
        </w:rPr>
        <w:t>9</w:t>
      </w:r>
      <w:r w:rsidRPr="008B1434">
        <w:rPr>
          <w:sz w:val="22"/>
          <w:szCs w:val="22"/>
          <w:u w:val="single"/>
        </w:rPr>
        <w:t>,</w:t>
      </w:r>
      <w:r w:rsidR="00996E84" w:rsidRPr="008B1434">
        <w:rPr>
          <w:sz w:val="22"/>
          <w:szCs w:val="22"/>
          <w:u w:val="single"/>
        </w:rPr>
        <w:t>641</w:t>
      </w:r>
    </w:p>
    <w:p w14:paraId="12D51B03" w14:textId="77777777" w:rsidR="00F56E6A" w:rsidRDefault="00F56E6A" w:rsidP="00036337">
      <w:pPr>
        <w:spacing w:after="240"/>
        <w:rPr>
          <w:sz w:val="22"/>
          <w:szCs w:val="22"/>
        </w:rPr>
      </w:pPr>
    </w:p>
    <w:p w14:paraId="61F17D48" w14:textId="68395867" w:rsidR="00996E84" w:rsidRPr="008B1434" w:rsidRDefault="00C866A4" w:rsidP="00036337">
      <w:pPr>
        <w:spacing w:after="240"/>
        <w:rPr>
          <w:sz w:val="22"/>
          <w:szCs w:val="22"/>
        </w:rPr>
      </w:pPr>
      <w:r w:rsidRPr="008B1434">
        <w:rPr>
          <w:sz w:val="22"/>
          <w:szCs w:val="22"/>
        </w:rPr>
        <w:t xml:space="preserve">The total pensionable profit for the period is </w:t>
      </w:r>
      <w:r w:rsidR="00397A18" w:rsidRPr="008B1434">
        <w:rPr>
          <w:sz w:val="22"/>
          <w:szCs w:val="22"/>
        </w:rPr>
        <w:t xml:space="preserve">potentially </w:t>
      </w:r>
      <w:r w:rsidRPr="008B1434">
        <w:rPr>
          <w:sz w:val="22"/>
          <w:szCs w:val="22"/>
        </w:rPr>
        <w:t>£29,274 (19,633 + 9,641)</w:t>
      </w:r>
      <w:r w:rsidR="00F56E6A">
        <w:rPr>
          <w:sz w:val="22"/>
          <w:szCs w:val="22"/>
        </w:rPr>
        <w:t>,</w:t>
      </w:r>
      <w:r w:rsidR="00397A18" w:rsidRPr="008B1434">
        <w:rPr>
          <w:sz w:val="22"/>
          <w:szCs w:val="22"/>
        </w:rPr>
        <w:t xml:space="preserve"> but i</w:t>
      </w:r>
      <w:r w:rsidR="00066AF3" w:rsidRPr="008B1434">
        <w:rPr>
          <w:sz w:val="22"/>
          <w:szCs w:val="22"/>
        </w:rPr>
        <w:t xml:space="preserve">f the GP has </w:t>
      </w:r>
      <w:r w:rsidR="008C5E30" w:rsidRPr="008B1434">
        <w:rPr>
          <w:sz w:val="22"/>
          <w:szCs w:val="22"/>
        </w:rPr>
        <w:t xml:space="preserve">taxable profits that are spread over </w:t>
      </w:r>
      <w:r w:rsidR="007421A6">
        <w:rPr>
          <w:sz w:val="22"/>
          <w:szCs w:val="22"/>
        </w:rPr>
        <w:t>5</w:t>
      </w:r>
      <w:r w:rsidR="007421A6" w:rsidRPr="008B1434">
        <w:rPr>
          <w:sz w:val="22"/>
          <w:szCs w:val="22"/>
        </w:rPr>
        <w:t xml:space="preserve"> </w:t>
      </w:r>
      <w:r w:rsidR="008C5E30" w:rsidRPr="008B1434">
        <w:rPr>
          <w:sz w:val="22"/>
          <w:szCs w:val="22"/>
        </w:rPr>
        <w:t>years, the £9,641</w:t>
      </w:r>
      <w:r w:rsidR="00415BAB" w:rsidRPr="008B1434">
        <w:rPr>
          <w:sz w:val="22"/>
          <w:szCs w:val="22"/>
        </w:rPr>
        <w:t xml:space="preserve"> must also be spread</w:t>
      </w:r>
      <w:r w:rsidR="007737ED" w:rsidRPr="008B1434">
        <w:rPr>
          <w:sz w:val="22"/>
          <w:szCs w:val="22"/>
        </w:rPr>
        <w:t xml:space="preserve"> over </w:t>
      </w:r>
      <w:r w:rsidR="002179D1">
        <w:rPr>
          <w:sz w:val="22"/>
          <w:szCs w:val="22"/>
        </w:rPr>
        <w:t>5</w:t>
      </w:r>
      <w:r w:rsidR="002179D1" w:rsidRPr="008B1434">
        <w:rPr>
          <w:sz w:val="22"/>
          <w:szCs w:val="22"/>
        </w:rPr>
        <w:t xml:space="preserve"> </w:t>
      </w:r>
      <w:r w:rsidR="007737ED" w:rsidRPr="008B1434">
        <w:rPr>
          <w:sz w:val="22"/>
          <w:szCs w:val="22"/>
        </w:rPr>
        <w:t>years</w:t>
      </w:r>
      <w:r w:rsidR="00F73492" w:rsidRPr="008B1434">
        <w:rPr>
          <w:sz w:val="22"/>
          <w:szCs w:val="22"/>
        </w:rPr>
        <w:t xml:space="preserve"> </w:t>
      </w:r>
      <w:r w:rsidR="00996E84" w:rsidRPr="008B1434">
        <w:rPr>
          <w:sz w:val="22"/>
          <w:szCs w:val="22"/>
        </w:rPr>
        <w:t>at £1,928 per year.</w:t>
      </w:r>
    </w:p>
    <w:p w14:paraId="75F55C52" w14:textId="77777777" w:rsidR="004328A0" w:rsidRPr="008B1434" w:rsidRDefault="004328A0" w:rsidP="00036337">
      <w:pPr>
        <w:spacing w:after="240"/>
        <w:rPr>
          <w:sz w:val="22"/>
          <w:szCs w:val="22"/>
        </w:rPr>
      </w:pPr>
    </w:p>
    <w:p w14:paraId="1841BFA2" w14:textId="77777777" w:rsidR="007F16EB" w:rsidRDefault="007F16EB" w:rsidP="00036337">
      <w:pPr>
        <w:spacing w:after="240"/>
        <w:rPr>
          <w:rFonts w:eastAsiaTheme="majorEastAsia" w:cstheme="majorBidi"/>
          <w:b/>
          <w:color w:val="005EB8"/>
          <w:sz w:val="28"/>
          <w:szCs w:val="32"/>
          <w:highlight w:val="lightGray"/>
        </w:rPr>
      </w:pPr>
      <w:bookmarkStart w:id="53" w:name="_Hlk179803842"/>
      <w:r>
        <w:rPr>
          <w:highlight w:val="lightGray"/>
        </w:rPr>
        <w:br w:type="page"/>
      </w:r>
    </w:p>
    <w:p w14:paraId="776B4752" w14:textId="185464CB" w:rsidR="00C866A4" w:rsidRPr="00332D67" w:rsidRDefault="0055505F" w:rsidP="00332D67">
      <w:pPr>
        <w:pStyle w:val="Heading3"/>
        <w:numPr>
          <w:ilvl w:val="0"/>
          <w:numId w:val="49"/>
        </w:numPr>
      </w:pPr>
      <w:bookmarkStart w:id="54" w:name="_Toc184040843"/>
      <w:r w:rsidRPr="005B63EA">
        <w:lastRenderedPageBreak/>
        <w:t>Standard year end 30/06. GP membership follows this pattern:</w:t>
      </w:r>
      <w:bookmarkEnd w:id="53"/>
      <w:bookmarkEnd w:id="54"/>
    </w:p>
    <w:p w14:paraId="74316F52" w14:textId="6A0BEB34" w:rsidR="0055505F" w:rsidRPr="008B1434" w:rsidRDefault="0055505F" w:rsidP="00332D67">
      <w:pPr>
        <w:spacing w:before="360" w:after="240"/>
        <w:rPr>
          <w:sz w:val="22"/>
          <w:szCs w:val="22"/>
        </w:rPr>
      </w:pPr>
      <w:r w:rsidRPr="008B1434">
        <w:rPr>
          <w:sz w:val="22"/>
          <w:szCs w:val="22"/>
        </w:rPr>
        <w:t>Opted in</w:t>
      </w:r>
      <w:r w:rsidR="00650355" w:rsidRPr="008B1434">
        <w:rPr>
          <w:sz w:val="22"/>
          <w:szCs w:val="22"/>
        </w:rPr>
        <w:tab/>
      </w:r>
      <w:r w:rsidRPr="008B1434">
        <w:rPr>
          <w:sz w:val="22"/>
          <w:szCs w:val="22"/>
        </w:rPr>
        <w:t>01/07/2022 – 30/06/2023 (365 days)</w:t>
      </w:r>
    </w:p>
    <w:p w14:paraId="278888EA" w14:textId="00A28120" w:rsidR="0055505F" w:rsidRPr="008B1434" w:rsidRDefault="0055505F" w:rsidP="00036337">
      <w:pPr>
        <w:spacing w:after="240"/>
        <w:rPr>
          <w:sz w:val="22"/>
          <w:szCs w:val="22"/>
        </w:rPr>
      </w:pPr>
      <w:r w:rsidRPr="008B1434">
        <w:rPr>
          <w:sz w:val="22"/>
          <w:szCs w:val="22"/>
        </w:rPr>
        <w:t xml:space="preserve">Opted </w:t>
      </w:r>
      <w:r w:rsidR="000346B2" w:rsidRPr="008B1434">
        <w:rPr>
          <w:sz w:val="22"/>
          <w:szCs w:val="22"/>
        </w:rPr>
        <w:t xml:space="preserve">in </w:t>
      </w:r>
      <w:r w:rsidR="00650355" w:rsidRPr="008B1434">
        <w:rPr>
          <w:sz w:val="22"/>
          <w:szCs w:val="22"/>
        </w:rPr>
        <w:tab/>
      </w:r>
      <w:r w:rsidRPr="008B1434">
        <w:rPr>
          <w:sz w:val="22"/>
          <w:szCs w:val="22"/>
        </w:rPr>
        <w:t xml:space="preserve">01/07/2023 – </w:t>
      </w:r>
      <w:r w:rsidR="000346B2" w:rsidRPr="008B1434">
        <w:rPr>
          <w:sz w:val="22"/>
          <w:szCs w:val="22"/>
        </w:rPr>
        <w:t>30/09/2023</w:t>
      </w:r>
      <w:r w:rsidRPr="008B1434">
        <w:rPr>
          <w:sz w:val="22"/>
          <w:szCs w:val="22"/>
        </w:rPr>
        <w:t xml:space="preserve"> (</w:t>
      </w:r>
      <w:r w:rsidR="000346B2" w:rsidRPr="008B1434">
        <w:rPr>
          <w:sz w:val="22"/>
          <w:szCs w:val="22"/>
        </w:rPr>
        <w:t>92 days</w:t>
      </w:r>
      <w:r w:rsidRPr="008B1434">
        <w:rPr>
          <w:sz w:val="22"/>
          <w:szCs w:val="22"/>
        </w:rPr>
        <w:t>)</w:t>
      </w:r>
    </w:p>
    <w:p w14:paraId="3BF930AE" w14:textId="6B78E7A8" w:rsidR="0055505F" w:rsidRPr="008B1434" w:rsidRDefault="0055505F" w:rsidP="00036337">
      <w:pPr>
        <w:spacing w:after="240"/>
        <w:rPr>
          <w:sz w:val="22"/>
          <w:szCs w:val="22"/>
        </w:rPr>
      </w:pPr>
      <w:r w:rsidRPr="008B1434">
        <w:rPr>
          <w:sz w:val="22"/>
          <w:szCs w:val="22"/>
        </w:rPr>
        <w:t xml:space="preserve">Opted </w:t>
      </w:r>
      <w:r w:rsidR="000346B2" w:rsidRPr="008B1434">
        <w:rPr>
          <w:sz w:val="22"/>
          <w:szCs w:val="22"/>
        </w:rPr>
        <w:t>out</w:t>
      </w:r>
      <w:r w:rsidRPr="008B1434">
        <w:rPr>
          <w:sz w:val="22"/>
          <w:szCs w:val="22"/>
        </w:rPr>
        <w:t xml:space="preserve"> </w:t>
      </w:r>
      <w:r w:rsidRPr="008B1434">
        <w:rPr>
          <w:sz w:val="22"/>
          <w:szCs w:val="22"/>
        </w:rPr>
        <w:tab/>
        <w:t>01/</w:t>
      </w:r>
      <w:r w:rsidR="000346B2" w:rsidRPr="008B1434">
        <w:rPr>
          <w:sz w:val="22"/>
          <w:szCs w:val="22"/>
        </w:rPr>
        <w:t>10</w:t>
      </w:r>
      <w:r w:rsidRPr="008B1434">
        <w:rPr>
          <w:sz w:val="22"/>
          <w:szCs w:val="22"/>
        </w:rPr>
        <w:t>/202</w:t>
      </w:r>
      <w:r w:rsidR="000346B2" w:rsidRPr="008B1434">
        <w:rPr>
          <w:sz w:val="22"/>
          <w:szCs w:val="22"/>
        </w:rPr>
        <w:t>3</w:t>
      </w:r>
      <w:r w:rsidRPr="008B1434">
        <w:rPr>
          <w:sz w:val="22"/>
          <w:szCs w:val="22"/>
        </w:rPr>
        <w:t xml:space="preserve"> – 31/03/2024 (</w:t>
      </w:r>
      <w:r w:rsidR="00D21983" w:rsidRPr="008B1434">
        <w:rPr>
          <w:sz w:val="22"/>
          <w:szCs w:val="22"/>
        </w:rPr>
        <w:t>182 days</w:t>
      </w:r>
      <w:r w:rsidRPr="008B1434">
        <w:rPr>
          <w:sz w:val="22"/>
          <w:szCs w:val="22"/>
        </w:rPr>
        <w:t>)</w:t>
      </w:r>
    </w:p>
    <w:p w14:paraId="3D17F951" w14:textId="15C0F8D9" w:rsidR="003901C8" w:rsidRPr="008B1434" w:rsidRDefault="00D21983" w:rsidP="00036337">
      <w:pPr>
        <w:spacing w:after="240"/>
        <w:rPr>
          <w:sz w:val="22"/>
          <w:szCs w:val="22"/>
        </w:rPr>
      </w:pPr>
      <w:r w:rsidRPr="008B1434">
        <w:rPr>
          <w:sz w:val="22"/>
          <w:szCs w:val="22"/>
        </w:rPr>
        <w:t xml:space="preserve">The </w:t>
      </w:r>
      <w:r w:rsidR="001E7DAC" w:rsidRPr="008B1434">
        <w:rPr>
          <w:sz w:val="22"/>
          <w:szCs w:val="22"/>
        </w:rPr>
        <w:t>overlap is crystalised at the opt out date being 30/09/</w:t>
      </w:r>
      <w:r w:rsidR="00AD66E9">
        <w:rPr>
          <w:sz w:val="22"/>
          <w:szCs w:val="22"/>
        </w:rPr>
        <w:t>20</w:t>
      </w:r>
      <w:r w:rsidR="001E7DAC" w:rsidRPr="008B1434">
        <w:rPr>
          <w:sz w:val="22"/>
          <w:szCs w:val="22"/>
        </w:rPr>
        <w:t>23</w:t>
      </w:r>
    </w:p>
    <w:p w14:paraId="7443853B" w14:textId="77777777" w:rsidR="003F37E9" w:rsidRDefault="003F37E9" w:rsidP="00036337">
      <w:pPr>
        <w:spacing w:after="240"/>
        <w:rPr>
          <w:sz w:val="22"/>
          <w:szCs w:val="22"/>
        </w:rPr>
      </w:pPr>
    </w:p>
    <w:p w14:paraId="41BA51F3" w14:textId="2B4AEBC4" w:rsidR="00D21983" w:rsidRPr="008B1434" w:rsidRDefault="00D21983" w:rsidP="00036337">
      <w:pPr>
        <w:spacing w:after="240"/>
        <w:rPr>
          <w:sz w:val="22"/>
          <w:szCs w:val="22"/>
        </w:rPr>
      </w:pPr>
      <w:r w:rsidRPr="008B1434">
        <w:rPr>
          <w:sz w:val="22"/>
          <w:szCs w:val="22"/>
        </w:rPr>
        <w:t xml:space="preserve">Overall </w:t>
      </w:r>
      <w:r w:rsidR="00A33190" w:rsidRPr="008B1434">
        <w:rPr>
          <w:sz w:val="22"/>
          <w:szCs w:val="22"/>
        </w:rPr>
        <w:t xml:space="preserve">NHS </w:t>
      </w:r>
      <w:r w:rsidRPr="008B1434">
        <w:rPr>
          <w:sz w:val="22"/>
          <w:szCs w:val="22"/>
        </w:rPr>
        <w:t>profit year ended 30/06/2023</w:t>
      </w:r>
      <w:r w:rsidRPr="008B1434">
        <w:rPr>
          <w:sz w:val="22"/>
          <w:szCs w:val="22"/>
        </w:rPr>
        <w:tab/>
      </w:r>
      <w:r w:rsidRPr="008B1434">
        <w:rPr>
          <w:sz w:val="22"/>
          <w:szCs w:val="22"/>
        </w:rPr>
        <w:tab/>
      </w:r>
      <w:r w:rsidRPr="008B1434">
        <w:rPr>
          <w:sz w:val="22"/>
          <w:szCs w:val="22"/>
        </w:rPr>
        <w:tab/>
      </w:r>
      <w:r w:rsidRPr="008B1434">
        <w:rPr>
          <w:sz w:val="22"/>
          <w:szCs w:val="22"/>
        </w:rPr>
        <w:tab/>
      </w:r>
      <w:r w:rsidRPr="008B1434">
        <w:rPr>
          <w:sz w:val="22"/>
          <w:szCs w:val="22"/>
        </w:rPr>
        <w:tab/>
      </w:r>
      <w:r w:rsidR="00A8485F" w:rsidRPr="008B1434">
        <w:rPr>
          <w:sz w:val="22"/>
          <w:szCs w:val="22"/>
        </w:rPr>
        <w:tab/>
      </w:r>
      <w:r w:rsidRPr="008B1434">
        <w:rPr>
          <w:sz w:val="22"/>
          <w:szCs w:val="22"/>
        </w:rPr>
        <w:t>125,861</w:t>
      </w:r>
    </w:p>
    <w:p w14:paraId="23E69BC4" w14:textId="1579F8C0" w:rsidR="00D21983" w:rsidRPr="008B1434" w:rsidRDefault="00D21983" w:rsidP="00036337">
      <w:pPr>
        <w:spacing w:after="240"/>
        <w:rPr>
          <w:sz w:val="22"/>
          <w:szCs w:val="22"/>
        </w:rPr>
      </w:pPr>
      <w:r w:rsidRPr="008B1434">
        <w:rPr>
          <w:sz w:val="22"/>
          <w:szCs w:val="22"/>
        </w:rPr>
        <w:t xml:space="preserve">Overall </w:t>
      </w:r>
      <w:r w:rsidR="00A33190" w:rsidRPr="008B1434">
        <w:rPr>
          <w:sz w:val="22"/>
          <w:szCs w:val="22"/>
        </w:rPr>
        <w:t xml:space="preserve">NHS </w:t>
      </w:r>
      <w:r w:rsidRPr="008B1434">
        <w:rPr>
          <w:sz w:val="22"/>
          <w:szCs w:val="22"/>
        </w:rPr>
        <w:t>profit period ended 31/03/2024</w:t>
      </w:r>
      <w:r w:rsidRPr="008B1434">
        <w:rPr>
          <w:sz w:val="22"/>
          <w:szCs w:val="22"/>
        </w:rPr>
        <w:tab/>
      </w:r>
      <w:r w:rsidRPr="008B1434">
        <w:rPr>
          <w:sz w:val="22"/>
          <w:szCs w:val="22"/>
        </w:rPr>
        <w:tab/>
      </w:r>
      <w:r w:rsidRPr="008B1434">
        <w:rPr>
          <w:sz w:val="22"/>
          <w:szCs w:val="22"/>
        </w:rPr>
        <w:tab/>
      </w:r>
      <w:r w:rsidRPr="008B1434">
        <w:rPr>
          <w:sz w:val="22"/>
          <w:szCs w:val="22"/>
        </w:rPr>
        <w:tab/>
      </w:r>
      <w:r w:rsidRPr="008B1434">
        <w:rPr>
          <w:sz w:val="22"/>
          <w:szCs w:val="22"/>
        </w:rPr>
        <w:tab/>
      </w:r>
      <w:r w:rsidR="008B1434">
        <w:rPr>
          <w:sz w:val="22"/>
          <w:szCs w:val="22"/>
        </w:rPr>
        <w:t xml:space="preserve">   </w:t>
      </w:r>
      <w:r w:rsidR="00A8485F" w:rsidRPr="008B1434">
        <w:rPr>
          <w:sz w:val="22"/>
          <w:szCs w:val="22"/>
        </w:rPr>
        <w:tab/>
      </w:r>
      <w:r w:rsidRPr="008B1434">
        <w:rPr>
          <w:sz w:val="22"/>
          <w:szCs w:val="22"/>
        </w:rPr>
        <w:t>85,218</w:t>
      </w:r>
    </w:p>
    <w:p w14:paraId="60F2626D" w14:textId="77777777" w:rsidR="00D21983" w:rsidRPr="008B1434" w:rsidRDefault="00D21983" w:rsidP="00036337">
      <w:pPr>
        <w:spacing w:after="240"/>
        <w:rPr>
          <w:sz w:val="22"/>
          <w:szCs w:val="22"/>
        </w:rPr>
      </w:pPr>
      <w:r w:rsidRPr="008B1434">
        <w:rPr>
          <w:sz w:val="22"/>
          <w:szCs w:val="22"/>
        </w:rPr>
        <w:t>Pensionable profit within year ended 30/06/2023 for opted in period</w:t>
      </w:r>
    </w:p>
    <w:p w14:paraId="4DB6E097" w14:textId="1C69A575" w:rsidR="00D21983" w:rsidRPr="008B1434" w:rsidRDefault="00D21983" w:rsidP="00036337">
      <w:pPr>
        <w:spacing w:after="240"/>
        <w:rPr>
          <w:sz w:val="22"/>
          <w:szCs w:val="22"/>
        </w:rPr>
      </w:pPr>
      <w:r w:rsidRPr="008B1434">
        <w:rPr>
          <w:sz w:val="22"/>
          <w:szCs w:val="22"/>
        </w:rPr>
        <w:t xml:space="preserve">125,861 x </w:t>
      </w:r>
      <w:r w:rsidR="00A33190" w:rsidRPr="008B1434">
        <w:rPr>
          <w:sz w:val="22"/>
          <w:szCs w:val="22"/>
        </w:rPr>
        <w:t>365</w:t>
      </w:r>
      <w:r w:rsidRPr="008B1434">
        <w:rPr>
          <w:sz w:val="22"/>
          <w:szCs w:val="22"/>
        </w:rPr>
        <w:t>/365</w:t>
      </w:r>
      <w:r w:rsidRPr="008B1434">
        <w:rPr>
          <w:sz w:val="22"/>
          <w:szCs w:val="22"/>
        </w:rPr>
        <w:tab/>
      </w:r>
      <w:r w:rsidRPr="008B1434">
        <w:rPr>
          <w:sz w:val="22"/>
          <w:szCs w:val="22"/>
        </w:rPr>
        <w:tab/>
      </w:r>
      <w:r w:rsidRPr="008B1434">
        <w:rPr>
          <w:sz w:val="22"/>
          <w:szCs w:val="22"/>
        </w:rPr>
        <w:tab/>
      </w:r>
      <w:r w:rsidRPr="008B1434">
        <w:rPr>
          <w:sz w:val="22"/>
          <w:szCs w:val="22"/>
        </w:rPr>
        <w:tab/>
      </w:r>
      <w:r w:rsidRPr="008B1434">
        <w:rPr>
          <w:sz w:val="22"/>
          <w:szCs w:val="22"/>
        </w:rPr>
        <w:tab/>
      </w:r>
      <w:r w:rsidRPr="008B1434">
        <w:rPr>
          <w:sz w:val="22"/>
          <w:szCs w:val="22"/>
        </w:rPr>
        <w:tab/>
      </w:r>
      <w:r w:rsidRPr="008B1434">
        <w:rPr>
          <w:sz w:val="22"/>
          <w:szCs w:val="22"/>
        </w:rPr>
        <w:tab/>
      </w:r>
      <w:r w:rsidRPr="008B1434">
        <w:rPr>
          <w:sz w:val="22"/>
          <w:szCs w:val="22"/>
        </w:rPr>
        <w:tab/>
      </w:r>
      <w:r w:rsidRPr="008B1434">
        <w:rPr>
          <w:sz w:val="22"/>
          <w:szCs w:val="22"/>
        </w:rPr>
        <w:tab/>
      </w:r>
      <w:r w:rsidR="00A33190" w:rsidRPr="008B1434">
        <w:rPr>
          <w:sz w:val="22"/>
          <w:szCs w:val="22"/>
        </w:rPr>
        <w:t>125861</w:t>
      </w:r>
    </w:p>
    <w:p w14:paraId="29A48E42" w14:textId="1A08FB41" w:rsidR="005A7EE8" w:rsidRPr="008B1434" w:rsidRDefault="005A7EE8" w:rsidP="00036337">
      <w:pPr>
        <w:spacing w:after="240"/>
        <w:rPr>
          <w:sz w:val="22"/>
          <w:szCs w:val="22"/>
          <w:u w:val="single"/>
        </w:rPr>
      </w:pPr>
      <w:r w:rsidRPr="008B1434">
        <w:rPr>
          <w:sz w:val="22"/>
          <w:szCs w:val="22"/>
        </w:rPr>
        <w:t xml:space="preserve">Less transition period loss </w:t>
      </w:r>
      <w:r w:rsidR="00351FD2" w:rsidRPr="008B1434">
        <w:rPr>
          <w:sz w:val="22"/>
          <w:szCs w:val="22"/>
        </w:rPr>
        <w:tab/>
      </w:r>
      <w:r w:rsidR="00351FD2" w:rsidRPr="008B1434">
        <w:rPr>
          <w:sz w:val="22"/>
          <w:szCs w:val="22"/>
        </w:rPr>
        <w:tab/>
      </w:r>
      <w:r w:rsidR="00351FD2" w:rsidRPr="008B1434">
        <w:rPr>
          <w:sz w:val="22"/>
          <w:szCs w:val="22"/>
        </w:rPr>
        <w:tab/>
      </w:r>
      <w:r w:rsidR="00351FD2" w:rsidRPr="008B1434">
        <w:rPr>
          <w:sz w:val="22"/>
          <w:szCs w:val="22"/>
        </w:rPr>
        <w:tab/>
      </w:r>
      <w:r w:rsidR="00351FD2" w:rsidRPr="008B1434">
        <w:rPr>
          <w:sz w:val="22"/>
          <w:szCs w:val="22"/>
        </w:rPr>
        <w:tab/>
      </w:r>
      <w:r w:rsidR="00351FD2" w:rsidRPr="008B1434">
        <w:rPr>
          <w:sz w:val="22"/>
          <w:szCs w:val="22"/>
        </w:rPr>
        <w:tab/>
      </w:r>
      <w:r w:rsidR="00351FD2" w:rsidRPr="008B1434">
        <w:rPr>
          <w:sz w:val="22"/>
          <w:szCs w:val="22"/>
        </w:rPr>
        <w:tab/>
      </w:r>
      <w:r w:rsidR="008B1434">
        <w:rPr>
          <w:sz w:val="22"/>
          <w:szCs w:val="22"/>
        </w:rPr>
        <w:t xml:space="preserve">        </w:t>
      </w:r>
      <w:proofErr w:type="gramStart"/>
      <w:r w:rsidR="008B1434">
        <w:rPr>
          <w:sz w:val="22"/>
          <w:szCs w:val="22"/>
        </w:rPr>
        <w:t xml:space="preserve">   </w:t>
      </w:r>
      <w:r w:rsidR="00351FD2" w:rsidRPr="008B1434">
        <w:rPr>
          <w:sz w:val="22"/>
          <w:szCs w:val="22"/>
          <w:u w:val="single"/>
        </w:rPr>
        <w:t>(</w:t>
      </w:r>
      <w:proofErr w:type="gramEnd"/>
      <w:r w:rsidR="00351FD2" w:rsidRPr="008B1434">
        <w:rPr>
          <w:sz w:val="22"/>
          <w:szCs w:val="22"/>
          <w:u w:val="single"/>
        </w:rPr>
        <w:t>59,079)</w:t>
      </w:r>
    </w:p>
    <w:p w14:paraId="2E4033E2" w14:textId="36A0FEF4" w:rsidR="00351FD2" w:rsidRPr="008B1434" w:rsidRDefault="00351FD2" w:rsidP="00036337">
      <w:pPr>
        <w:spacing w:after="240"/>
        <w:rPr>
          <w:sz w:val="22"/>
          <w:szCs w:val="22"/>
          <w:u w:val="single"/>
        </w:rPr>
      </w:pPr>
      <w:r w:rsidRPr="008B1434">
        <w:rPr>
          <w:sz w:val="22"/>
          <w:szCs w:val="22"/>
        </w:rPr>
        <w:t>Pensionable for the 2023/24 year</w:t>
      </w:r>
      <w:r w:rsidRPr="008B1434">
        <w:rPr>
          <w:sz w:val="22"/>
          <w:szCs w:val="22"/>
        </w:rPr>
        <w:tab/>
      </w:r>
      <w:r w:rsidRPr="008B1434">
        <w:rPr>
          <w:sz w:val="22"/>
          <w:szCs w:val="22"/>
        </w:rPr>
        <w:tab/>
      </w:r>
      <w:r w:rsidRPr="008B1434">
        <w:rPr>
          <w:sz w:val="22"/>
          <w:szCs w:val="22"/>
        </w:rPr>
        <w:tab/>
      </w:r>
      <w:r w:rsidRPr="008B1434">
        <w:rPr>
          <w:sz w:val="22"/>
          <w:szCs w:val="22"/>
        </w:rPr>
        <w:tab/>
      </w:r>
      <w:r w:rsidRPr="008B1434">
        <w:rPr>
          <w:sz w:val="22"/>
          <w:szCs w:val="22"/>
        </w:rPr>
        <w:tab/>
      </w:r>
      <w:r w:rsidRPr="008B1434">
        <w:rPr>
          <w:sz w:val="22"/>
          <w:szCs w:val="22"/>
        </w:rPr>
        <w:tab/>
      </w:r>
      <w:r w:rsidRPr="008B1434">
        <w:rPr>
          <w:sz w:val="22"/>
          <w:szCs w:val="22"/>
        </w:rPr>
        <w:tab/>
      </w:r>
      <w:r w:rsidR="00D1310D" w:rsidRPr="008B1434">
        <w:rPr>
          <w:sz w:val="22"/>
          <w:szCs w:val="22"/>
          <w:u w:val="single"/>
        </w:rPr>
        <w:t>66,782</w:t>
      </w:r>
    </w:p>
    <w:p w14:paraId="26DA3CCA" w14:textId="2A95B4AB" w:rsidR="00F52C89" w:rsidRPr="008B1434" w:rsidRDefault="00F52C89" w:rsidP="00036337">
      <w:pPr>
        <w:spacing w:after="240"/>
        <w:rPr>
          <w:sz w:val="22"/>
          <w:szCs w:val="22"/>
        </w:rPr>
      </w:pPr>
      <w:r w:rsidRPr="008B1434">
        <w:rPr>
          <w:sz w:val="22"/>
          <w:szCs w:val="22"/>
        </w:rPr>
        <w:t>Pensionable profit within period ended 31/03/2024 for opted in period</w:t>
      </w:r>
    </w:p>
    <w:p w14:paraId="1D5AE5D4" w14:textId="522F02AF" w:rsidR="00F52C89" w:rsidRPr="008B1434" w:rsidRDefault="00F52C89" w:rsidP="00036337">
      <w:pPr>
        <w:spacing w:after="240"/>
        <w:rPr>
          <w:sz w:val="22"/>
          <w:szCs w:val="22"/>
        </w:rPr>
      </w:pPr>
      <w:r w:rsidRPr="008B1434">
        <w:rPr>
          <w:sz w:val="22"/>
          <w:szCs w:val="22"/>
        </w:rPr>
        <w:t>85,218 x 92/274</w:t>
      </w:r>
      <w:r w:rsidRPr="008B1434">
        <w:rPr>
          <w:sz w:val="22"/>
          <w:szCs w:val="22"/>
        </w:rPr>
        <w:tab/>
      </w:r>
      <w:r w:rsidRPr="008B1434">
        <w:rPr>
          <w:sz w:val="22"/>
          <w:szCs w:val="22"/>
        </w:rPr>
        <w:tab/>
      </w:r>
      <w:r w:rsidRPr="008B1434">
        <w:rPr>
          <w:sz w:val="22"/>
          <w:szCs w:val="22"/>
        </w:rPr>
        <w:tab/>
      </w:r>
      <w:r w:rsidRPr="008B1434">
        <w:rPr>
          <w:sz w:val="22"/>
          <w:szCs w:val="22"/>
        </w:rPr>
        <w:tab/>
      </w:r>
      <w:r w:rsidRPr="008B1434">
        <w:rPr>
          <w:sz w:val="22"/>
          <w:szCs w:val="22"/>
        </w:rPr>
        <w:tab/>
      </w:r>
      <w:r w:rsidRPr="008B1434">
        <w:rPr>
          <w:sz w:val="22"/>
          <w:szCs w:val="22"/>
        </w:rPr>
        <w:tab/>
      </w:r>
      <w:r w:rsidRPr="008B1434">
        <w:rPr>
          <w:sz w:val="22"/>
          <w:szCs w:val="22"/>
        </w:rPr>
        <w:tab/>
      </w:r>
      <w:r w:rsidRPr="008B1434">
        <w:rPr>
          <w:sz w:val="22"/>
          <w:szCs w:val="22"/>
        </w:rPr>
        <w:tab/>
      </w:r>
      <w:r w:rsidRPr="008B1434">
        <w:rPr>
          <w:sz w:val="22"/>
          <w:szCs w:val="22"/>
        </w:rPr>
        <w:tab/>
      </w:r>
      <w:r w:rsidR="00433E70" w:rsidRPr="008B1434">
        <w:rPr>
          <w:sz w:val="22"/>
          <w:szCs w:val="22"/>
        </w:rPr>
        <w:t>28,613</w:t>
      </w:r>
    </w:p>
    <w:p w14:paraId="667AC41A" w14:textId="39C4159B" w:rsidR="00433E70" w:rsidRPr="008B1434" w:rsidRDefault="00433E70" w:rsidP="00036337">
      <w:pPr>
        <w:spacing w:after="240"/>
        <w:rPr>
          <w:sz w:val="22"/>
          <w:szCs w:val="22"/>
          <w:u w:val="single"/>
        </w:rPr>
      </w:pPr>
      <w:r w:rsidRPr="008B1434">
        <w:rPr>
          <w:sz w:val="22"/>
          <w:szCs w:val="22"/>
        </w:rPr>
        <w:t>Less overlap at 30/09/2023</w:t>
      </w:r>
      <w:r w:rsidRPr="008B1434">
        <w:rPr>
          <w:sz w:val="22"/>
          <w:szCs w:val="22"/>
        </w:rPr>
        <w:tab/>
      </w:r>
      <w:r w:rsidRPr="008B1434">
        <w:rPr>
          <w:sz w:val="22"/>
          <w:szCs w:val="22"/>
        </w:rPr>
        <w:tab/>
      </w:r>
      <w:r w:rsidRPr="008B1434">
        <w:rPr>
          <w:sz w:val="22"/>
          <w:szCs w:val="22"/>
        </w:rPr>
        <w:tab/>
      </w:r>
      <w:r w:rsidRPr="008B1434">
        <w:rPr>
          <w:sz w:val="22"/>
          <w:szCs w:val="22"/>
        </w:rPr>
        <w:tab/>
      </w:r>
      <w:r w:rsidRPr="008B1434">
        <w:rPr>
          <w:sz w:val="22"/>
          <w:szCs w:val="22"/>
        </w:rPr>
        <w:tab/>
      </w:r>
      <w:r w:rsidRPr="008B1434">
        <w:rPr>
          <w:sz w:val="22"/>
          <w:szCs w:val="22"/>
        </w:rPr>
        <w:tab/>
      </w:r>
      <w:r w:rsidRPr="008B1434">
        <w:rPr>
          <w:sz w:val="22"/>
          <w:szCs w:val="22"/>
        </w:rPr>
        <w:tab/>
      </w:r>
      <w:r w:rsidRPr="008B1434">
        <w:rPr>
          <w:sz w:val="22"/>
          <w:szCs w:val="22"/>
        </w:rPr>
        <w:tab/>
      </w:r>
      <w:r w:rsidRPr="008B1434">
        <w:rPr>
          <w:sz w:val="22"/>
          <w:szCs w:val="22"/>
          <w:u w:val="single"/>
        </w:rPr>
        <w:t>(87,692)</w:t>
      </w:r>
    </w:p>
    <w:p w14:paraId="261C6B9B" w14:textId="7086CCD0" w:rsidR="000C608B" w:rsidRPr="008B1434" w:rsidRDefault="00433E70" w:rsidP="00036337">
      <w:pPr>
        <w:spacing w:after="240"/>
        <w:rPr>
          <w:sz w:val="22"/>
          <w:szCs w:val="22"/>
          <w:u w:val="single"/>
        </w:rPr>
      </w:pPr>
      <w:r w:rsidRPr="008B1434">
        <w:rPr>
          <w:sz w:val="22"/>
          <w:szCs w:val="22"/>
        </w:rPr>
        <w:t>Transition period loss</w:t>
      </w:r>
      <w:r w:rsidR="00502CD4" w:rsidRPr="008B1434">
        <w:rPr>
          <w:sz w:val="22"/>
          <w:szCs w:val="22"/>
        </w:rPr>
        <w:t xml:space="preserve"> carried back against standard period profit </w:t>
      </w:r>
      <w:r w:rsidRPr="008B1434">
        <w:rPr>
          <w:sz w:val="22"/>
          <w:szCs w:val="22"/>
        </w:rPr>
        <w:tab/>
      </w:r>
      <w:r w:rsidRPr="008B1434">
        <w:rPr>
          <w:sz w:val="22"/>
          <w:szCs w:val="22"/>
        </w:rPr>
        <w:tab/>
      </w:r>
      <w:r w:rsidRPr="008B1434">
        <w:rPr>
          <w:sz w:val="22"/>
          <w:szCs w:val="22"/>
        </w:rPr>
        <w:tab/>
      </w:r>
      <w:r w:rsidR="005A7EE8" w:rsidRPr="008B1434">
        <w:rPr>
          <w:sz w:val="22"/>
          <w:szCs w:val="22"/>
          <w:u w:val="single"/>
        </w:rPr>
        <w:t xml:space="preserve">(59,079) </w:t>
      </w:r>
    </w:p>
    <w:p w14:paraId="6950DD22" w14:textId="77777777" w:rsidR="00650355" w:rsidRPr="008B1434" w:rsidRDefault="00650355" w:rsidP="00036337">
      <w:pPr>
        <w:spacing w:after="240"/>
        <w:rPr>
          <w:sz w:val="22"/>
          <w:szCs w:val="22"/>
          <w:u w:val="single"/>
        </w:rPr>
      </w:pPr>
    </w:p>
    <w:p w14:paraId="09664504" w14:textId="2BE6D353" w:rsidR="00650355" w:rsidRPr="008B1434" w:rsidRDefault="00650355" w:rsidP="00036337">
      <w:pPr>
        <w:spacing w:after="240"/>
        <w:rPr>
          <w:sz w:val="22"/>
          <w:szCs w:val="22"/>
          <w:u w:val="single"/>
        </w:rPr>
      </w:pPr>
      <w:r w:rsidRPr="008B1434">
        <w:rPr>
          <w:sz w:val="22"/>
          <w:szCs w:val="22"/>
        </w:rPr>
        <w:t>In this case even if the GP has taxable transition profits that are spread there is no pensionable profit to spread</w:t>
      </w:r>
      <w:r w:rsidR="003F37E9">
        <w:rPr>
          <w:sz w:val="22"/>
          <w:szCs w:val="22"/>
        </w:rPr>
        <w:t>.</w:t>
      </w:r>
    </w:p>
    <w:sectPr w:rsidR="00650355" w:rsidRPr="008B143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6" w:author="Holly Cleveland" w:date="2024-11-18T07:54:00Z" w:initials="HC">
    <w:p w14:paraId="06510E83" w14:textId="34AA1C77" w:rsidR="00CE16C0" w:rsidRDefault="00CE16C0" w:rsidP="00CE16C0">
      <w:pPr>
        <w:pStyle w:val="CommentText"/>
      </w:pPr>
      <w:r>
        <w:rPr>
          <w:rStyle w:val="CommentReference"/>
        </w:rPr>
        <w:annotationRef/>
      </w:r>
      <w:r>
        <w:t>Should this match the exact wording of the first lot of a) b) c)</w:t>
      </w:r>
    </w:p>
  </w:comment>
  <w:comment w:id="37" w:author="Holly Cleveland" w:date="2024-11-18T08:39:00Z" w:initials="HC">
    <w:p w14:paraId="7D4CEE86" w14:textId="77777777" w:rsidR="00B02647" w:rsidRDefault="00B02647" w:rsidP="00B02647">
      <w:pPr>
        <w:pStyle w:val="CommentText"/>
      </w:pPr>
      <w:r>
        <w:rPr>
          <w:rStyle w:val="CommentReference"/>
        </w:rPr>
        <w:annotationRef/>
      </w:r>
      <w:r>
        <w:t>Should this match the exact wording of the first lot of a) b) 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6510E83" w15:done="0"/>
  <w15:commentEx w15:paraId="7D4CEE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5EA2142" w16cex:dateUtc="2024-11-18T07:54:00Z"/>
  <w16cex:commentExtensible w16cex:durableId="1394F462" w16cex:dateUtc="2024-11-18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510E83" w16cid:durableId="05EA2142"/>
  <w16cid:commentId w16cid:paraId="7D4CEE86" w16cid:durableId="1394F4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E993A" w14:textId="77777777" w:rsidR="004F58CA" w:rsidRDefault="004F58CA" w:rsidP="00240C8D">
      <w:pPr>
        <w:spacing w:after="0" w:line="240" w:lineRule="auto"/>
      </w:pPr>
      <w:r>
        <w:separator/>
      </w:r>
    </w:p>
  </w:endnote>
  <w:endnote w:type="continuationSeparator" w:id="0">
    <w:p w14:paraId="00677AB9" w14:textId="77777777" w:rsidR="004F58CA" w:rsidRDefault="004F58CA" w:rsidP="00240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7252262"/>
      <w:docPartObj>
        <w:docPartGallery w:val="Page Numbers (Bottom of Page)"/>
        <w:docPartUnique/>
      </w:docPartObj>
    </w:sdtPr>
    <w:sdtEndPr>
      <w:rPr>
        <w:noProof/>
        <w:sz w:val="20"/>
        <w:szCs w:val="20"/>
      </w:rPr>
    </w:sdtEndPr>
    <w:sdtContent>
      <w:p w14:paraId="050F331A" w14:textId="17672A8F" w:rsidR="00240C8D" w:rsidRPr="00AB163A" w:rsidRDefault="00AB163A">
        <w:pPr>
          <w:pStyle w:val="Footer"/>
          <w:jc w:val="right"/>
          <w:rPr>
            <w:sz w:val="20"/>
            <w:szCs w:val="20"/>
          </w:rPr>
        </w:pPr>
        <w:r w:rsidRPr="00AB163A">
          <w:rPr>
            <w:sz w:val="20"/>
            <w:szCs w:val="20"/>
          </w:rPr>
          <w:t xml:space="preserve">GP Certificate of </w:t>
        </w:r>
        <w:r w:rsidR="007F5693">
          <w:rPr>
            <w:sz w:val="20"/>
            <w:szCs w:val="20"/>
          </w:rPr>
          <w:t>p</w:t>
        </w:r>
        <w:r w:rsidRPr="00AB163A">
          <w:rPr>
            <w:sz w:val="20"/>
            <w:szCs w:val="20"/>
          </w:rPr>
          <w:t xml:space="preserve">ensionable profit </w:t>
        </w:r>
        <w:r w:rsidR="008B1434" w:rsidRPr="00AB163A">
          <w:rPr>
            <w:sz w:val="20"/>
            <w:szCs w:val="20"/>
          </w:rPr>
          <w:t xml:space="preserve">2023/24 </w:t>
        </w:r>
        <w:r w:rsidR="007F5693">
          <w:rPr>
            <w:sz w:val="20"/>
            <w:szCs w:val="20"/>
          </w:rPr>
          <w:t>b</w:t>
        </w:r>
        <w:r w:rsidR="008B1434" w:rsidRPr="00AB163A">
          <w:rPr>
            <w:sz w:val="20"/>
            <w:szCs w:val="20"/>
          </w:rPr>
          <w:t xml:space="preserve">asis </w:t>
        </w:r>
        <w:r w:rsidR="007F5693">
          <w:rPr>
            <w:sz w:val="20"/>
            <w:szCs w:val="20"/>
          </w:rPr>
          <w:t>p</w:t>
        </w:r>
        <w:r w:rsidR="008B1434" w:rsidRPr="00AB163A">
          <w:rPr>
            <w:sz w:val="20"/>
            <w:szCs w:val="20"/>
          </w:rPr>
          <w:t xml:space="preserve">eriod </w:t>
        </w:r>
        <w:r w:rsidR="007F5693">
          <w:rPr>
            <w:sz w:val="20"/>
            <w:szCs w:val="20"/>
          </w:rPr>
          <w:t>r</w:t>
        </w:r>
        <w:r w:rsidR="008B1434" w:rsidRPr="00AB163A">
          <w:rPr>
            <w:sz w:val="20"/>
            <w:szCs w:val="20"/>
          </w:rPr>
          <w:t xml:space="preserve">eform </w:t>
        </w:r>
        <w:r w:rsidR="007F5693">
          <w:rPr>
            <w:sz w:val="20"/>
            <w:szCs w:val="20"/>
          </w:rPr>
          <w:t>g</w:t>
        </w:r>
        <w:r w:rsidR="008B1434" w:rsidRPr="00AB163A">
          <w:rPr>
            <w:sz w:val="20"/>
            <w:szCs w:val="20"/>
          </w:rPr>
          <w:t xml:space="preserve">uidance </w:t>
        </w:r>
        <w:r w:rsidR="007F5693">
          <w:rPr>
            <w:sz w:val="20"/>
            <w:szCs w:val="20"/>
          </w:rPr>
          <w:t>n</w:t>
        </w:r>
        <w:r w:rsidR="008B1434" w:rsidRPr="00AB163A">
          <w:rPr>
            <w:sz w:val="20"/>
            <w:szCs w:val="20"/>
          </w:rPr>
          <w:t>ote</w:t>
        </w:r>
        <w:r w:rsidR="007A73C8" w:rsidRPr="00AB163A">
          <w:rPr>
            <w:sz w:val="20"/>
            <w:szCs w:val="20"/>
          </w:rPr>
          <w:t>-20241</w:t>
        </w:r>
        <w:r w:rsidR="00C36A38">
          <w:rPr>
            <w:sz w:val="20"/>
            <w:szCs w:val="20"/>
          </w:rPr>
          <w:t>203</w:t>
        </w:r>
        <w:r w:rsidR="007A73C8" w:rsidRPr="00AB163A">
          <w:rPr>
            <w:sz w:val="20"/>
            <w:szCs w:val="20"/>
          </w:rPr>
          <w:t>-(V</w:t>
        </w:r>
        <w:r w:rsidR="00C36A38">
          <w:rPr>
            <w:sz w:val="20"/>
            <w:szCs w:val="20"/>
          </w:rPr>
          <w:t>2</w:t>
        </w:r>
        <w:r w:rsidR="00CC0352" w:rsidRPr="00AB163A">
          <w:rPr>
            <w:sz w:val="20"/>
            <w:szCs w:val="20"/>
          </w:rPr>
          <w:t>)</w:t>
        </w:r>
        <w:r w:rsidR="008B1434" w:rsidRPr="00AB163A">
          <w:rPr>
            <w:sz w:val="20"/>
            <w:szCs w:val="20"/>
          </w:rPr>
          <w:t xml:space="preserve"> </w:t>
        </w:r>
        <w:r w:rsidR="00240C8D" w:rsidRPr="00AB163A">
          <w:rPr>
            <w:sz w:val="20"/>
            <w:szCs w:val="20"/>
          </w:rPr>
          <w:fldChar w:fldCharType="begin"/>
        </w:r>
        <w:r w:rsidR="00240C8D" w:rsidRPr="00AB163A">
          <w:rPr>
            <w:sz w:val="20"/>
            <w:szCs w:val="20"/>
          </w:rPr>
          <w:instrText xml:space="preserve"> PAGE   \* MERGEFORMAT </w:instrText>
        </w:r>
        <w:r w:rsidR="00240C8D" w:rsidRPr="00AB163A">
          <w:rPr>
            <w:sz w:val="20"/>
            <w:szCs w:val="20"/>
          </w:rPr>
          <w:fldChar w:fldCharType="separate"/>
        </w:r>
        <w:r w:rsidR="00240C8D" w:rsidRPr="00AB163A">
          <w:rPr>
            <w:noProof/>
            <w:sz w:val="20"/>
            <w:szCs w:val="20"/>
          </w:rPr>
          <w:t>2</w:t>
        </w:r>
        <w:r w:rsidR="00240C8D" w:rsidRPr="00AB163A">
          <w:rPr>
            <w:noProof/>
            <w:sz w:val="20"/>
            <w:szCs w:val="20"/>
          </w:rPr>
          <w:fldChar w:fldCharType="end"/>
        </w:r>
      </w:p>
    </w:sdtContent>
  </w:sdt>
  <w:p w14:paraId="536E1215" w14:textId="77777777" w:rsidR="00240C8D" w:rsidRDefault="00240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F030F" w14:textId="77777777" w:rsidR="004F58CA" w:rsidRDefault="004F58CA" w:rsidP="00240C8D">
      <w:pPr>
        <w:spacing w:after="0" w:line="240" w:lineRule="auto"/>
      </w:pPr>
      <w:r>
        <w:separator/>
      </w:r>
    </w:p>
  </w:footnote>
  <w:footnote w:type="continuationSeparator" w:id="0">
    <w:p w14:paraId="789AD6D5" w14:textId="77777777" w:rsidR="004F58CA" w:rsidRDefault="004F58CA" w:rsidP="00240C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C5238"/>
    <w:multiLevelType w:val="hybridMultilevel"/>
    <w:tmpl w:val="DF64AE0A"/>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08304595"/>
    <w:multiLevelType w:val="hybridMultilevel"/>
    <w:tmpl w:val="765881B2"/>
    <w:lvl w:ilvl="0" w:tplc="D65048F6">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3471B6"/>
    <w:multiLevelType w:val="hybridMultilevel"/>
    <w:tmpl w:val="6A5252E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110901"/>
    <w:multiLevelType w:val="hybridMultilevel"/>
    <w:tmpl w:val="9496E1FC"/>
    <w:lvl w:ilvl="0" w:tplc="189C82C8">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8E26BB"/>
    <w:multiLevelType w:val="hybridMultilevel"/>
    <w:tmpl w:val="6F7415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D6320B"/>
    <w:multiLevelType w:val="hybridMultilevel"/>
    <w:tmpl w:val="9F0E8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157298"/>
    <w:multiLevelType w:val="hybridMultilevel"/>
    <w:tmpl w:val="DF64AE0A"/>
    <w:lvl w:ilvl="0" w:tplc="EBE697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481152"/>
    <w:multiLevelType w:val="hybridMultilevel"/>
    <w:tmpl w:val="CA2CB4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B9540B"/>
    <w:multiLevelType w:val="hybridMultilevel"/>
    <w:tmpl w:val="9D486E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663592"/>
    <w:multiLevelType w:val="hybridMultilevel"/>
    <w:tmpl w:val="CD62A1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6177174"/>
    <w:multiLevelType w:val="hybridMultilevel"/>
    <w:tmpl w:val="6F7415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2E23F0"/>
    <w:multiLevelType w:val="hybridMultilevel"/>
    <w:tmpl w:val="504831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3F6CCD"/>
    <w:multiLevelType w:val="hybridMultilevel"/>
    <w:tmpl w:val="DE18D9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482C3B"/>
    <w:multiLevelType w:val="hybridMultilevel"/>
    <w:tmpl w:val="84C26C66"/>
    <w:lvl w:ilvl="0" w:tplc="524823B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DA1E76"/>
    <w:multiLevelType w:val="hybridMultilevel"/>
    <w:tmpl w:val="898E92B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0D75C32"/>
    <w:multiLevelType w:val="hybridMultilevel"/>
    <w:tmpl w:val="51FC83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150C17"/>
    <w:multiLevelType w:val="hybridMultilevel"/>
    <w:tmpl w:val="AB78AA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0170FB"/>
    <w:multiLevelType w:val="hybridMultilevel"/>
    <w:tmpl w:val="2BC6A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EE242F"/>
    <w:multiLevelType w:val="hybridMultilevel"/>
    <w:tmpl w:val="0CD6B1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F52EFF"/>
    <w:multiLevelType w:val="hybridMultilevel"/>
    <w:tmpl w:val="885229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08706A"/>
    <w:multiLevelType w:val="hybridMultilevel"/>
    <w:tmpl w:val="CB3C7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5869A0"/>
    <w:multiLevelType w:val="hybridMultilevel"/>
    <w:tmpl w:val="594059E2"/>
    <w:lvl w:ilvl="0" w:tplc="92FC7C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511842"/>
    <w:multiLevelType w:val="hybridMultilevel"/>
    <w:tmpl w:val="90AE0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8840DA"/>
    <w:multiLevelType w:val="hybridMultilevel"/>
    <w:tmpl w:val="0B9252C0"/>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A82394"/>
    <w:multiLevelType w:val="hybridMultilevel"/>
    <w:tmpl w:val="9FD09A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C57BF5"/>
    <w:multiLevelType w:val="hybridMultilevel"/>
    <w:tmpl w:val="DF6273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292BD1"/>
    <w:multiLevelType w:val="hybridMultilevel"/>
    <w:tmpl w:val="1A06AE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4E777F"/>
    <w:multiLevelType w:val="hybridMultilevel"/>
    <w:tmpl w:val="1CFC6C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723F2D"/>
    <w:multiLevelType w:val="hybridMultilevel"/>
    <w:tmpl w:val="C48850CC"/>
    <w:lvl w:ilvl="0" w:tplc="E89E8968">
      <w:start w:val="4"/>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DDF6E95"/>
    <w:multiLevelType w:val="hybridMultilevel"/>
    <w:tmpl w:val="91E2FF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BF15B0"/>
    <w:multiLevelType w:val="hybridMultilevel"/>
    <w:tmpl w:val="4F46B3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E66F05"/>
    <w:multiLevelType w:val="hybridMultilevel"/>
    <w:tmpl w:val="D520E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100E5E"/>
    <w:multiLevelType w:val="hybridMultilevel"/>
    <w:tmpl w:val="6F7415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51D640E"/>
    <w:multiLevelType w:val="hybridMultilevel"/>
    <w:tmpl w:val="842C07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C400FCF"/>
    <w:multiLevelType w:val="hybridMultilevel"/>
    <w:tmpl w:val="4FFE30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8049A5"/>
    <w:multiLevelType w:val="hybridMultilevel"/>
    <w:tmpl w:val="E8CC56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2A27F0"/>
    <w:multiLevelType w:val="hybridMultilevel"/>
    <w:tmpl w:val="738674B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3F1E96"/>
    <w:multiLevelType w:val="hybridMultilevel"/>
    <w:tmpl w:val="58F405F6"/>
    <w:lvl w:ilvl="0" w:tplc="5E0668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0D04E3"/>
    <w:multiLevelType w:val="hybridMultilevel"/>
    <w:tmpl w:val="2730E1C6"/>
    <w:lvl w:ilvl="0" w:tplc="08090019">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583F87"/>
    <w:multiLevelType w:val="hybridMultilevel"/>
    <w:tmpl w:val="A5D8DA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95167A"/>
    <w:multiLevelType w:val="hybridMultilevel"/>
    <w:tmpl w:val="7168085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6D35267"/>
    <w:multiLevelType w:val="hybridMultilevel"/>
    <w:tmpl w:val="01DCA5A8"/>
    <w:lvl w:ilvl="0" w:tplc="B796AA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6DB7C91"/>
    <w:multiLevelType w:val="hybridMultilevel"/>
    <w:tmpl w:val="533C9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B64B6C"/>
    <w:multiLevelType w:val="hybridMultilevel"/>
    <w:tmpl w:val="3490F2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1A45FA"/>
    <w:multiLevelType w:val="hybridMultilevel"/>
    <w:tmpl w:val="EF82CF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5C21B0"/>
    <w:multiLevelType w:val="hybridMultilevel"/>
    <w:tmpl w:val="3FEC90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6A4D4C"/>
    <w:multiLevelType w:val="hybridMultilevel"/>
    <w:tmpl w:val="31E6A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236ACB"/>
    <w:multiLevelType w:val="hybridMultilevel"/>
    <w:tmpl w:val="B3B2511A"/>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A72839"/>
    <w:multiLevelType w:val="hybridMultilevel"/>
    <w:tmpl w:val="B80406B0"/>
    <w:lvl w:ilvl="0" w:tplc="5B9841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0306504">
    <w:abstractNumId w:val="1"/>
  </w:num>
  <w:num w:numId="2" w16cid:durableId="667681913">
    <w:abstractNumId w:val="24"/>
  </w:num>
  <w:num w:numId="3" w16cid:durableId="1033769741">
    <w:abstractNumId w:val="18"/>
  </w:num>
  <w:num w:numId="4" w16cid:durableId="936869218">
    <w:abstractNumId w:val="41"/>
  </w:num>
  <w:num w:numId="5" w16cid:durableId="1622028158">
    <w:abstractNumId w:val="9"/>
  </w:num>
  <w:num w:numId="6" w16cid:durableId="1190144177">
    <w:abstractNumId w:val="22"/>
  </w:num>
  <w:num w:numId="7" w16cid:durableId="837884833">
    <w:abstractNumId w:val="43"/>
  </w:num>
  <w:num w:numId="8" w16cid:durableId="1923177955">
    <w:abstractNumId w:val="46"/>
  </w:num>
  <w:num w:numId="9" w16cid:durableId="1818300532">
    <w:abstractNumId w:val="31"/>
  </w:num>
  <w:num w:numId="10" w16cid:durableId="2030836486">
    <w:abstractNumId w:val="34"/>
  </w:num>
  <w:num w:numId="11" w16cid:durableId="1415012783">
    <w:abstractNumId w:val="15"/>
  </w:num>
  <w:num w:numId="12" w16cid:durableId="1837764334">
    <w:abstractNumId w:val="33"/>
  </w:num>
  <w:num w:numId="13" w16cid:durableId="1576629949">
    <w:abstractNumId w:val="4"/>
  </w:num>
  <w:num w:numId="14" w16cid:durableId="149560820">
    <w:abstractNumId w:val="40"/>
  </w:num>
  <w:num w:numId="15" w16cid:durableId="10955632">
    <w:abstractNumId w:val="8"/>
  </w:num>
  <w:num w:numId="16" w16cid:durableId="1281719070">
    <w:abstractNumId w:val="6"/>
  </w:num>
  <w:num w:numId="17" w16cid:durableId="651326865">
    <w:abstractNumId w:val="19"/>
  </w:num>
  <w:num w:numId="18" w16cid:durableId="429086793">
    <w:abstractNumId w:val="20"/>
  </w:num>
  <w:num w:numId="19" w16cid:durableId="1433863381">
    <w:abstractNumId w:val="32"/>
  </w:num>
  <w:num w:numId="20" w16cid:durableId="1011373641">
    <w:abstractNumId w:val="10"/>
  </w:num>
  <w:num w:numId="21" w16cid:durableId="95372657">
    <w:abstractNumId w:val="0"/>
  </w:num>
  <w:num w:numId="22" w16cid:durableId="493373532">
    <w:abstractNumId w:val="2"/>
  </w:num>
  <w:num w:numId="23" w16cid:durableId="1424836991">
    <w:abstractNumId w:val="14"/>
  </w:num>
  <w:num w:numId="24" w16cid:durableId="1094790076">
    <w:abstractNumId w:val="3"/>
  </w:num>
  <w:num w:numId="25" w16cid:durableId="1814566627">
    <w:abstractNumId w:val="21"/>
  </w:num>
  <w:num w:numId="26" w16cid:durableId="1680692950">
    <w:abstractNumId w:val="23"/>
  </w:num>
  <w:num w:numId="27" w16cid:durableId="1993018205">
    <w:abstractNumId w:val="17"/>
  </w:num>
  <w:num w:numId="28" w16cid:durableId="1331592341">
    <w:abstractNumId w:val="37"/>
  </w:num>
  <w:num w:numId="29" w16cid:durableId="637682230">
    <w:abstractNumId w:val="16"/>
  </w:num>
  <w:num w:numId="30" w16cid:durableId="668680128">
    <w:abstractNumId w:val="25"/>
  </w:num>
  <w:num w:numId="31" w16cid:durableId="1922522787">
    <w:abstractNumId w:val="12"/>
  </w:num>
  <w:num w:numId="32" w16cid:durableId="802772533">
    <w:abstractNumId w:val="7"/>
  </w:num>
  <w:num w:numId="33" w16cid:durableId="1268197766">
    <w:abstractNumId w:val="13"/>
  </w:num>
  <w:num w:numId="34" w16cid:durableId="205457627">
    <w:abstractNumId w:val="28"/>
  </w:num>
  <w:num w:numId="35" w16cid:durableId="2007515533">
    <w:abstractNumId w:val="26"/>
  </w:num>
  <w:num w:numId="36" w16cid:durableId="437407846">
    <w:abstractNumId w:val="11"/>
  </w:num>
  <w:num w:numId="37" w16cid:durableId="1710302733">
    <w:abstractNumId w:val="44"/>
  </w:num>
  <w:num w:numId="38" w16cid:durableId="1006250478">
    <w:abstractNumId w:val="27"/>
  </w:num>
  <w:num w:numId="39" w16cid:durableId="1148939100">
    <w:abstractNumId w:val="35"/>
  </w:num>
  <w:num w:numId="40" w16cid:durableId="981813256">
    <w:abstractNumId w:val="48"/>
  </w:num>
  <w:num w:numId="41" w16cid:durableId="135268920">
    <w:abstractNumId w:val="29"/>
  </w:num>
  <w:num w:numId="42" w16cid:durableId="1197700043">
    <w:abstractNumId w:val="39"/>
  </w:num>
  <w:num w:numId="43" w16cid:durableId="1183738135">
    <w:abstractNumId w:val="42"/>
  </w:num>
  <w:num w:numId="44" w16cid:durableId="1294873682">
    <w:abstractNumId w:val="47"/>
  </w:num>
  <w:num w:numId="45" w16cid:durableId="17438218">
    <w:abstractNumId w:val="36"/>
  </w:num>
  <w:num w:numId="46" w16cid:durableId="1292173317">
    <w:abstractNumId w:val="30"/>
  </w:num>
  <w:num w:numId="47" w16cid:durableId="1424573013">
    <w:abstractNumId w:val="45"/>
  </w:num>
  <w:num w:numId="48" w16cid:durableId="582304966">
    <w:abstractNumId w:val="38"/>
  </w:num>
  <w:num w:numId="49" w16cid:durableId="38148964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olly Cleveland">
    <w15:presenceInfo w15:providerId="AD" w15:userId="S::HOCLE@nhsbsa.nhs.uk::e6806e45-7595-4c12-85ba-810909766e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D6A"/>
    <w:rsid w:val="00001A78"/>
    <w:rsid w:val="00004E0C"/>
    <w:rsid w:val="00005B74"/>
    <w:rsid w:val="0001687A"/>
    <w:rsid w:val="00017231"/>
    <w:rsid w:val="00020935"/>
    <w:rsid w:val="000346B2"/>
    <w:rsid w:val="00036337"/>
    <w:rsid w:val="000374BE"/>
    <w:rsid w:val="0004585A"/>
    <w:rsid w:val="00047C39"/>
    <w:rsid w:val="00051B7B"/>
    <w:rsid w:val="000538C7"/>
    <w:rsid w:val="000571EC"/>
    <w:rsid w:val="000657E5"/>
    <w:rsid w:val="00066AF3"/>
    <w:rsid w:val="00072AE3"/>
    <w:rsid w:val="00077422"/>
    <w:rsid w:val="00082411"/>
    <w:rsid w:val="000870F7"/>
    <w:rsid w:val="00087164"/>
    <w:rsid w:val="00094281"/>
    <w:rsid w:val="00094DAD"/>
    <w:rsid w:val="000A6674"/>
    <w:rsid w:val="000B4E32"/>
    <w:rsid w:val="000B5AE0"/>
    <w:rsid w:val="000C608B"/>
    <w:rsid w:val="000C7ECD"/>
    <w:rsid w:val="000D711A"/>
    <w:rsid w:val="000D7832"/>
    <w:rsid w:val="000E1D23"/>
    <w:rsid w:val="000E66E9"/>
    <w:rsid w:val="000F51C5"/>
    <w:rsid w:val="000F5245"/>
    <w:rsid w:val="00102959"/>
    <w:rsid w:val="00114B0B"/>
    <w:rsid w:val="0011646A"/>
    <w:rsid w:val="00117C0E"/>
    <w:rsid w:val="00124476"/>
    <w:rsid w:val="001249BB"/>
    <w:rsid w:val="001423CB"/>
    <w:rsid w:val="00155B61"/>
    <w:rsid w:val="00157991"/>
    <w:rsid w:val="00165E88"/>
    <w:rsid w:val="0016783B"/>
    <w:rsid w:val="001712C2"/>
    <w:rsid w:val="00181758"/>
    <w:rsid w:val="00190113"/>
    <w:rsid w:val="00194631"/>
    <w:rsid w:val="0019484A"/>
    <w:rsid w:val="00194865"/>
    <w:rsid w:val="001A0038"/>
    <w:rsid w:val="001A5C13"/>
    <w:rsid w:val="001B2CC7"/>
    <w:rsid w:val="001B3E9B"/>
    <w:rsid w:val="001B5FC7"/>
    <w:rsid w:val="001C2824"/>
    <w:rsid w:val="001D2F03"/>
    <w:rsid w:val="001E4B9A"/>
    <w:rsid w:val="001E7DAC"/>
    <w:rsid w:val="00213CE4"/>
    <w:rsid w:val="00215B90"/>
    <w:rsid w:val="002179D1"/>
    <w:rsid w:val="00221003"/>
    <w:rsid w:val="00221347"/>
    <w:rsid w:val="00221C0D"/>
    <w:rsid w:val="00232746"/>
    <w:rsid w:val="00240C8D"/>
    <w:rsid w:val="00241013"/>
    <w:rsid w:val="00241F26"/>
    <w:rsid w:val="00250FD7"/>
    <w:rsid w:val="00253719"/>
    <w:rsid w:val="00262583"/>
    <w:rsid w:val="0026350E"/>
    <w:rsid w:val="00267504"/>
    <w:rsid w:val="002742C2"/>
    <w:rsid w:val="002757A8"/>
    <w:rsid w:val="002818CF"/>
    <w:rsid w:val="00287393"/>
    <w:rsid w:val="00291DD5"/>
    <w:rsid w:val="002B643A"/>
    <w:rsid w:val="002C0142"/>
    <w:rsid w:val="002C0FE3"/>
    <w:rsid w:val="002C72E1"/>
    <w:rsid w:val="002D4E2D"/>
    <w:rsid w:val="002E1A56"/>
    <w:rsid w:val="002F1B76"/>
    <w:rsid w:val="002F2050"/>
    <w:rsid w:val="002F4AC8"/>
    <w:rsid w:val="002F6394"/>
    <w:rsid w:val="00304A93"/>
    <w:rsid w:val="00314A1D"/>
    <w:rsid w:val="003159ED"/>
    <w:rsid w:val="00330AC3"/>
    <w:rsid w:val="00332D67"/>
    <w:rsid w:val="00334B67"/>
    <w:rsid w:val="003511A3"/>
    <w:rsid w:val="00351FD2"/>
    <w:rsid w:val="003630E1"/>
    <w:rsid w:val="003705FD"/>
    <w:rsid w:val="0037530E"/>
    <w:rsid w:val="00376AA6"/>
    <w:rsid w:val="00380E61"/>
    <w:rsid w:val="00382868"/>
    <w:rsid w:val="00390056"/>
    <w:rsid w:val="003901C8"/>
    <w:rsid w:val="00394E1C"/>
    <w:rsid w:val="00397021"/>
    <w:rsid w:val="00397A18"/>
    <w:rsid w:val="003B0ED3"/>
    <w:rsid w:val="003B52C8"/>
    <w:rsid w:val="003C3305"/>
    <w:rsid w:val="003C6AE7"/>
    <w:rsid w:val="003F37E9"/>
    <w:rsid w:val="003F7116"/>
    <w:rsid w:val="0040021B"/>
    <w:rsid w:val="004107E7"/>
    <w:rsid w:val="00415BAB"/>
    <w:rsid w:val="0042111B"/>
    <w:rsid w:val="00425E6B"/>
    <w:rsid w:val="0043082E"/>
    <w:rsid w:val="00430D82"/>
    <w:rsid w:val="0043232A"/>
    <w:rsid w:val="004328A0"/>
    <w:rsid w:val="00433E70"/>
    <w:rsid w:val="004421AE"/>
    <w:rsid w:val="0045452D"/>
    <w:rsid w:val="00461738"/>
    <w:rsid w:val="00471508"/>
    <w:rsid w:val="0047181E"/>
    <w:rsid w:val="00481171"/>
    <w:rsid w:val="004826D7"/>
    <w:rsid w:val="00482988"/>
    <w:rsid w:val="004839A6"/>
    <w:rsid w:val="00483AFA"/>
    <w:rsid w:val="00486E4F"/>
    <w:rsid w:val="0049407C"/>
    <w:rsid w:val="004976D7"/>
    <w:rsid w:val="004A3EF2"/>
    <w:rsid w:val="004A4820"/>
    <w:rsid w:val="004A72B8"/>
    <w:rsid w:val="004A7EB8"/>
    <w:rsid w:val="004B3563"/>
    <w:rsid w:val="004D03F3"/>
    <w:rsid w:val="004E2B12"/>
    <w:rsid w:val="004F58CA"/>
    <w:rsid w:val="004F652B"/>
    <w:rsid w:val="00502CD4"/>
    <w:rsid w:val="00503FB6"/>
    <w:rsid w:val="00505E55"/>
    <w:rsid w:val="0051022E"/>
    <w:rsid w:val="00524723"/>
    <w:rsid w:val="00536827"/>
    <w:rsid w:val="00544DB1"/>
    <w:rsid w:val="00554D1B"/>
    <w:rsid w:val="0055505F"/>
    <w:rsid w:val="00560C19"/>
    <w:rsid w:val="005652CE"/>
    <w:rsid w:val="0056602B"/>
    <w:rsid w:val="005735CF"/>
    <w:rsid w:val="0057705A"/>
    <w:rsid w:val="00583AD7"/>
    <w:rsid w:val="00590FAB"/>
    <w:rsid w:val="005926DF"/>
    <w:rsid w:val="005A7EE8"/>
    <w:rsid w:val="005B4038"/>
    <w:rsid w:val="005B63EA"/>
    <w:rsid w:val="005B64E8"/>
    <w:rsid w:val="005C0C06"/>
    <w:rsid w:val="005C167A"/>
    <w:rsid w:val="005D192C"/>
    <w:rsid w:val="005D3B9F"/>
    <w:rsid w:val="005E0965"/>
    <w:rsid w:val="005E0DF2"/>
    <w:rsid w:val="005E1E4C"/>
    <w:rsid w:val="005E4BDC"/>
    <w:rsid w:val="005F42F9"/>
    <w:rsid w:val="005F63CE"/>
    <w:rsid w:val="006060BD"/>
    <w:rsid w:val="00611E66"/>
    <w:rsid w:val="00612025"/>
    <w:rsid w:val="00625A99"/>
    <w:rsid w:val="00636D29"/>
    <w:rsid w:val="00636EC5"/>
    <w:rsid w:val="00644A14"/>
    <w:rsid w:val="00650355"/>
    <w:rsid w:val="006567C6"/>
    <w:rsid w:val="00657D3C"/>
    <w:rsid w:val="00663376"/>
    <w:rsid w:val="0067082D"/>
    <w:rsid w:val="00683CAE"/>
    <w:rsid w:val="00684D02"/>
    <w:rsid w:val="006866A5"/>
    <w:rsid w:val="00694CAA"/>
    <w:rsid w:val="006A4306"/>
    <w:rsid w:val="006A6449"/>
    <w:rsid w:val="006B6DBE"/>
    <w:rsid w:val="006B7C22"/>
    <w:rsid w:val="006C3716"/>
    <w:rsid w:val="006C3C87"/>
    <w:rsid w:val="006C66F4"/>
    <w:rsid w:val="006C67C0"/>
    <w:rsid w:val="006D43C1"/>
    <w:rsid w:val="006D5BB9"/>
    <w:rsid w:val="006D7DDD"/>
    <w:rsid w:val="006F110E"/>
    <w:rsid w:val="006F1C30"/>
    <w:rsid w:val="006F3752"/>
    <w:rsid w:val="006F5BFB"/>
    <w:rsid w:val="00700361"/>
    <w:rsid w:val="00702B50"/>
    <w:rsid w:val="00711BF2"/>
    <w:rsid w:val="00725D6F"/>
    <w:rsid w:val="00731B19"/>
    <w:rsid w:val="00732D6A"/>
    <w:rsid w:val="007421A6"/>
    <w:rsid w:val="00764BC4"/>
    <w:rsid w:val="007737ED"/>
    <w:rsid w:val="00784A47"/>
    <w:rsid w:val="007952C0"/>
    <w:rsid w:val="0079564A"/>
    <w:rsid w:val="007A522B"/>
    <w:rsid w:val="007A73C8"/>
    <w:rsid w:val="007B05EA"/>
    <w:rsid w:val="007C0EBE"/>
    <w:rsid w:val="007C2DE0"/>
    <w:rsid w:val="007C45FC"/>
    <w:rsid w:val="007C544D"/>
    <w:rsid w:val="007D0454"/>
    <w:rsid w:val="007D5735"/>
    <w:rsid w:val="007D65F5"/>
    <w:rsid w:val="007E2206"/>
    <w:rsid w:val="007F16EB"/>
    <w:rsid w:val="007F37BC"/>
    <w:rsid w:val="007F4D0A"/>
    <w:rsid w:val="007F5693"/>
    <w:rsid w:val="007F6F74"/>
    <w:rsid w:val="00802EA6"/>
    <w:rsid w:val="00821F77"/>
    <w:rsid w:val="00826CB7"/>
    <w:rsid w:val="00833E5D"/>
    <w:rsid w:val="00850036"/>
    <w:rsid w:val="00861917"/>
    <w:rsid w:val="008628C8"/>
    <w:rsid w:val="008700B7"/>
    <w:rsid w:val="008701E0"/>
    <w:rsid w:val="00871027"/>
    <w:rsid w:val="00875143"/>
    <w:rsid w:val="00882BE7"/>
    <w:rsid w:val="00886773"/>
    <w:rsid w:val="00894131"/>
    <w:rsid w:val="00897E1D"/>
    <w:rsid w:val="008B1434"/>
    <w:rsid w:val="008B790F"/>
    <w:rsid w:val="008C09F3"/>
    <w:rsid w:val="008C1A25"/>
    <w:rsid w:val="008C5E30"/>
    <w:rsid w:val="008D1186"/>
    <w:rsid w:val="008D2436"/>
    <w:rsid w:val="008D2897"/>
    <w:rsid w:val="008F2C6B"/>
    <w:rsid w:val="00905313"/>
    <w:rsid w:val="0090794A"/>
    <w:rsid w:val="00911B22"/>
    <w:rsid w:val="00912EE4"/>
    <w:rsid w:val="009131B7"/>
    <w:rsid w:val="00916CD0"/>
    <w:rsid w:val="00927079"/>
    <w:rsid w:val="00934083"/>
    <w:rsid w:val="009405D0"/>
    <w:rsid w:val="00947B3A"/>
    <w:rsid w:val="00955528"/>
    <w:rsid w:val="009630EF"/>
    <w:rsid w:val="00970782"/>
    <w:rsid w:val="009716E4"/>
    <w:rsid w:val="00976525"/>
    <w:rsid w:val="00984C29"/>
    <w:rsid w:val="009928E4"/>
    <w:rsid w:val="00993CA1"/>
    <w:rsid w:val="00996BC3"/>
    <w:rsid w:val="00996E84"/>
    <w:rsid w:val="009A0F4F"/>
    <w:rsid w:val="009A3CC3"/>
    <w:rsid w:val="009B3681"/>
    <w:rsid w:val="009D175E"/>
    <w:rsid w:val="009E2E3F"/>
    <w:rsid w:val="009E3FE1"/>
    <w:rsid w:val="009E60FE"/>
    <w:rsid w:val="009F7E79"/>
    <w:rsid w:val="00A0100A"/>
    <w:rsid w:val="00A025A8"/>
    <w:rsid w:val="00A0331D"/>
    <w:rsid w:val="00A05F26"/>
    <w:rsid w:val="00A106D6"/>
    <w:rsid w:val="00A129D3"/>
    <w:rsid w:val="00A15B66"/>
    <w:rsid w:val="00A17C08"/>
    <w:rsid w:val="00A17E5D"/>
    <w:rsid w:val="00A33190"/>
    <w:rsid w:val="00A331F4"/>
    <w:rsid w:val="00A34968"/>
    <w:rsid w:val="00A40BAE"/>
    <w:rsid w:val="00A54DF0"/>
    <w:rsid w:val="00A6101A"/>
    <w:rsid w:val="00A66D15"/>
    <w:rsid w:val="00A7792B"/>
    <w:rsid w:val="00A8142D"/>
    <w:rsid w:val="00A8485F"/>
    <w:rsid w:val="00A84D5C"/>
    <w:rsid w:val="00A868ED"/>
    <w:rsid w:val="00A949DD"/>
    <w:rsid w:val="00AA0890"/>
    <w:rsid w:val="00AA41CC"/>
    <w:rsid w:val="00AA7B08"/>
    <w:rsid w:val="00AB163A"/>
    <w:rsid w:val="00AB6926"/>
    <w:rsid w:val="00AD059F"/>
    <w:rsid w:val="00AD4974"/>
    <w:rsid w:val="00AD66E9"/>
    <w:rsid w:val="00AD6AC4"/>
    <w:rsid w:val="00AF0269"/>
    <w:rsid w:val="00AF34C6"/>
    <w:rsid w:val="00B02647"/>
    <w:rsid w:val="00B11184"/>
    <w:rsid w:val="00B112E1"/>
    <w:rsid w:val="00B24226"/>
    <w:rsid w:val="00B43F39"/>
    <w:rsid w:val="00B56A51"/>
    <w:rsid w:val="00B57872"/>
    <w:rsid w:val="00B61413"/>
    <w:rsid w:val="00B61AA2"/>
    <w:rsid w:val="00B62770"/>
    <w:rsid w:val="00B645C9"/>
    <w:rsid w:val="00B7264F"/>
    <w:rsid w:val="00B8447C"/>
    <w:rsid w:val="00B93ED9"/>
    <w:rsid w:val="00BA190E"/>
    <w:rsid w:val="00BA71AC"/>
    <w:rsid w:val="00BB2558"/>
    <w:rsid w:val="00BB2DDE"/>
    <w:rsid w:val="00BB4A4F"/>
    <w:rsid w:val="00BB68EE"/>
    <w:rsid w:val="00BC0639"/>
    <w:rsid w:val="00BC47AE"/>
    <w:rsid w:val="00BD3176"/>
    <w:rsid w:val="00BD5EA4"/>
    <w:rsid w:val="00BE6A58"/>
    <w:rsid w:val="00BE76C0"/>
    <w:rsid w:val="00BF7CAA"/>
    <w:rsid w:val="00C02533"/>
    <w:rsid w:val="00C05246"/>
    <w:rsid w:val="00C15985"/>
    <w:rsid w:val="00C1660F"/>
    <w:rsid w:val="00C2452B"/>
    <w:rsid w:val="00C25CC3"/>
    <w:rsid w:val="00C335F6"/>
    <w:rsid w:val="00C34978"/>
    <w:rsid w:val="00C36A38"/>
    <w:rsid w:val="00C36E32"/>
    <w:rsid w:val="00C40014"/>
    <w:rsid w:val="00C462A3"/>
    <w:rsid w:val="00C55790"/>
    <w:rsid w:val="00C57E29"/>
    <w:rsid w:val="00C60769"/>
    <w:rsid w:val="00C67453"/>
    <w:rsid w:val="00C73060"/>
    <w:rsid w:val="00C84AF3"/>
    <w:rsid w:val="00C866A4"/>
    <w:rsid w:val="00C94314"/>
    <w:rsid w:val="00C96EF5"/>
    <w:rsid w:val="00CB4587"/>
    <w:rsid w:val="00CC0352"/>
    <w:rsid w:val="00CC0F0B"/>
    <w:rsid w:val="00CC6609"/>
    <w:rsid w:val="00CD3462"/>
    <w:rsid w:val="00CE16C0"/>
    <w:rsid w:val="00CE7D24"/>
    <w:rsid w:val="00CF6477"/>
    <w:rsid w:val="00D040A7"/>
    <w:rsid w:val="00D1310D"/>
    <w:rsid w:val="00D203CE"/>
    <w:rsid w:val="00D21983"/>
    <w:rsid w:val="00D228EB"/>
    <w:rsid w:val="00D26A25"/>
    <w:rsid w:val="00D35DF5"/>
    <w:rsid w:val="00D426CF"/>
    <w:rsid w:val="00D4569B"/>
    <w:rsid w:val="00D61491"/>
    <w:rsid w:val="00D65546"/>
    <w:rsid w:val="00D832CD"/>
    <w:rsid w:val="00D90793"/>
    <w:rsid w:val="00D96D0C"/>
    <w:rsid w:val="00DA0E19"/>
    <w:rsid w:val="00DA29F0"/>
    <w:rsid w:val="00DA50C2"/>
    <w:rsid w:val="00DA59C2"/>
    <w:rsid w:val="00DB206F"/>
    <w:rsid w:val="00DB313A"/>
    <w:rsid w:val="00DB3C56"/>
    <w:rsid w:val="00DC26E7"/>
    <w:rsid w:val="00DC5AF4"/>
    <w:rsid w:val="00DD291E"/>
    <w:rsid w:val="00DD317B"/>
    <w:rsid w:val="00E00DA6"/>
    <w:rsid w:val="00E04C30"/>
    <w:rsid w:val="00E13BE4"/>
    <w:rsid w:val="00E23CF4"/>
    <w:rsid w:val="00E340F1"/>
    <w:rsid w:val="00E40899"/>
    <w:rsid w:val="00E42AE3"/>
    <w:rsid w:val="00E46BC0"/>
    <w:rsid w:val="00E559D4"/>
    <w:rsid w:val="00E56F49"/>
    <w:rsid w:val="00E570E7"/>
    <w:rsid w:val="00E63DD8"/>
    <w:rsid w:val="00E67945"/>
    <w:rsid w:val="00E71D7D"/>
    <w:rsid w:val="00E756D5"/>
    <w:rsid w:val="00E962BC"/>
    <w:rsid w:val="00EA1291"/>
    <w:rsid w:val="00EB1AE3"/>
    <w:rsid w:val="00EB371A"/>
    <w:rsid w:val="00EC626E"/>
    <w:rsid w:val="00EC6959"/>
    <w:rsid w:val="00ED402B"/>
    <w:rsid w:val="00ED6FB1"/>
    <w:rsid w:val="00EE4495"/>
    <w:rsid w:val="00EF3DB1"/>
    <w:rsid w:val="00F0232F"/>
    <w:rsid w:val="00F03194"/>
    <w:rsid w:val="00F07DAF"/>
    <w:rsid w:val="00F1039F"/>
    <w:rsid w:val="00F13D27"/>
    <w:rsid w:val="00F14942"/>
    <w:rsid w:val="00F23E42"/>
    <w:rsid w:val="00F3154B"/>
    <w:rsid w:val="00F35866"/>
    <w:rsid w:val="00F36BA9"/>
    <w:rsid w:val="00F4188D"/>
    <w:rsid w:val="00F4507B"/>
    <w:rsid w:val="00F52C89"/>
    <w:rsid w:val="00F54AA0"/>
    <w:rsid w:val="00F56E6A"/>
    <w:rsid w:val="00F70C72"/>
    <w:rsid w:val="00F73492"/>
    <w:rsid w:val="00F73562"/>
    <w:rsid w:val="00F76DCF"/>
    <w:rsid w:val="00F839E2"/>
    <w:rsid w:val="00F84F79"/>
    <w:rsid w:val="00F902DA"/>
    <w:rsid w:val="00FA56E9"/>
    <w:rsid w:val="00FB4999"/>
    <w:rsid w:val="00FB53CD"/>
    <w:rsid w:val="00FB5414"/>
    <w:rsid w:val="00FB7488"/>
    <w:rsid w:val="00FC3A52"/>
    <w:rsid w:val="00FC5804"/>
    <w:rsid w:val="00FD36EB"/>
    <w:rsid w:val="00FE70B2"/>
    <w:rsid w:val="00FF4333"/>
    <w:rsid w:val="00FF4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1D0EF"/>
  <w15:chartTrackingRefBased/>
  <w15:docId w15:val="{A2F8ED84-D455-4A07-95F0-000E4598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DF2"/>
    <w:rPr>
      <w:rFonts w:ascii="Arial" w:hAnsi="Arial"/>
    </w:rPr>
  </w:style>
  <w:style w:type="paragraph" w:styleId="Heading1">
    <w:name w:val="heading 1"/>
    <w:basedOn w:val="Normal"/>
    <w:next w:val="Normal"/>
    <w:link w:val="Heading1Char"/>
    <w:uiPriority w:val="9"/>
    <w:qFormat/>
    <w:rsid w:val="00036337"/>
    <w:pPr>
      <w:keepNext/>
      <w:keepLines/>
      <w:spacing w:before="360" w:after="80"/>
      <w:outlineLvl w:val="0"/>
    </w:pPr>
    <w:rPr>
      <w:rFonts w:eastAsiaTheme="majorEastAsia" w:cstheme="majorBidi"/>
      <w:b/>
      <w:color w:val="005EB8"/>
      <w:sz w:val="40"/>
      <w:szCs w:val="40"/>
    </w:rPr>
  </w:style>
  <w:style w:type="paragraph" w:styleId="Heading2">
    <w:name w:val="heading 2"/>
    <w:basedOn w:val="Normal"/>
    <w:next w:val="Normal"/>
    <w:link w:val="Heading2Char"/>
    <w:uiPriority w:val="9"/>
    <w:unhideWhenUsed/>
    <w:qFormat/>
    <w:rsid w:val="00036337"/>
    <w:pPr>
      <w:keepNext/>
      <w:keepLines/>
      <w:spacing w:before="160" w:after="80"/>
      <w:outlineLvl w:val="1"/>
    </w:pPr>
    <w:rPr>
      <w:rFonts w:eastAsiaTheme="majorEastAsia" w:cstheme="majorBidi"/>
      <w:b/>
      <w:color w:val="005EB8"/>
      <w:sz w:val="32"/>
      <w:szCs w:val="32"/>
    </w:rPr>
  </w:style>
  <w:style w:type="paragraph" w:styleId="Heading3">
    <w:name w:val="heading 3"/>
    <w:basedOn w:val="Normal"/>
    <w:next w:val="Normal"/>
    <w:link w:val="Heading3Char"/>
    <w:uiPriority w:val="9"/>
    <w:unhideWhenUsed/>
    <w:qFormat/>
    <w:rsid w:val="00036337"/>
    <w:pPr>
      <w:keepNext/>
      <w:keepLines/>
      <w:spacing w:before="160" w:after="80"/>
      <w:outlineLvl w:val="2"/>
    </w:pPr>
    <w:rPr>
      <w:rFonts w:eastAsiaTheme="majorEastAsia" w:cstheme="majorBidi"/>
      <w:b/>
      <w:color w:val="005EB8"/>
      <w:sz w:val="28"/>
      <w:szCs w:val="28"/>
    </w:rPr>
  </w:style>
  <w:style w:type="paragraph" w:styleId="Heading4">
    <w:name w:val="heading 4"/>
    <w:basedOn w:val="Normal"/>
    <w:next w:val="Normal"/>
    <w:link w:val="Heading4Char"/>
    <w:uiPriority w:val="9"/>
    <w:semiHidden/>
    <w:unhideWhenUsed/>
    <w:qFormat/>
    <w:rsid w:val="00732D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2D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2D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2D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2D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2D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337"/>
    <w:rPr>
      <w:rFonts w:ascii="Arial" w:eastAsiaTheme="majorEastAsia" w:hAnsi="Arial" w:cstheme="majorBidi"/>
      <w:b/>
      <w:color w:val="005EB8"/>
      <w:sz w:val="40"/>
      <w:szCs w:val="40"/>
    </w:rPr>
  </w:style>
  <w:style w:type="character" w:customStyle="1" w:styleId="Heading2Char">
    <w:name w:val="Heading 2 Char"/>
    <w:basedOn w:val="DefaultParagraphFont"/>
    <w:link w:val="Heading2"/>
    <w:uiPriority w:val="9"/>
    <w:rsid w:val="00036337"/>
    <w:rPr>
      <w:rFonts w:ascii="Arial" w:eastAsiaTheme="majorEastAsia" w:hAnsi="Arial" w:cstheme="majorBidi"/>
      <w:b/>
      <w:color w:val="005EB8"/>
      <w:sz w:val="32"/>
      <w:szCs w:val="32"/>
    </w:rPr>
  </w:style>
  <w:style w:type="character" w:customStyle="1" w:styleId="Heading3Char">
    <w:name w:val="Heading 3 Char"/>
    <w:basedOn w:val="DefaultParagraphFont"/>
    <w:link w:val="Heading3"/>
    <w:uiPriority w:val="9"/>
    <w:rsid w:val="00036337"/>
    <w:rPr>
      <w:rFonts w:ascii="Arial" w:eastAsiaTheme="majorEastAsia" w:hAnsi="Arial" w:cstheme="majorBidi"/>
      <w:b/>
      <w:color w:val="005EB8"/>
      <w:sz w:val="28"/>
      <w:szCs w:val="28"/>
    </w:rPr>
  </w:style>
  <w:style w:type="character" w:customStyle="1" w:styleId="Heading4Char">
    <w:name w:val="Heading 4 Char"/>
    <w:basedOn w:val="DefaultParagraphFont"/>
    <w:link w:val="Heading4"/>
    <w:uiPriority w:val="9"/>
    <w:semiHidden/>
    <w:rsid w:val="00732D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2D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2D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2D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2D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2D6A"/>
    <w:rPr>
      <w:rFonts w:eastAsiaTheme="majorEastAsia" w:cstheme="majorBidi"/>
      <w:color w:val="272727" w:themeColor="text1" w:themeTint="D8"/>
    </w:rPr>
  </w:style>
  <w:style w:type="paragraph" w:styleId="Title">
    <w:name w:val="Title"/>
    <w:basedOn w:val="Normal"/>
    <w:next w:val="Normal"/>
    <w:link w:val="TitleChar"/>
    <w:uiPriority w:val="10"/>
    <w:qFormat/>
    <w:rsid w:val="00732D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D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2D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2D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2D6A"/>
    <w:pPr>
      <w:spacing w:before="160"/>
      <w:jc w:val="center"/>
    </w:pPr>
    <w:rPr>
      <w:i/>
      <w:iCs/>
      <w:color w:val="404040" w:themeColor="text1" w:themeTint="BF"/>
    </w:rPr>
  </w:style>
  <w:style w:type="character" w:customStyle="1" w:styleId="QuoteChar">
    <w:name w:val="Quote Char"/>
    <w:basedOn w:val="DefaultParagraphFont"/>
    <w:link w:val="Quote"/>
    <w:uiPriority w:val="29"/>
    <w:rsid w:val="00732D6A"/>
    <w:rPr>
      <w:i/>
      <w:iCs/>
      <w:color w:val="404040" w:themeColor="text1" w:themeTint="BF"/>
    </w:rPr>
  </w:style>
  <w:style w:type="paragraph" w:styleId="ListParagraph">
    <w:name w:val="List Paragraph"/>
    <w:basedOn w:val="Normal"/>
    <w:uiPriority w:val="34"/>
    <w:qFormat/>
    <w:rsid w:val="00732D6A"/>
    <w:pPr>
      <w:ind w:left="720"/>
      <w:contextualSpacing/>
    </w:pPr>
  </w:style>
  <w:style w:type="character" w:styleId="IntenseEmphasis">
    <w:name w:val="Intense Emphasis"/>
    <w:basedOn w:val="DefaultParagraphFont"/>
    <w:uiPriority w:val="21"/>
    <w:qFormat/>
    <w:rsid w:val="00732D6A"/>
    <w:rPr>
      <w:i/>
      <w:iCs/>
      <w:color w:val="0F4761" w:themeColor="accent1" w:themeShade="BF"/>
    </w:rPr>
  </w:style>
  <w:style w:type="paragraph" w:styleId="IntenseQuote">
    <w:name w:val="Intense Quote"/>
    <w:basedOn w:val="Normal"/>
    <w:next w:val="Normal"/>
    <w:link w:val="IntenseQuoteChar"/>
    <w:uiPriority w:val="30"/>
    <w:qFormat/>
    <w:rsid w:val="00732D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2D6A"/>
    <w:rPr>
      <w:i/>
      <w:iCs/>
      <w:color w:val="0F4761" w:themeColor="accent1" w:themeShade="BF"/>
    </w:rPr>
  </w:style>
  <w:style w:type="character" w:styleId="IntenseReference">
    <w:name w:val="Intense Reference"/>
    <w:basedOn w:val="DefaultParagraphFont"/>
    <w:uiPriority w:val="32"/>
    <w:qFormat/>
    <w:rsid w:val="00732D6A"/>
    <w:rPr>
      <w:b/>
      <w:bCs/>
      <w:smallCaps/>
      <w:color w:val="0F4761" w:themeColor="accent1" w:themeShade="BF"/>
      <w:spacing w:val="5"/>
    </w:rPr>
  </w:style>
  <w:style w:type="paragraph" w:styleId="Header">
    <w:name w:val="header"/>
    <w:basedOn w:val="Normal"/>
    <w:link w:val="HeaderChar"/>
    <w:uiPriority w:val="99"/>
    <w:unhideWhenUsed/>
    <w:rsid w:val="00240C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C8D"/>
  </w:style>
  <w:style w:type="paragraph" w:styleId="Footer">
    <w:name w:val="footer"/>
    <w:basedOn w:val="Normal"/>
    <w:link w:val="FooterChar"/>
    <w:uiPriority w:val="99"/>
    <w:unhideWhenUsed/>
    <w:rsid w:val="00240C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C8D"/>
  </w:style>
  <w:style w:type="character" w:styleId="CommentReference">
    <w:name w:val="annotation reference"/>
    <w:basedOn w:val="DefaultParagraphFont"/>
    <w:uiPriority w:val="99"/>
    <w:semiHidden/>
    <w:unhideWhenUsed/>
    <w:rsid w:val="00947B3A"/>
    <w:rPr>
      <w:rFonts w:cs="Times New Roman"/>
      <w:sz w:val="16"/>
      <w:szCs w:val="16"/>
    </w:rPr>
  </w:style>
  <w:style w:type="paragraph" w:styleId="CommentText">
    <w:name w:val="annotation text"/>
    <w:basedOn w:val="Normal"/>
    <w:link w:val="CommentTextChar"/>
    <w:uiPriority w:val="99"/>
    <w:unhideWhenUsed/>
    <w:rsid w:val="00947B3A"/>
    <w:pPr>
      <w:widowControl w:val="0"/>
      <w:autoSpaceDE w:val="0"/>
      <w:autoSpaceDN w:val="0"/>
      <w:adjustRightInd w:val="0"/>
      <w:spacing w:after="0" w:line="240" w:lineRule="auto"/>
    </w:pPr>
    <w:rPr>
      <w:rFonts w:eastAsia="Times New Roman" w:cs="Arial"/>
      <w:kern w:val="0"/>
      <w:sz w:val="20"/>
      <w:szCs w:val="20"/>
      <w:lang w:eastAsia="en-GB"/>
      <w14:ligatures w14:val="none"/>
    </w:rPr>
  </w:style>
  <w:style w:type="character" w:customStyle="1" w:styleId="CommentTextChar">
    <w:name w:val="Comment Text Char"/>
    <w:basedOn w:val="DefaultParagraphFont"/>
    <w:link w:val="CommentText"/>
    <w:uiPriority w:val="99"/>
    <w:rsid w:val="00947B3A"/>
    <w:rPr>
      <w:rFonts w:ascii="Arial" w:eastAsia="Times New Roman" w:hAnsi="Arial" w:cs="Arial"/>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947B3A"/>
    <w:pPr>
      <w:widowControl/>
      <w:autoSpaceDE/>
      <w:autoSpaceDN/>
      <w:adjustRightInd/>
      <w:spacing w:after="160"/>
    </w:pPr>
    <w:rPr>
      <w:rFonts w:asciiTheme="minorHAnsi" w:eastAsiaTheme="minorHAnsi" w:hAnsiTheme="minorHAnsi" w:cstheme="minorBid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947B3A"/>
    <w:rPr>
      <w:rFonts w:ascii="Arial" w:eastAsia="Times New Roman" w:hAnsi="Arial" w:cs="Arial"/>
      <w:b/>
      <w:bCs/>
      <w:kern w:val="0"/>
      <w:sz w:val="20"/>
      <w:szCs w:val="20"/>
      <w:lang w:eastAsia="en-GB"/>
      <w14:ligatures w14:val="none"/>
    </w:rPr>
  </w:style>
  <w:style w:type="paragraph" w:styleId="Revision">
    <w:name w:val="Revision"/>
    <w:hidden/>
    <w:uiPriority w:val="99"/>
    <w:semiHidden/>
    <w:rsid w:val="00B57872"/>
    <w:pPr>
      <w:spacing w:after="0" w:line="240" w:lineRule="auto"/>
    </w:pPr>
  </w:style>
  <w:style w:type="paragraph" w:styleId="TOCHeading">
    <w:name w:val="TOC Heading"/>
    <w:basedOn w:val="Heading1"/>
    <w:next w:val="Normal"/>
    <w:uiPriority w:val="39"/>
    <w:unhideWhenUsed/>
    <w:qFormat/>
    <w:rsid w:val="00683CAE"/>
    <w:pPr>
      <w:spacing w:before="240" w:after="0" w:line="259" w:lineRule="auto"/>
      <w:outlineLvl w:val="9"/>
    </w:pPr>
    <w:rPr>
      <w:kern w:val="0"/>
      <w:szCs w:val="32"/>
      <w:lang w:eastAsia="en-GB"/>
      <w14:ligatures w14:val="none"/>
    </w:rPr>
  </w:style>
  <w:style w:type="paragraph" w:styleId="TOC1">
    <w:name w:val="toc 1"/>
    <w:basedOn w:val="Normal"/>
    <w:next w:val="Normal"/>
    <w:autoRedefine/>
    <w:uiPriority w:val="39"/>
    <w:unhideWhenUsed/>
    <w:rsid w:val="00683CAE"/>
    <w:pPr>
      <w:spacing w:after="100"/>
    </w:pPr>
  </w:style>
  <w:style w:type="character" w:styleId="Hyperlink">
    <w:name w:val="Hyperlink"/>
    <w:basedOn w:val="DefaultParagraphFont"/>
    <w:uiPriority w:val="99"/>
    <w:unhideWhenUsed/>
    <w:rsid w:val="00683CAE"/>
    <w:rPr>
      <w:color w:val="467886" w:themeColor="hyperlink"/>
      <w:u w:val="single"/>
    </w:rPr>
  </w:style>
  <w:style w:type="paragraph" w:styleId="TOC3">
    <w:name w:val="toc 3"/>
    <w:basedOn w:val="Normal"/>
    <w:next w:val="Normal"/>
    <w:autoRedefine/>
    <w:uiPriority w:val="39"/>
    <w:unhideWhenUsed/>
    <w:rsid w:val="003F37E9"/>
    <w:pPr>
      <w:spacing w:after="100"/>
      <w:ind w:left="480"/>
    </w:pPr>
  </w:style>
  <w:style w:type="character" w:styleId="UnresolvedMention">
    <w:name w:val="Unresolved Mention"/>
    <w:basedOn w:val="DefaultParagraphFont"/>
    <w:uiPriority w:val="99"/>
    <w:semiHidden/>
    <w:unhideWhenUsed/>
    <w:rsid w:val="00082411"/>
    <w:rPr>
      <w:color w:val="605E5C"/>
      <w:shd w:val="clear" w:color="auto" w:fill="E1DFDD"/>
    </w:rPr>
  </w:style>
  <w:style w:type="paragraph" w:styleId="TOC2">
    <w:name w:val="toc 2"/>
    <w:basedOn w:val="Normal"/>
    <w:next w:val="Normal"/>
    <w:autoRedefine/>
    <w:uiPriority w:val="39"/>
    <w:unhideWhenUsed/>
    <w:rsid w:val="00482988"/>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bsa.nhs.uk/member-hub/contact-nhs-pensions-members"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takeholderengagement@nhsbsa.nhs.uk"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nhsbsa.nhs.uk/contact-us/call-charges-and-phone-numbers" TargetMode="External"/><Relationship Id="rId23"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sbsa.nhs.uk/member-hub/contact-nhs-pensions-members"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13D27842228B40B769D2118F89A6B9" ma:contentTypeVersion="13" ma:contentTypeDescription="Create a new document." ma:contentTypeScope="" ma:versionID="b81af04e034aa3052b0a0102adb61888">
  <xsd:schema xmlns:xsd="http://www.w3.org/2001/XMLSchema" xmlns:xs="http://www.w3.org/2001/XMLSchema" xmlns:p="http://schemas.microsoft.com/office/2006/metadata/properties" xmlns:ns2="194a0e0a-d31d-42d0-b4b2-bb38509666a7" xmlns:ns3="ea61b3ab-b3d1-46c8-a887-3b9479cd4a48" targetNamespace="http://schemas.microsoft.com/office/2006/metadata/properties" ma:root="true" ma:fieldsID="c5909f0595f529e9c1ec456c3453ab3e" ns2:_="" ns3:_="">
    <xsd:import namespace="194a0e0a-d31d-42d0-b4b2-bb38509666a7"/>
    <xsd:import namespace="ea61b3ab-b3d1-46c8-a887-3b9479cd4a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a0e0a-d31d-42d0-b4b2-bb3850966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1b3ab-b3d1-46c8-a887-3b9479cd4a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8b0d18-d218-40c9-a712-e5dbacaa1e19}" ma:internalName="TaxCatchAll" ma:showField="CatchAllData" ma:web="ea61b3ab-b3d1-46c8-a887-3b9479cd4a4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4a0e0a-d31d-42d0-b4b2-bb38509666a7">
      <Terms xmlns="http://schemas.microsoft.com/office/infopath/2007/PartnerControls"/>
    </lcf76f155ced4ddcb4097134ff3c332f>
    <TaxCatchAll xmlns="ea61b3ab-b3d1-46c8-a887-3b9479cd4a4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C2D49-9278-43BD-B625-62710DD33877}">
  <ds:schemaRefs>
    <ds:schemaRef ds:uri="http://schemas.microsoft.com/sharepoint/v3/contenttype/forms"/>
  </ds:schemaRefs>
</ds:datastoreItem>
</file>

<file path=customXml/itemProps2.xml><?xml version="1.0" encoding="utf-8"?>
<ds:datastoreItem xmlns:ds="http://schemas.openxmlformats.org/officeDocument/2006/customXml" ds:itemID="{C68059E7-2DE9-49D8-B03E-53D61D0FE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a0e0a-d31d-42d0-b4b2-bb38509666a7"/>
    <ds:schemaRef ds:uri="ea61b3ab-b3d1-46c8-a887-3b9479cd4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E4CE47-7316-4E7E-BBA5-9BB4CE4065C8}">
  <ds:schemaRefs>
    <ds:schemaRef ds:uri="http://schemas.microsoft.com/office/2006/documentManagement/types"/>
    <ds:schemaRef ds:uri="ea61b3ab-b3d1-46c8-a887-3b9479cd4a48"/>
    <ds:schemaRef ds:uri="http://schemas.microsoft.com/office/infopath/2007/PartnerControls"/>
    <ds:schemaRef ds:uri="http://purl.org/dc/dcmitype/"/>
    <ds:schemaRef ds:uri="194a0e0a-d31d-42d0-b4b2-bb38509666a7"/>
    <ds:schemaRef ds:uri="http://schemas.microsoft.com/office/2006/metadata/properties"/>
    <ds:schemaRef ds:uri="http://purl.org/dc/terms/"/>
    <ds:schemaRef ds:uri="http://www.w3.org/XML/1998/namespace"/>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63E8A1C9-0A86-4D89-BF23-18C62C897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14</Pages>
  <Words>3655</Words>
  <Characters>20837</Characters>
  <Application>Microsoft Office Word</Application>
  <DocSecurity>8</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Walker</dc:creator>
  <cp:keywords/>
  <dc:description/>
  <cp:lastModifiedBy>Holly Cleveland</cp:lastModifiedBy>
  <cp:revision>7</cp:revision>
  <cp:lastPrinted>2024-07-03T13:21:00Z</cp:lastPrinted>
  <dcterms:created xsi:type="dcterms:W3CDTF">2024-12-02T11:55:00Z</dcterms:created>
  <dcterms:modified xsi:type="dcterms:W3CDTF">2024-12-03T07:58:00Z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0x0101005413D27842228B40B769D2118F89A6B9</vt:lpwstr>
  </property>
  <property fmtid="{D5CDD505-2E9C-101B-9397-08002B2CF9AE}" pid="3" name="MediaServiceImageTags">
    <vt:lpwstr/>
  </property>
  <property fmtid="{D5CDD505-2E9C-101B-9397-08002B2CF9AE}" pid="4" name="MSIP_Label_f52d287b-af50-4fcf-9040-106ecb50d969_Enabled">
    <vt:lpwstr>true</vt:lpwstr>
  </property>
  <property fmtid="{D5CDD505-2E9C-101B-9397-08002B2CF9AE}" pid="5" name="MSIP_Label_f52d287b-af50-4fcf-9040-106ecb50d969_SetDate">
    <vt:lpwstr>2024-11-28T09:36:06Z</vt:lpwstr>
  </property>
  <property fmtid="{D5CDD505-2E9C-101B-9397-08002B2CF9AE}" pid="6" name="MSIP_Label_f52d287b-af50-4fcf-9040-106ecb50d969_Method">
    <vt:lpwstr>Standard</vt:lpwstr>
  </property>
  <property fmtid="{D5CDD505-2E9C-101B-9397-08002B2CF9AE}" pid="7" name="MSIP_Label_f52d287b-af50-4fcf-9040-106ecb50d969_Name">
    <vt:lpwstr>f52d287b-af50-4fcf-9040-106ecb50d969</vt:lpwstr>
  </property>
  <property fmtid="{D5CDD505-2E9C-101B-9397-08002B2CF9AE}" pid="8" name="MSIP_Label_f52d287b-af50-4fcf-9040-106ecb50d969_SiteId">
    <vt:lpwstr>cf6d0482-86b1-4f88-8c0c-3b4de4cb402c</vt:lpwstr>
  </property>
  <property fmtid="{D5CDD505-2E9C-101B-9397-08002B2CF9AE}" pid="9" name="MSIP_Label_f52d287b-af50-4fcf-9040-106ecb50d969_ActionId">
    <vt:lpwstr>7d2f4eac-4830-43ec-9dcd-81f4ed03771a</vt:lpwstr>
  </property>
  <property fmtid="{D5CDD505-2E9C-101B-9397-08002B2CF9AE}" pid="10" name="MSIP_Label_f52d287b-af50-4fcf-9040-106ecb50d969_ContentBits">
    <vt:lpwstr>0</vt:lpwstr>
  </property>
</Properties>
</file>