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FAAC" w14:textId="77777777" w:rsidR="00810077" w:rsidRPr="005A1511" w:rsidRDefault="00810077">
      <w:pPr>
        <w:spacing w:after="0"/>
        <w:rPr>
          <w:rFonts w:ascii="Arial" w:eastAsia="Arial" w:hAnsi="Arial" w:cs="Arial"/>
          <w:color w:val="548DD4"/>
          <w:sz w:val="28"/>
          <w:szCs w:val="28"/>
        </w:rPr>
      </w:pPr>
    </w:p>
    <w:p w14:paraId="28CD5C25" w14:textId="77777777" w:rsidR="00810077" w:rsidRPr="005A1511" w:rsidRDefault="00810077">
      <w:pPr>
        <w:spacing w:after="0"/>
        <w:rPr>
          <w:rFonts w:ascii="Arial" w:eastAsia="Arial" w:hAnsi="Arial" w:cs="Arial"/>
          <w:color w:val="548DD4"/>
          <w:sz w:val="28"/>
          <w:szCs w:val="28"/>
        </w:rPr>
      </w:pPr>
    </w:p>
    <w:p w14:paraId="6954D21A" w14:textId="77777777" w:rsidR="00810077" w:rsidRPr="005A1511" w:rsidRDefault="00855C24">
      <w:pPr>
        <w:tabs>
          <w:tab w:val="left" w:pos="2322"/>
        </w:tabs>
        <w:spacing w:after="0"/>
        <w:rPr>
          <w:rFonts w:ascii="Arial" w:eastAsia="Arial" w:hAnsi="Arial" w:cs="Arial"/>
          <w:color w:val="548DD4"/>
          <w:sz w:val="48"/>
          <w:szCs w:val="48"/>
        </w:rPr>
      </w:pPr>
      <w:r w:rsidRPr="005A1511">
        <w:rPr>
          <w:rFonts w:ascii="Arial" w:eastAsia="Arial" w:hAnsi="Arial" w:cs="Arial"/>
          <w:b/>
          <w:color w:val="548DD4"/>
          <w:sz w:val="48"/>
          <w:szCs w:val="48"/>
        </w:rPr>
        <w:tab/>
      </w:r>
    </w:p>
    <w:p w14:paraId="760D2767" w14:textId="67D3054D" w:rsidR="00810077" w:rsidRPr="005A1511" w:rsidRDefault="007A50BC">
      <w:pPr>
        <w:spacing w:after="0"/>
        <w:rPr>
          <w:rFonts w:ascii="Arial" w:eastAsia="Arial" w:hAnsi="Arial" w:cs="Arial"/>
          <w:color w:val="548DD4"/>
          <w:sz w:val="44"/>
          <w:szCs w:val="44"/>
        </w:rPr>
      </w:pPr>
      <w:r w:rsidRPr="005A1511">
        <w:rPr>
          <w:rFonts w:ascii="Arial" w:eastAsia="Arial" w:hAnsi="Arial" w:cs="Arial"/>
          <w:b/>
          <w:color w:val="548DD4"/>
          <w:sz w:val="44"/>
          <w:szCs w:val="44"/>
        </w:rPr>
        <w:t xml:space="preserve">Antimicrobial Stewardship </w:t>
      </w:r>
      <w:r w:rsidR="004350AA" w:rsidRPr="005A1511">
        <w:rPr>
          <w:rFonts w:ascii="Arial" w:eastAsia="Arial" w:hAnsi="Arial" w:cs="Arial"/>
          <w:b/>
          <w:color w:val="548DD4"/>
          <w:sz w:val="44"/>
          <w:szCs w:val="44"/>
        </w:rPr>
        <w:t xml:space="preserve">- </w:t>
      </w:r>
      <w:r w:rsidR="00BD6F6C" w:rsidRPr="005A1511">
        <w:rPr>
          <w:rFonts w:ascii="Arial" w:eastAsia="Arial" w:hAnsi="Arial" w:cs="Arial"/>
          <w:b/>
          <w:color w:val="548DD4"/>
          <w:sz w:val="44"/>
          <w:szCs w:val="44"/>
        </w:rPr>
        <w:t xml:space="preserve">Pharmacy First </w:t>
      </w:r>
      <w:r w:rsidR="001456FC" w:rsidRPr="005A1511">
        <w:rPr>
          <w:rFonts w:ascii="Arial" w:eastAsia="Arial" w:hAnsi="Arial" w:cs="Arial"/>
          <w:b/>
          <w:color w:val="548DD4"/>
          <w:sz w:val="44"/>
          <w:szCs w:val="44"/>
        </w:rPr>
        <w:t>Dashboard</w:t>
      </w:r>
    </w:p>
    <w:p w14:paraId="71AD9333" w14:textId="77777777" w:rsidR="00810077" w:rsidRPr="005A1511" w:rsidRDefault="00810077">
      <w:pPr>
        <w:spacing w:after="0"/>
        <w:rPr>
          <w:rFonts w:ascii="Arial" w:eastAsia="Arial" w:hAnsi="Arial" w:cs="Arial"/>
          <w:color w:val="548DD4"/>
          <w:sz w:val="44"/>
          <w:szCs w:val="44"/>
        </w:rPr>
      </w:pPr>
    </w:p>
    <w:p w14:paraId="31B8A3DE" w14:textId="05726BAA" w:rsidR="008D0FCD" w:rsidRPr="005A1511" w:rsidRDefault="001456FC">
      <w:pPr>
        <w:spacing w:after="0"/>
        <w:rPr>
          <w:rFonts w:ascii="Arial" w:eastAsia="Arial" w:hAnsi="Arial" w:cs="Arial"/>
          <w:b/>
          <w:color w:val="548DD4"/>
          <w:sz w:val="44"/>
          <w:szCs w:val="44"/>
        </w:rPr>
      </w:pPr>
      <w:r w:rsidRPr="005A1511">
        <w:rPr>
          <w:rFonts w:ascii="Arial" w:eastAsia="Arial" w:hAnsi="Arial" w:cs="Arial"/>
          <w:b/>
          <w:color w:val="548DD4"/>
          <w:sz w:val="44"/>
          <w:szCs w:val="44"/>
        </w:rPr>
        <w:t xml:space="preserve">Dashboard and </w:t>
      </w:r>
      <w:r w:rsidR="004155E4" w:rsidRPr="005A1511">
        <w:rPr>
          <w:rFonts w:ascii="Arial" w:eastAsia="Arial" w:hAnsi="Arial" w:cs="Arial"/>
          <w:b/>
          <w:color w:val="548DD4"/>
          <w:sz w:val="44"/>
          <w:szCs w:val="44"/>
        </w:rPr>
        <w:t>Comparator</w:t>
      </w:r>
      <w:r w:rsidRPr="005A1511">
        <w:rPr>
          <w:rFonts w:ascii="Arial" w:eastAsia="Arial" w:hAnsi="Arial" w:cs="Arial"/>
          <w:b/>
          <w:color w:val="548DD4"/>
          <w:sz w:val="44"/>
          <w:szCs w:val="44"/>
        </w:rPr>
        <w:t xml:space="preserve"> </w:t>
      </w:r>
      <w:r w:rsidR="00855C24" w:rsidRPr="005A1511">
        <w:rPr>
          <w:rFonts w:ascii="Arial" w:eastAsia="Arial" w:hAnsi="Arial" w:cs="Arial"/>
          <w:b/>
          <w:color w:val="548DD4"/>
          <w:sz w:val="44"/>
          <w:szCs w:val="44"/>
        </w:rPr>
        <w:t>Specification</w:t>
      </w:r>
    </w:p>
    <w:p w14:paraId="76E657A5" w14:textId="77777777" w:rsidR="009A7E12" w:rsidRPr="005A1511" w:rsidRDefault="009A7E12">
      <w:pPr>
        <w:rPr>
          <w:rFonts w:ascii="Arial" w:eastAsia="Arial" w:hAnsi="Arial" w:cs="Arial"/>
          <w:b/>
          <w:color w:val="548DD4"/>
          <w:sz w:val="44"/>
          <w:szCs w:val="44"/>
        </w:rPr>
      </w:pPr>
    </w:p>
    <w:p w14:paraId="1A22208F" w14:textId="7FEB09DD" w:rsidR="008D0FCD" w:rsidRPr="005A1511" w:rsidRDefault="008D0FCD">
      <w:pPr>
        <w:rPr>
          <w:rFonts w:ascii="Arial" w:eastAsia="Arial" w:hAnsi="Arial" w:cs="Arial"/>
          <w:b/>
          <w:color w:val="548DD4"/>
          <w:sz w:val="44"/>
          <w:szCs w:val="44"/>
        </w:rPr>
      </w:pPr>
      <w:r w:rsidRPr="005A1511">
        <w:rPr>
          <w:rFonts w:ascii="Arial" w:eastAsia="Arial" w:hAnsi="Arial" w:cs="Arial"/>
          <w:b/>
          <w:color w:val="548DD4"/>
          <w:sz w:val="44"/>
          <w:szCs w:val="44"/>
        </w:rPr>
        <w:br w:type="page"/>
      </w:r>
    </w:p>
    <w:bookmarkStart w:id="0" w:name="_Toc189144420" w:displacedByCustomXml="next"/>
    <w:sdt>
      <w:sdtPr>
        <w:rPr>
          <w:rFonts w:eastAsia="Calibri"/>
          <w:b w:val="0"/>
          <w:sz w:val="22"/>
          <w:szCs w:val="22"/>
        </w:rPr>
        <w:id w:val="33007863"/>
        <w:docPartObj>
          <w:docPartGallery w:val="Table of Contents"/>
          <w:docPartUnique/>
        </w:docPartObj>
      </w:sdtPr>
      <w:sdtEndPr>
        <w:rPr>
          <w:bCs/>
          <w:noProof/>
        </w:rPr>
      </w:sdtEndPr>
      <w:sdtContent>
        <w:p w14:paraId="015D13EB" w14:textId="4C3DFC10" w:rsidR="001E2F84" w:rsidRPr="005A1511" w:rsidRDefault="001E2F84" w:rsidP="00B2779E">
          <w:pPr>
            <w:pStyle w:val="Heading1"/>
          </w:pPr>
          <w:r w:rsidRPr="005A1511">
            <w:t>Table of Contents</w:t>
          </w:r>
          <w:bookmarkEnd w:id="0"/>
        </w:p>
        <w:p w14:paraId="7F873F8E" w14:textId="21482EE0" w:rsidR="005A1511" w:rsidRPr="005A1511" w:rsidRDefault="001E2F84">
          <w:pPr>
            <w:pStyle w:val="TOC1"/>
            <w:rPr>
              <w:rFonts w:eastAsiaTheme="minorEastAsia"/>
              <w:color w:val="auto"/>
              <w:kern w:val="2"/>
              <w:sz w:val="24"/>
              <w:szCs w:val="24"/>
              <w14:ligatures w14:val="standardContextual"/>
            </w:rPr>
          </w:pPr>
          <w:r w:rsidRPr="005A1511">
            <w:rPr>
              <w:noProof w:val="0"/>
            </w:rPr>
            <w:fldChar w:fldCharType="begin"/>
          </w:r>
          <w:r w:rsidRPr="005A1511">
            <w:instrText xml:space="preserve"> TOC \o "1-3" \h \z \u </w:instrText>
          </w:r>
          <w:r w:rsidRPr="005A1511">
            <w:rPr>
              <w:noProof w:val="0"/>
            </w:rPr>
            <w:fldChar w:fldCharType="separate"/>
          </w:r>
          <w:hyperlink w:anchor="_Toc189144420" w:history="1">
            <w:r w:rsidR="005A1511" w:rsidRPr="005A1511">
              <w:rPr>
                <w:rStyle w:val="Hyperlink"/>
              </w:rPr>
              <w:t>Table of Contents</w:t>
            </w:r>
            <w:r w:rsidR="005A1511" w:rsidRPr="005A1511">
              <w:rPr>
                <w:webHidden/>
              </w:rPr>
              <w:tab/>
            </w:r>
            <w:r w:rsidR="005A1511" w:rsidRPr="005A1511">
              <w:rPr>
                <w:webHidden/>
              </w:rPr>
              <w:fldChar w:fldCharType="begin"/>
            </w:r>
            <w:r w:rsidR="005A1511" w:rsidRPr="005A1511">
              <w:rPr>
                <w:webHidden/>
              </w:rPr>
              <w:instrText xml:space="preserve"> PAGEREF _Toc189144420 \h </w:instrText>
            </w:r>
            <w:r w:rsidR="005A1511" w:rsidRPr="005A1511">
              <w:rPr>
                <w:webHidden/>
              </w:rPr>
            </w:r>
            <w:r w:rsidR="005A1511" w:rsidRPr="005A1511">
              <w:rPr>
                <w:webHidden/>
              </w:rPr>
              <w:fldChar w:fldCharType="separate"/>
            </w:r>
            <w:r w:rsidR="005A1511" w:rsidRPr="005A1511">
              <w:rPr>
                <w:webHidden/>
              </w:rPr>
              <w:t>2</w:t>
            </w:r>
            <w:r w:rsidR="005A1511" w:rsidRPr="005A1511">
              <w:rPr>
                <w:webHidden/>
              </w:rPr>
              <w:fldChar w:fldCharType="end"/>
            </w:r>
          </w:hyperlink>
        </w:p>
        <w:p w14:paraId="029E2D6A" w14:textId="29ABAAB0" w:rsidR="005A1511" w:rsidRPr="005A1511" w:rsidRDefault="005A1511">
          <w:pPr>
            <w:pStyle w:val="TOC1"/>
            <w:rPr>
              <w:rFonts w:eastAsiaTheme="minorEastAsia"/>
              <w:color w:val="auto"/>
              <w:kern w:val="2"/>
              <w:sz w:val="24"/>
              <w:szCs w:val="24"/>
              <w14:ligatures w14:val="standardContextual"/>
            </w:rPr>
          </w:pPr>
          <w:hyperlink w:anchor="_Toc189144421" w:history="1">
            <w:r w:rsidRPr="005A1511">
              <w:rPr>
                <w:rStyle w:val="Hyperlink"/>
              </w:rPr>
              <w:t>Introduction</w:t>
            </w:r>
            <w:r w:rsidRPr="005A1511">
              <w:rPr>
                <w:webHidden/>
              </w:rPr>
              <w:tab/>
            </w:r>
            <w:r w:rsidRPr="005A1511">
              <w:rPr>
                <w:webHidden/>
              </w:rPr>
              <w:fldChar w:fldCharType="begin"/>
            </w:r>
            <w:r w:rsidRPr="005A1511">
              <w:rPr>
                <w:webHidden/>
              </w:rPr>
              <w:instrText xml:space="preserve"> PAGEREF _Toc189144421 \h </w:instrText>
            </w:r>
            <w:r w:rsidRPr="005A1511">
              <w:rPr>
                <w:webHidden/>
              </w:rPr>
            </w:r>
            <w:r w:rsidRPr="005A1511">
              <w:rPr>
                <w:webHidden/>
              </w:rPr>
              <w:fldChar w:fldCharType="separate"/>
            </w:r>
            <w:r w:rsidRPr="005A1511">
              <w:rPr>
                <w:webHidden/>
              </w:rPr>
              <w:t>4</w:t>
            </w:r>
            <w:r w:rsidRPr="005A1511">
              <w:rPr>
                <w:webHidden/>
              </w:rPr>
              <w:fldChar w:fldCharType="end"/>
            </w:r>
          </w:hyperlink>
        </w:p>
        <w:p w14:paraId="0940F4AF" w14:textId="020E8B45" w:rsidR="005A1511" w:rsidRPr="005A1511" w:rsidRDefault="005A1511">
          <w:pPr>
            <w:pStyle w:val="TOC1"/>
            <w:rPr>
              <w:rFonts w:eastAsiaTheme="minorEastAsia"/>
              <w:color w:val="auto"/>
              <w:kern w:val="2"/>
              <w:sz w:val="24"/>
              <w:szCs w:val="24"/>
              <w14:ligatures w14:val="standardContextual"/>
            </w:rPr>
          </w:pPr>
          <w:hyperlink w:anchor="_Toc189144422" w:history="1">
            <w:r w:rsidRPr="005A1511">
              <w:rPr>
                <w:rStyle w:val="Hyperlink"/>
              </w:rPr>
              <w:t>Dashboard Comparators</w:t>
            </w:r>
            <w:r w:rsidRPr="005A1511">
              <w:rPr>
                <w:webHidden/>
              </w:rPr>
              <w:tab/>
            </w:r>
            <w:r w:rsidRPr="005A1511">
              <w:rPr>
                <w:webHidden/>
              </w:rPr>
              <w:fldChar w:fldCharType="begin"/>
            </w:r>
            <w:r w:rsidRPr="005A1511">
              <w:rPr>
                <w:webHidden/>
              </w:rPr>
              <w:instrText xml:space="preserve"> PAGEREF _Toc189144422 \h </w:instrText>
            </w:r>
            <w:r w:rsidRPr="005A1511">
              <w:rPr>
                <w:webHidden/>
              </w:rPr>
            </w:r>
            <w:r w:rsidRPr="005A1511">
              <w:rPr>
                <w:webHidden/>
              </w:rPr>
              <w:fldChar w:fldCharType="separate"/>
            </w:r>
            <w:r w:rsidRPr="005A1511">
              <w:rPr>
                <w:webHidden/>
              </w:rPr>
              <w:t>5</w:t>
            </w:r>
            <w:r w:rsidRPr="005A1511">
              <w:rPr>
                <w:webHidden/>
              </w:rPr>
              <w:fldChar w:fldCharType="end"/>
            </w:r>
          </w:hyperlink>
        </w:p>
        <w:p w14:paraId="1BF78165" w14:textId="53CF70BD" w:rsidR="005A1511" w:rsidRPr="005A1511" w:rsidRDefault="005A1511">
          <w:pPr>
            <w:pStyle w:val="TOC1"/>
            <w:rPr>
              <w:rFonts w:eastAsiaTheme="minorEastAsia"/>
              <w:color w:val="auto"/>
              <w:kern w:val="2"/>
              <w:sz w:val="24"/>
              <w:szCs w:val="24"/>
              <w14:ligatures w14:val="standardContextual"/>
            </w:rPr>
          </w:pPr>
          <w:hyperlink w:anchor="_Toc189144423" w:history="1">
            <w:r w:rsidRPr="005A1511">
              <w:rPr>
                <w:rStyle w:val="Hyperlink"/>
              </w:rPr>
              <w:t>Medicines supply and prescribing data used in the dashboard</w:t>
            </w:r>
            <w:r w:rsidRPr="005A1511">
              <w:rPr>
                <w:webHidden/>
              </w:rPr>
              <w:tab/>
            </w:r>
            <w:r w:rsidRPr="005A1511">
              <w:rPr>
                <w:webHidden/>
              </w:rPr>
              <w:fldChar w:fldCharType="begin"/>
            </w:r>
            <w:r w:rsidRPr="005A1511">
              <w:rPr>
                <w:webHidden/>
              </w:rPr>
              <w:instrText xml:space="preserve"> PAGEREF _Toc189144423 \h </w:instrText>
            </w:r>
            <w:r w:rsidRPr="005A1511">
              <w:rPr>
                <w:webHidden/>
              </w:rPr>
            </w:r>
            <w:r w:rsidRPr="005A1511">
              <w:rPr>
                <w:webHidden/>
              </w:rPr>
              <w:fldChar w:fldCharType="separate"/>
            </w:r>
            <w:r w:rsidRPr="005A1511">
              <w:rPr>
                <w:webHidden/>
              </w:rPr>
              <w:t>7</w:t>
            </w:r>
            <w:r w:rsidRPr="005A1511">
              <w:rPr>
                <w:webHidden/>
              </w:rPr>
              <w:fldChar w:fldCharType="end"/>
            </w:r>
          </w:hyperlink>
        </w:p>
        <w:p w14:paraId="012BC36C" w14:textId="489FBB4A" w:rsidR="005A1511" w:rsidRPr="005A1511" w:rsidRDefault="005A1511">
          <w:pPr>
            <w:pStyle w:val="TOC1"/>
            <w:rPr>
              <w:rFonts w:eastAsiaTheme="minorEastAsia"/>
              <w:color w:val="auto"/>
              <w:kern w:val="2"/>
              <w:sz w:val="24"/>
              <w:szCs w:val="24"/>
              <w14:ligatures w14:val="standardContextual"/>
            </w:rPr>
          </w:pPr>
          <w:hyperlink w:anchor="_Toc189144424" w:history="1">
            <w:r w:rsidRPr="005A1511">
              <w:rPr>
                <w:rStyle w:val="Hyperlink"/>
              </w:rPr>
              <w:t>Derivation of organisational units</w:t>
            </w:r>
            <w:r w:rsidRPr="005A1511">
              <w:rPr>
                <w:webHidden/>
              </w:rPr>
              <w:tab/>
            </w:r>
            <w:r w:rsidRPr="005A1511">
              <w:rPr>
                <w:webHidden/>
              </w:rPr>
              <w:fldChar w:fldCharType="begin"/>
            </w:r>
            <w:r w:rsidRPr="005A1511">
              <w:rPr>
                <w:webHidden/>
              </w:rPr>
              <w:instrText xml:space="preserve"> PAGEREF _Toc189144424 \h </w:instrText>
            </w:r>
            <w:r w:rsidRPr="005A1511">
              <w:rPr>
                <w:webHidden/>
              </w:rPr>
            </w:r>
            <w:r w:rsidRPr="005A1511">
              <w:rPr>
                <w:webHidden/>
              </w:rPr>
              <w:fldChar w:fldCharType="separate"/>
            </w:r>
            <w:r w:rsidRPr="005A1511">
              <w:rPr>
                <w:webHidden/>
              </w:rPr>
              <w:t>8</w:t>
            </w:r>
            <w:r w:rsidRPr="005A1511">
              <w:rPr>
                <w:webHidden/>
              </w:rPr>
              <w:fldChar w:fldCharType="end"/>
            </w:r>
          </w:hyperlink>
        </w:p>
        <w:p w14:paraId="06F4B242" w14:textId="091AE29C" w:rsidR="005A1511" w:rsidRPr="005A1511" w:rsidRDefault="005A1511">
          <w:pPr>
            <w:pStyle w:val="TOC1"/>
            <w:rPr>
              <w:rFonts w:eastAsiaTheme="minorEastAsia"/>
              <w:color w:val="auto"/>
              <w:kern w:val="2"/>
              <w:sz w:val="24"/>
              <w:szCs w:val="24"/>
              <w14:ligatures w14:val="standardContextual"/>
            </w:rPr>
          </w:pPr>
          <w:hyperlink w:anchor="_Toc189144425" w:history="1">
            <w:r w:rsidRPr="005A1511">
              <w:rPr>
                <w:rStyle w:val="Hyperlink"/>
              </w:rPr>
              <w:t>Patient identifiable data completeness</w:t>
            </w:r>
            <w:r w:rsidRPr="005A1511">
              <w:rPr>
                <w:webHidden/>
              </w:rPr>
              <w:tab/>
            </w:r>
            <w:r w:rsidRPr="005A1511">
              <w:rPr>
                <w:webHidden/>
              </w:rPr>
              <w:fldChar w:fldCharType="begin"/>
            </w:r>
            <w:r w:rsidRPr="005A1511">
              <w:rPr>
                <w:webHidden/>
              </w:rPr>
              <w:instrText xml:space="preserve"> PAGEREF _Toc189144425 \h </w:instrText>
            </w:r>
            <w:r w:rsidRPr="005A1511">
              <w:rPr>
                <w:webHidden/>
              </w:rPr>
            </w:r>
            <w:r w:rsidRPr="005A1511">
              <w:rPr>
                <w:webHidden/>
              </w:rPr>
              <w:fldChar w:fldCharType="separate"/>
            </w:r>
            <w:r w:rsidRPr="005A1511">
              <w:rPr>
                <w:webHidden/>
              </w:rPr>
              <w:t>8</w:t>
            </w:r>
            <w:r w:rsidRPr="005A1511">
              <w:rPr>
                <w:webHidden/>
              </w:rPr>
              <w:fldChar w:fldCharType="end"/>
            </w:r>
          </w:hyperlink>
        </w:p>
        <w:p w14:paraId="746749A8" w14:textId="5912C416" w:rsidR="005A1511" w:rsidRPr="005A1511" w:rsidRDefault="005A1511">
          <w:pPr>
            <w:pStyle w:val="TOC1"/>
            <w:rPr>
              <w:rFonts w:eastAsiaTheme="minorEastAsia"/>
              <w:color w:val="auto"/>
              <w:kern w:val="2"/>
              <w:sz w:val="24"/>
              <w:szCs w:val="24"/>
              <w14:ligatures w14:val="standardContextual"/>
            </w:rPr>
          </w:pPr>
          <w:hyperlink w:anchor="_Toc189144426" w:history="1">
            <w:r w:rsidRPr="005A1511">
              <w:rPr>
                <w:rStyle w:val="Hyperlink"/>
              </w:rPr>
              <w:t>Age bands</w:t>
            </w:r>
            <w:r w:rsidRPr="005A1511">
              <w:rPr>
                <w:webHidden/>
              </w:rPr>
              <w:tab/>
            </w:r>
            <w:r w:rsidRPr="005A1511">
              <w:rPr>
                <w:webHidden/>
              </w:rPr>
              <w:fldChar w:fldCharType="begin"/>
            </w:r>
            <w:r w:rsidRPr="005A1511">
              <w:rPr>
                <w:webHidden/>
              </w:rPr>
              <w:instrText xml:space="preserve"> PAGEREF _Toc189144426 \h </w:instrText>
            </w:r>
            <w:r w:rsidRPr="005A1511">
              <w:rPr>
                <w:webHidden/>
              </w:rPr>
            </w:r>
            <w:r w:rsidRPr="005A1511">
              <w:rPr>
                <w:webHidden/>
              </w:rPr>
              <w:fldChar w:fldCharType="separate"/>
            </w:r>
            <w:r w:rsidRPr="005A1511">
              <w:rPr>
                <w:webHidden/>
              </w:rPr>
              <w:t>8</w:t>
            </w:r>
            <w:r w:rsidRPr="005A1511">
              <w:rPr>
                <w:webHidden/>
              </w:rPr>
              <w:fldChar w:fldCharType="end"/>
            </w:r>
          </w:hyperlink>
        </w:p>
        <w:p w14:paraId="39819E27" w14:textId="317F45D5" w:rsidR="005A1511" w:rsidRPr="005A1511" w:rsidRDefault="005A1511">
          <w:pPr>
            <w:pStyle w:val="TOC1"/>
            <w:rPr>
              <w:rFonts w:eastAsiaTheme="minorEastAsia"/>
              <w:color w:val="auto"/>
              <w:kern w:val="2"/>
              <w:sz w:val="24"/>
              <w:szCs w:val="24"/>
              <w14:ligatures w14:val="standardContextual"/>
            </w:rPr>
          </w:pPr>
          <w:hyperlink w:anchor="_Toc189144427" w:history="1">
            <w:r w:rsidRPr="005A1511">
              <w:rPr>
                <w:rStyle w:val="Hyperlink"/>
              </w:rPr>
              <w:t>Gender</w:t>
            </w:r>
            <w:r w:rsidRPr="005A1511">
              <w:rPr>
                <w:webHidden/>
              </w:rPr>
              <w:tab/>
            </w:r>
            <w:r w:rsidRPr="005A1511">
              <w:rPr>
                <w:webHidden/>
              </w:rPr>
              <w:fldChar w:fldCharType="begin"/>
            </w:r>
            <w:r w:rsidRPr="005A1511">
              <w:rPr>
                <w:webHidden/>
              </w:rPr>
              <w:instrText xml:space="preserve"> PAGEREF _Toc189144427 \h </w:instrText>
            </w:r>
            <w:r w:rsidRPr="005A1511">
              <w:rPr>
                <w:webHidden/>
              </w:rPr>
            </w:r>
            <w:r w:rsidRPr="005A1511">
              <w:rPr>
                <w:webHidden/>
              </w:rPr>
              <w:fldChar w:fldCharType="separate"/>
            </w:r>
            <w:r w:rsidRPr="005A1511">
              <w:rPr>
                <w:webHidden/>
              </w:rPr>
              <w:t>8</w:t>
            </w:r>
            <w:r w:rsidRPr="005A1511">
              <w:rPr>
                <w:webHidden/>
              </w:rPr>
              <w:fldChar w:fldCharType="end"/>
            </w:r>
          </w:hyperlink>
        </w:p>
        <w:p w14:paraId="3C9D1C34" w14:textId="3B5DA874" w:rsidR="005A1511" w:rsidRPr="005A1511" w:rsidRDefault="005A1511">
          <w:pPr>
            <w:pStyle w:val="TOC1"/>
            <w:rPr>
              <w:rFonts w:eastAsiaTheme="minorEastAsia"/>
              <w:color w:val="auto"/>
              <w:kern w:val="2"/>
              <w:sz w:val="24"/>
              <w:szCs w:val="24"/>
              <w14:ligatures w14:val="standardContextual"/>
            </w:rPr>
          </w:pPr>
          <w:hyperlink w:anchor="_Toc189144428" w:history="1">
            <w:r w:rsidRPr="005A1511">
              <w:rPr>
                <w:rStyle w:val="Hyperlink"/>
              </w:rPr>
              <w:t>Patient counts</w:t>
            </w:r>
            <w:r w:rsidRPr="005A1511">
              <w:rPr>
                <w:webHidden/>
              </w:rPr>
              <w:tab/>
            </w:r>
            <w:r w:rsidRPr="005A1511">
              <w:rPr>
                <w:webHidden/>
              </w:rPr>
              <w:fldChar w:fldCharType="begin"/>
            </w:r>
            <w:r w:rsidRPr="005A1511">
              <w:rPr>
                <w:webHidden/>
              </w:rPr>
              <w:instrText xml:space="preserve"> PAGEREF _Toc189144428 \h </w:instrText>
            </w:r>
            <w:r w:rsidRPr="005A1511">
              <w:rPr>
                <w:webHidden/>
              </w:rPr>
            </w:r>
            <w:r w:rsidRPr="005A1511">
              <w:rPr>
                <w:webHidden/>
              </w:rPr>
              <w:fldChar w:fldCharType="separate"/>
            </w:r>
            <w:r w:rsidRPr="005A1511">
              <w:rPr>
                <w:webHidden/>
              </w:rPr>
              <w:t>9</w:t>
            </w:r>
            <w:r w:rsidRPr="005A1511">
              <w:rPr>
                <w:webHidden/>
              </w:rPr>
              <w:fldChar w:fldCharType="end"/>
            </w:r>
          </w:hyperlink>
        </w:p>
        <w:p w14:paraId="724FCF27" w14:textId="5AAAC675" w:rsidR="005A1511" w:rsidRPr="005A1511" w:rsidRDefault="005A1511">
          <w:pPr>
            <w:pStyle w:val="TOC1"/>
            <w:rPr>
              <w:rFonts w:eastAsiaTheme="minorEastAsia"/>
              <w:color w:val="auto"/>
              <w:kern w:val="2"/>
              <w:sz w:val="24"/>
              <w:szCs w:val="24"/>
              <w14:ligatures w14:val="standardContextual"/>
            </w:rPr>
          </w:pPr>
          <w:hyperlink w:anchor="_Toc189144429" w:history="1">
            <w:r w:rsidRPr="005A1511">
              <w:rPr>
                <w:rStyle w:val="Hyperlink"/>
              </w:rPr>
              <w:t>Practice list sizes</w:t>
            </w:r>
            <w:r w:rsidRPr="005A1511">
              <w:rPr>
                <w:webHidden/>
              </w:rPr>
              <w:tab/>
            </w:r>
            <w:r w:rsidRPr="005A1511">
              <w:rPr>
                <w:webHidden/>
              </w:rPr>
              <w:fldChar w:fldCharType="begin"/>
            </w:r>
            <w:r w:rsidRPr="005A1511">
              <w:rPr>
                <w:webHidden/>
              </w:rPr>
              <w:instrText xml:space="preserve"> PAGEREF _Toc189144429 \h </w:instrText>
            </w:r>
            <w:r w:rsidRPr="005A1511">
              <w:rPr>
                <w:webHidden/>
              </w:rPr>
            </w:r>
            <w:r w:rsidRPr="005A1511">
              <w:rPr>
                <w:webHidden/>
              </w:rPr>
              <w:fldChar w:fldCharType="separate"/>
            </w:r>
            <w:r w:rsidRPr="005A1511">
              <w:rPr>
                <w:webHidden/>
              </w:rPr>
              <w:t>9</w:t>
            </w:r>
            <w:r w:rsidRPr="005A1511">
              <w:rPr>
                <w:webHidden/>
              </w:rPr>
              <w:fldChar w:fldCharType="end"/>
            </w:r>
          </w:hyperlink>
        </w:p>
        <w:p w14:paraId="7ACB0A51" w14:textId="2453C181" w:rsidR="005A1511" w:rsidRPr="005A1511" w:rsidRDefault="005A1511">
          <w:pPr>
            <w:pStyle w:val="TOC1"/>
            <w:rPr>
              <w:rFonts w:eastAsiaTheme="minorEastAsia"/>
              <w:color w:val="auto"/>
              <w:kern w:val="2"/>
              <w:sz w:val="24"/>
              <w:szCs w:val="24"/>
              <w14:ligatures w14:val="standardContextual"/>
            </w:rPr>
          </w:pPr>
          <w:hyperlink w:anchor="_Toc189144430" w:history="1">
            <w:r w:rsidRPr="005A1511">
              <w:rPr>
                <w:rStyle w:val="Hyperlink"/>
              </w:rPr>
              <w:t>Medicines included in the comparators</w:t>
            </w:r>
            <w:r w:rsidRPr="005A1511">
              <w:rPr>
                <w:webHidden/>
              </w:rPr>
              <w:tab/>
            </w:r>
            <w:r w:rsidRPr="005A1511">
              <w:rPr>
                <w:webHidden/>
              </w:rPr>
              <w:fldChar w:fldCharType="begin"/>
            </w:r>
            <w:r w:rsidRPr="005A1511">
              <w:rPr>
                <w:webHidden/>
              </w:rPr>
              <w:instrText xml:space="preserve"> PAGEREF _Toc189144430 \h </w:instrText>
            </w:r>
            <w:r w:rsidRPr="005A1511">
              <w:rPr>
                <w:webHidden/>
              </w:rPr>
            </w:r>
            <w:r w:rsidRPr="005A1511">
              <w:rPr>
                <w:webHidden/>
              </w:rPr>
              <w:fldChar w:fldCharType="separate"/>
            </w:r>
            <w:r w:rsidRPr="005A1511">
              <w:rPr>
                <w:webHidden/>
              </w:rPr>
              <w:t>9</w:t>
            </w:r>
            <w:r w:rsidRPr="005A1511">
              <w:rPr>
                <w:webHidden/>
              </w:rPr>
              <w:fldChar w:fldCharType="end"/>
            </w:r>
          </w:hyperlink>
        </w:p>
        <w:p w14:paraId="5A57CF11" w14:textId="1DE32BB3" w:rsidR="005A1511" w:rsidRPr="005A1511" w:rsidRDefault="005A1511">
          <w:pPr>
            <w:pStyle w:val="TOC1"/>
            <w:rPr>
              <w:rFonts w:eastAsiaTheme="minorEastAsia"/>
              <w:color w:val="auto"/>
              <w:kern w:val="2"/>
              <w:sz w:val="24"/>
              <w:szCs w:val="24"/>
              <w14:ligatures w14:val="standardContextual"/>
            </w:rPr>
          </w:pPr>
          <w:hyperlink w:anchor="_Toc189144431" w:history="1">
            <w:r w:rsidRPr="005A1511">
              <w:rPr>
                <w:rStyle w:val="Hyperlink"/>
              </w:rPr>
              <w:t>Data quality assurance</w:t>
            </w:r>
            <w:r w:rsidRPr="005A1511">
              <w:rPr>
                <w:webHidden/>
              </w:rPr>
              <w:tab/>
            </w:r>
            <w:r w:rsidRPr="005A1511">
              <w:rPr>
                <w:webHidden/>
              </w:rPr>
              <w:fldChar w:fldCharType="begin"/>
            </w:r>
            <w:r w:rsidRPr="005A1511">
              <w:rPr>
                <w:webHidden/>
              </w:rPr>
              <w:instrText xml:space="preserve"> PAGEREF _Toc189144431 \h </w:instrText>
            </w:r>
            <w:r w:rsidRPr="005A1511">
              <w:rPr>
                <w:webHidden/>
              </w:rPr>
            </w:r>
            <w:r w:rsidRPr="005A1511">
              <w:rPr>
                <w:webHidden/>
              </w:rPr>
              <w:fldChar w:fldCharType="separate"/>
            </w:r>
            <w:r w:rsidRPr="005A1511">
              <w:rPr>
                <w:webHidden/>
              </w:rPr>
              <w:t>10</w:t>
            </w:r>
            <w:r w:rsidRPr="005A1511">
              <w:rPr>
                <w:webHidden/>
              </w:rPr>
              <w:fldChar w:fldCharType="end"/>
            </w:r>
          </w:hyperlink>
        </w:p>
        <w:p w14:paraId="75AFB2F0" w14:textId="467023A0" w:rsidR="005A1511" w:rsidRPr="005A1511" w:rsidRDefault="005A1511">
          <w:pPr>
            <w:pStyle w:val="TOC1"/>
            <w:rPr>
              <w:rFonts w:eastAsiaTheme="minorEastAsia"/>
              <w:color w:val="auto"/>
              <w:kern w:val="2"/>
              <w:sz w:val="24"/>
              <w:szCs w:val="24"/>
              <w14:ligatures w14:val="standardContextual"/>
            </w:rPr>
          </w:pPr>
          <w:hyperlink w:anchor="_Toc189144432" w:history="1">
            <w:r w:rsidRPr="005A1511">
              <w:rPr>
                <w:rStyle w:val="Hyperlink"/>
              </w:rPr>
              <w:t>Dashboard availability and redaction of small numbers</w:t>
            </w:r>
            <w:r w:rsidRPr="005A1511">
              <w:rPr>
                <w:webHidden/>
              </w:rPr>
              <w:tab/>
            </w:r>
            <w:r w:rsidRPr="005A1511">
              <w:rPr>
                <w:webHidden/>
              </w:rPr>
              <w:fldChar w:fldCharType="begin"/>
            </w:r>
            <w:r w:rsidRPr="005A1511">
              <w:rPr>
                <w:webHidden/>
              </w:rPr>
              <w:instrText xml:space="preserve"> PAGEREF _Toc189144432 \h </w:instrText>
            </w:r>
            <w:r w:rsidRPr="005A1511">
              <w:rPr>
                <w:webHidden/>
              </w:rPr>
            </w:r>
            <w:r w:rsidRPr="005A1511">
              <w:rPr>
                <w:webHidden/>
              </w:rPr>
              <w:fldChar w:fldCharType="separate"/>
            </w:r>
            <w:r w:rsidRPr="005A1511">
              <w:rPr>
                <w:webHidden/>
              </w:rPr>
              <w:t>10</w:t>
            </w:r>
            <w:r w:rsidRPr="005A1511">
              <w:rPr>
                <w:webHidden/>
              </w:rPr>
              <w:fldChar w:fldCharType="end"/>
            </w:r>
          </w:hyperlink>
        </w:p>
        <w:p w14:paraId="70709360" w14:textId="0CEB140A" w:rsidR="005A1511" w:rsidRPr="005A1511" w:rsidRDefault="005A1511">
          <w:pPr>
            <w:pStyle w:val="TOC1"/>
            <w:rPr>
              <w:rFonts w:eastAsiaTheme="minorEastAsia"/>
              <w:color w:val="auto"/>
              <w:kern w:val="2"/>
              <w:sz w:val="24"/>
              <w:szCs w:val="24"/>
              <w14:ligatures w14:val="standardContextual"/>
            </w:rPr>
          </w:pPr>
          <w:hyperlink w:anchor="_Toc189144433" w:history="1">
            <w:r w:rsidRPr="005A1511">
              <w:rPr>
                <w:rStyle w:val="Hyperlink"/>
              </w:rPr>
              <w:t>Data Source</w:t>
            </w:r>
            <w:r w:rsidRPr="005A1511">
              <w:rPr>
                <w:webHidden/>
              </w:rPr>
              <w:tab/>
            </w:r>
            <w:r w:rsidRPr="005A1511">
              <w:rPr>
                <w:webHidden/>
              </w:rPr>
              <w:fldChar w:fldCharType="begin"/>
            </w:r>
            <w:r w:rsidRPr="005A1511">
              <w:rPr>
                <w:webHidden/>
              </w:rPr>
              <w:instrText xml:space="preserve"> PAGEREF _Toc189144433 \h </w:instrText>
            </w:r>
            <w:r w:rsidRPr="005A1511">
              <w:rPr>
                <w:webHidden/>
              </w:rPr>
            </w:r>
            <w:r w:rsidRPr="005A1511">
              <w:rPr>
                <w:webHidden/>
              </w:rPr>
              <w:fldChar w:fldCharType="separate"/>
            </w:r>
            <w:r w:rsidRPr="005A1511">
              <w:rPr>
                <w:webHidden/>
              </w:rPr>
              <w:t>10</w:t>
            </w:r>
            <w:r w:rsidRPr="005A1511">
              <w:rPr>
                <w:webHidden/>
              </w:rPr>
              <w:fldChar w:fldCharType="end"/>
            </w:r>
          </w:hyperlink>
        </w:p>
        <w:p w14:paraId="29D2C330" w14:textId="54D961E8" w:rsidR="005A1511" w:rsidRPr="005A1511" w:rsidRDefault="005A1511">
          <w:pPr>
            <w:pStyle w:val="TOC1"/>
            <w:rPr>
              <w:rFonts w:eastAsiaTheme="minorEastAsia"/>
              <w:color w:val="auto"/>
              <w:kern w:val="2"/>
              <w:sz w:val="24"/>
              <w:szCs w:val="24"/>
              <w14:ligatures w14:val="standardContextual"/>
            </w:rPr>
          </w:pPr>
          <w:hyperlink w:anchor="_Toc189144434" w:history="1">
            <w:r w:rsidRPr="005A1511">
              <w:rPr>
                <w:rStyle w:val="Hyperlink"/>
              </w:rPr>
              <w:t>Data owner &amp; contact details</w:t>
            </w:r>
            <w:r w:rsidRPr="005A1511">
              <w:rPr>
                <w:webHidden/>
              </w:rPr>
              <w:tab/>
            </w:r>
            <w:r w:rsidRPr="005A1511">
              <w:rPr>
                <w:webHidden/>
              </w:rPr>
              <w:fldChar w:fldCharType="begin"/>
            </w:r>
            <w:r w:rsidRPr="005A1511">
              <w:rPr>
                <w:webHidden/>
              </w:rPr>
              <w:instrText xml:space="preserve"> PAGEREF _Toc189144434 \h </w:instrText>
            </w:r>
            <w:r w:rsidRPr="005A1511">
              <w:rPr>
                <w:webHidden/>
              </w:rPr>
            </w:r>
            <w:r w:rsidRPr="005A1511">
              <w:rPr>
                <w:webHidden/>
              </w:rPr>
              <w:fldChar w:fldCharType="separate"/>
            </w:r>
            <w:r w:rsidRPr="005A1511">
              <w:rPr>
                <w:webHidden/>
              </w:rPr>
              <w:t>10</w:t>
            </w:r>
            <w:r w:rsidRPr="005A1511">
              <w:rPr>
                <w:webHidden/>
              </w:rPr>
              <w:fldChar w:fldCharType="end"/>
            </w:r>
          </w:hyperlink>
        </w:p>
        <w:p w14:paraId="1596BEEA" w14:textId="13A0926A" w:rsidR="005A1511" w:rsidRPr="005A1511" w:rsidRDefault="005A1511">
          <w:pPr>
            <w:pStyle w:val="TOC1"/>
            <w:rPr>
              <w:rFonts w:eastAsiaTheme="minorEastAsia"/>
              <w:color w:val="auto"/>
              <w:kern w:val="2"/>
              <w:sz w:val="24"/>
              <w:szCs w:val="24"/>
              <w14:ligatures w14:val="standardContextual"/>
            </w:rPr>
          </w:pPr>
          <w:hyperlink w:anchor="_Toc189144435" w:history="1">
            <w:r w:rsidRPr="005A1511">
              <w:rPr>
                <w:rStyle w:val="Hyperlink"/>
              </w:rPr>
              <w:t>Frequency of updates</w:t>
            </w:r>
            <w:r w:rsidRPr="005A1511">
              <w:rPr>
                <w:webHidden/>
              </w:rPr>
              <w:tab/>
            </w:r>
            <w:r w:rsidRPr="005A1511">
              <w:rPr>
                <w:webHidden/>
              </w:rPr>
              <w:fldChar w:fldCharType="begin"/>
            </w:r>
            <w:r w:rsidRPr="005A1511">
              <w:rPr>
                <w:webHidden/>
              </w:rPr>
              <w:instrText xml:space="preserve"> PAGEREF _Toc189144435 \h </w:instrText>
            </w:r>
            <w:r w:rsidRPr="005A1511">
              <w:rPr>
                <w:webHidden/>
              </w:rPr>
            </w:r>
            <w:r w:rsidRPr="005A1511">
              <w:rPr>
                <w:webHidden/>
              </w:rPr>
              <w:fldChar w:fldCharType="separate"/>
            </w:r>
            <w:r w:rsidRPr="005A1511">
              <w:rPr>
                <w:webHidden/>
              </w:rPr>
              <w:t>10</w:t>
            </w:r>
            <w:r w:rsidRPr="005A1511">
              <w:rPr>
                <w:webHidden/>
              </w:rPr>
              <w:fldChar w:fldCharType="end"/>
            </w:r>
          </w:hyperlink>
        </w:p>
        <w:p w14:paraId="5326CC81" w14:textId="7D82FCA2" w:rsidR="005A1511" w:rsidRPr="005A1511" w:rsidRDefault="005A1511">
          <w:pPr>
            <w:pStyle w:val="TOC1"/>
            <w:rPr>
              <w:rFonts w:eastAsiaTheme="minorEastAsia"/>
              <w:color w:val="auto"/>
              <w:kern w:val="2"/>
              <w:sz w:val="24"/>
              <w:szCs w:val="24"/>
              <w14:ligatures w14:val="standardContextual"/>
            </w:rPr>
          </w:pPr>
          <w:hyperlink w:anchor="_Toc189144436" w:history="1">
            <w:r w:rsidRPr="005A1511">
              <w:rPr>
                <w:rStyle w:val="Hyperlink"/>
              </w:rPr>
              <w:t>Comparator Specifications</w:t>
            </w:r>
            <w:r w:rsidRPr="005A1511">
              <w:rPr>
                <w:webHidden/>
              </w:rPr>
              <w:tab/>
            </w:r>
            <w:r w:rsidRPr="005A1511">
              <w:rPr>
                <w:webHidden/>
              </w:rPr>
              <w:fldChar w:fldCharType="begin"/>
            </w:r>
            <w:r w:rsidRPr="005A1511">
              <w:rPr>
                <w:webHidden/>
              </w:rPr>
              <w:instrText xml:space="preserve"> PAGEREF _Toc189144436 \h </w:instrText>
            </w:r>
            <w:r w:rsidRPr="005A1511">
              <w:rPr>
                <w:webHidden/>
              </w:rPr>
            </w:r>
            <w:r w:rsidRPr="005A1511">
              <w:rPr>
                <w:webHidden/>
              </w:rPr>
              <w:fldChar w:fldCharType="separate"/>
            </w:r>
            <w:r w:rsidRPr="005A1511">
              <w:rPr>
                <w:webHidden/>
              </w:rPr>
              <w:t>11</w:t>
            </w:r>
            <w:r w:rsidRPr="005A1511">
              <w:rPr>
                <w:webHidden/>
              </w:rPr>
              <w:fldChar w:fldCharType="end"/>
            </w:r>
          </w:hyperlink>
        </w:p>
        <w:p w14:paraId="1280653B" w14:textId="65CAE623" w:rsidR="005A1511" w:rsidRPr="005A1511" w:rsidRDefault="005A1511">
          <w:pPr>
            <w:pStyle w:val="TOC2"/>
            <w:tabs>
              <w:tab w:val="right" w:leader="dot" w:pos="9628"/>
            </w:tabs>
            <w:rPr>
              <w:rFonts w:ascii="Arial" w:eastAsiaTheme="minorEastAsia" w:hAnsi="Arial" w:cs="Arial"/>
              <w:noProof/>
              <w:color w:val="auto"/>
              <w:kern w:val="2"/>
              <w:sz w:val="24"/>
              <w:szCs w:val="24"/>
              <w14:ligatures w14:val="standardContextual"/>
            </w:rPr>
          </w:pPr>
          <w:hyperlink w:anchor="_Toc189144437" w:history="1">
            <w:r w:rsidRPr="005A1511">
              <w:rPr>
                <w:rStyle w:val="Hyperlink"/>
                <w:rFonts w:ascii="Arial" w:hAnsi="Arial" w:cs="Arial"/>
                <w:noProof/>
              </w:rPr>
              <w:t>Comparator: Population Access</w:t>
            </w:r>
            <w:r w:rsidRPr="005A1511">
              <w:rPr>
                <w:rFonts w:ascii="Arial" w:hAnsi="Arial" w:cs="Arial"/>
                <w:noProof/>
                <w:webHidden/>
              </w:rPr>
              <w:tab/>
            </w:r>
            <w:r w:rsidRPr="005A1511">
              <w:rPr>
                <w:rFonts w:ascii="Arial" w:hAnsi="Arial" w:cs="Arial"/>
                <w:noProof/>
                <w:webHidden/>
              </w:rPr>
              <w:fldChar w:fldCharType="begin"/>
            </w:r>
            <w:r w:rsidRPr="005A1511">
              <w:rPr>
                <w:rFonts w:ascii="Arial" w:hAnsi="Arial" w:cs="Arial"/>
                <w:noProof/>
                <w:webHidden/>
              </w:rPr>
              <w:instrText xml:space="preserve"> PAGEREF _Toc189144437 \h </w:instrText>
            </w:r>
            <w:r w:rsidRPr="005A1511">
              <w:rPr>
                <w:rFonts w:ascii="Arial" w:hAnsi="Arial" w:cs="Arial"/>
                <w:noProof/>
                <w:webHidden/>
              </w:rPr>
            </w:r>
            <w:r w:rsidRPr="005A1511">
              <w:rPr>
                <w:rFonts w:ascii="Arial" w:hAnsi="Arial" w:cs="Arial"/>
                <w:noProof/>
                <w:webHidden/>
              </w:rPr>
              <w:fldChar w:fldCharType="separate"/>
            </w:r>
            <w:r w:rsidRPr="005A1511">
              <w:rPr>
                <w:rFonts w:ascii="Arial" w:hAnsi="Arial" w:cs="Arial"/>
                <w:noProof/>
                <w:webHidden/>
              </w:rPr>
              <w:t>11</w:t>
            </w:r>
            <w:r w:rsidRPr="005A1511">
              <w:rPr>
                <w:rFonts w:ascii="Arial" w:hAnsi="Arial" w:cs="Arial"/>
                <w:noProof/>
                <w:webHidden/>
              </w:rPr>
              <w:fldChar w:fldCharType="end"/>
            </w:r>
          </w:hyperlink>
        </w:p>
        <w:p w14:paraId="62B83F48" w14:textId="0761FE62" w:rsidR="005A1511" w:rsidRPr="005A1511" w:rsidRDefault="005A1511">
          <w:pPr>
            <w:pStyle w:val="TOC2"/>
            <w:tabs>
              <w:tab w:val="right" w:leader="dot" w:pos="9628"/>
            </w:tabs>
            <w:rPr>
              <w:rFonts w:ascii="Arial" w:eastAsiaTheme="minorEastAsia" w:hAnsi="Arial" w:cs="Arial"/>
              <w:noProof/>
              <w:color w:val="auto"/>
              <w:kern w:val="2"/>
              <w:sz w:val="24"/>
              <w:szCs w:val="24"/>
              <w14:ligatures w14:val="standardContextual"/>
            </w:rPr>
          </w:pPr>
          <w:hyperlink w:anchor="_Toc189144438" w:history="1">
            <w:r w:rsidRPr="005A1511">
              <w:rPr>
                <w:rStyle w:val="Hyperlink"/>
                <w:rFonts w:ascii="Arial" w:hAnsi="Arial" w:cs="Arial"/>
                <w:noProof/>
              </w:rPr>
              <w:t>Comparator: Pathway by Consultation Outcome</w:t>
            </w:r>
            <w:r w:rsidRPr="005A1511">
              <w:rPr>
                <w:rFonts w:ascii="Arial" w:hAnsi="Arial" w:cs="Arial"/>
                <w:noProof/>
                <w:webHidden/>
              </w:rPr>
              <w:tab/>
            </w:r>
            <w:r w:rsidRPr="005A1511">
              <w:rPr>
                <w:rFonts w:ascii="Arial" w:hAnsi="Arial" w:cs="Arial"/>
                <w:noProof/>
                <w:webHidden/>
              </w:rPr>
              <w:fldChar w:fldCharType="begin"/>
            </w:r>
            <w:r w:rsidRPr="005A1511">
              <w:rPr>
                <w:rFonts w:ascii="Arial" w:hAnsi="Arial" w:cs="Arial"/>
                <w:noProof/>
                <w:webHidden/>
              </w:rPr>
              <w:instrText xml:space="preserve"> PAGEREF _Toc189144438 \h </w:instrText>
            </w:r>
            <w:r w:rsidRPr="005A1511">
              <w:rPr>
                <w:rFonts w:ascii="Arial" w:hAnsi="Arial" w:cs="Arial"/>
                <w:noProof/>
                <w:webHidden/>
              </w:rPr>
            </w:r>
            <w:r w:rsidRPr="005A1511">
              <w:rPr>
                <w:rFonts w:ascii="Arial" w:hAnsi="Arial" w:cs="Arial"/>
                <w:noProof/>
                <w:webHidden/>
              </w:rPr>
              <w:fldChar w:fldCharType="separate"/>
            </w:r>
            <w:r w:rsidRPr="005A1511">
              <w:rPr>
                <w:rFonts w:ascii="Arial" w:hAnsi="Arial" w:cs="Arial"/>
                <w:noProof/>
                <w:webHidden/>
              </w:rPr>
              <w:t>11</w:t>
            </w:r>
            <w:r w:rsidRPr="005A1511">
              <w:rPr>
                <w:rFonts w:ascii="Arial" w:hAnsi="Arial" w:cs="Arial"/>
                <w:noProof/>
                <w:webHidden/>
              </w:rPr>
              <w:fldChar w:fldCharType="end"/>
            </w:r>
          </w:hyperlink>
        </w:p>
        <w:p w14:paraId="5160857F" w14:textId="4704346E" w:rsidR="005A1511" w:rsidRPr="005A1511" w:rsidRDefault="005A1511">
          <w:pPr>
            <w:pStyle w:val="TOC2"/>
            <w:tabs>
              <w:tab w:val="right" w:leader="dot" w:pos="9628"/>
            </w:tabs>
            <w:rPr>
              <w:rFonts w:ascii="Arial" w:eastAsiaTheme="minorEastAsia" w:hAnsi="Arial" w:cs="Arial"/>
              <w:noProof/>
              <w:color w:val="auto"/>
              <w:kern w:val="2"/>
              <w:sz w:val="24"/>
              <w:szCs w:val="24"/>
              <w14:ligatures w14:val="standardContextual"/>
            </w:rPr>
          </w:pPr>
          <w:hyperlink w:anchor="_Toc189144439" w:history="1">
            <w:r w:rsidRPr="005A1511">
              <w:rPr>
                <w:rStyle w:val="Hyperlink"/>
                <w:rFonts w:ascii="Arial" w:hAnsi="Arial" w:cs="Arial"/>
                <w:noProof/>
              </w:rPr>
              <w:t>Comparator: Pathway by Medicine Selected</w:t>
            </w:r>
            <w:r w:rsidRPr="005A1511">
              <w:rPr>
                <w:rFonts w:ascii="Arial" w:hAnsi="Arial" w:cs="Arial"/>
                <w:noProof/>
                <w:webHidden/>
              </w:rPr>
              <w:tab/>
            </w:r>
            <w:r w:rsidRPr="005A1511">
              <w:rPr>
                <w:rFonts w:ascii="Arial" w:hAnsi="Arial" w:cs="Arial"/>
                <w:noProof/>
                <w:webHidden/>
              </w:rPr>
              <w:fldChar w:fldCharType="begin"/>
            </w:r>
            <w:r w:rsidRPr="005A1511">
              <w:rPr>
                <w:rFonts w:ascii="Arial" w:hAnsi="Arial" w:cs="Arial"/>
                <w:noProof/>
                <w:webHidden/>
              </w:rPr>
              <w:instrText xml:space="preserve"> PAGEREF _Toc189144439 \h </w:instrText>
            </w:r>
            <w:r w:rsidRPr="005A1511">
              <w:rPr>
                <w:rFonts w:ascii="Arial" w:hAnsi="Arial" w:cs="Arial"/>
                <w:noProof/>
                <w:webHidden/>
              </w:rPr>
            </w:r>
            <w:r w:rsidRPr="005A1511">
              <w:rPr>
                <w:rFonts w:ascii="Arial" w:hAnsi="Arial" w:cs="Arial"/>
                <w:noProof/>
                <w:webHidden/>
              </w:rPr>
              <w:fldChar w:fldCharType="separate"/>
            </w:r>
            <w:r w:rsidRPr="005A1511">
              <w:rPr>
                <w:rFonts w:ascii="Arial" w:hAnsi="Arial" w:cs="Arial"/>
                <w:noProof/>
                <w:webHidden/>
              </w:rPr>
              <w:t>14</w:t>
            </w:r>
            <w:r w:rsidRPr="005A1511">
              <w:rPr>
                <w:rFonts w:ascii="Arial" w:hAnsi="Arial" w:cs="Arial"/>
                <w:noProof/>
                <w:webHidden/>
              </w:rPr>
              <w:fldChar w:fldCharType="end"/>
            </w:r>
          </w:hyperlink>
        </w:p>
        <w:p w14:paraId="7EEE38E4" w14:textId="56E34900" w:rsidR="005A1511" w:rsidRPr="005A1511" w:rsidRDefault="005A1511">
          <w:pPr>
            <w:pStyle w:val="TOC2"/>
            <w:tabs>
              <w:tab w:val="right" w:leader="dot" w:pos="9628"/>
            </w:tabs>
            <w:rPr>
              <w:rFonts w:ascii="Arial" w:eastAsiaTheme="minorEastAsia" w:hAnsi="Arial" w:cs="Arial"/>
              <w:noProof/>
              <w:color w:val="auto"/>
              <w:kern w:val="2"/>
              <w:sz w:val="24"/>
              <w:szCs w:val="24"/>
              <w14:ligatures w14:val="standardContextual"/>
            </w:rPr>
          </w:pPr>
          <w:hyperlink w:anchor="_Toc189144440" w:history="1">
            <w:r w:rsidRPr="005A1511">
              <w:rPr>
                <w:rStyle w:val="Hyperlink"/>
                <w:rFonts w:ascii="Arial" w:hAnsi="Arial" w:cs="Arial"/>
                <w:noProof/>
              </w:rPr>
              <w:t>Comparator: Pathway by Medicine Supply</w:t>
            </w:r>
            <w:r w:rsidRPr="005A1511">
              <w:rPr>
                <w:rFonts w:ascii="Arial" w:hAnsi="Arial" w:cs="Arial"/>
                <w:noProof/>
                <w:webHidden/>
              </w:rPr>
              <w:tab/>
            </w:r>
            <w:r w:rsidRPr="005A1511">
              <w:rPr>
                <w:rFonts w:ascii="Arial" w:hAnsi="Arial" w:cs="Arial"/>
                <w:noProof/>
                <w:webHidden/>
              </w:rPr>
              <w:fldChar w:fldCharType="begin"/>
            </w:r>
            <w:r w:rsidRPr="005A1511">
              <w:rPr>
                <w:rFonts w:ascii="Arial" w:hAnsi="Arial" w:cs="Arial"/>
                <w:noProof/>
                <w:webHidden/>
              </w:rPr>
              <w:instrText xml:space="preserve"> PAGEREF _Toc189144440 \h </w:instrText>
            </w:r>
            <w:r w:rsidRPr="005A1511">
              <w:rPr>
                <w:rFonts w:ascii="Arial" w:hAnsi="Arial" w:cs="Arial"/>
                <w:noProof/>
                <w:webHidden/>
              </w:rPr>
            </w:r>
            <w:r w:rsidRPr="005A1511">
              <w:rPr>
                <w:rFonts w:ascii="Arial" w:hAnsi="Arial" w:cs="Arial"/>
                <w:noProof/>
                <w:webHidden/>
              </w:rPr>
              <w:fldChar w:fldCharType="separate"/>
            </w:r>
            <w:r w:rsidRPr="005A1511">
              <w:rPr>
                <w:rFonts w:ascii="Arial" w:hAnsi="Arial" w:cs="Arial"/>
                <w:noProof/>
                <w:webHidden/>
              </w:rPr>
              <w:t>16</w:t>
            </w:r>
            <w:r w:rsidRPr="005A1511">
              <w:rPr>
                <w:rFonts w:ascii="Arial" w:hAnsi="Arial" w:cs="Arial"/>
                <w:noProof/>
                <w:webHidden/>
              </w:rPr>
              <w:fldChar w:fldCharType="end"/>
            </w:r>
          </w:hyperlink>
        </w:p>
        <w:p w14:paraId="14098847" w14:textId="0AF06F82" w:rsidR="005A1511" w:rsidRPr="005A1511" w:rsidRDefault="005A1511">
          <w:pPr>
            <w:pStyle w:val="TOC2"/>
            <w:tabs>
              <w:tab w:val="right" w:leader="dot" w:pos="9628"/>
            </w:tabs>
            <w:rPr>
              <w:rFonts w:ascii="Arial" w:eastAsiaTheme="minorEastAsia" w:hAnsi="Arial" w:cs="Arial"/>
              <w:noProof/>
              <w:color w:val="auto"/>
              <w:kern w:val="2"/>
              <w:sz w:val="24"/>
              <w:szCs w:val="24"/>
              <w14:ligatures w14:val="standardContextual"/>
            </w:rPr>
          </w:pPr>
          <w:hyperlink w:anchor="_Toc189144441" w:history="1">
            <w:r w:rsidRPr="005A1511">
              <w:rPr>
                <w:rStyle w:val="Hyperlink"/>
                <w:rFonts w:ascii="Arial" w:hAnsi="Arial" w:cs="Arial"/>
                <w:noProof/>
              </w:rPr>
              <w:t>Comparator: Pathway by Demographic</w:t>
            </w:r>
            <w:r w:rsidRPr="005A1511">
              <w:rPr>
                <w:rFonts w:ascii="Arial" w:hAnsi="Arial" w:cs="Arial"/>
                <w:noProof/>
                <w:webHidden/>
              </w:rPr>
              <w:tab/>
            </w:r>
            <w:r w:rsidRPr="005A1511">
              <w:rPr>
                <w:rFonts w:ascii="Arial" w:hAnsi="Arial" w:cs="Arial"/>
                <w:noProof/>
                <w:webHidden/>
              </w:rPr>
              <w:fldChar w:fldCharType="begin"/>
            </w:r>
            <w:r w:rsidRPr="005A1511">
              <w:rPr>
                <w:rFonts w:ascii="Arial" w:hAnsi="Arial" w:cs="Arial"/>
                <w:noProof/>
                <w:webHidden/>
              </w:rPr>
              <w:instrText xml:space="preserve"> PAGEREF _Toc189144441 \h </w:instrText>
            </w:r>
            <w:r w:rsidRPr="005A1511">
              <w:rPr>
                <w:rFonts w:ascii="Arial" w:hAnsi="Arial" w:cs="Arial"/>
                <w:noProof/>
                <w:webHidden/>
              </w:rPr>
            </w:r>
            <w:r w:rsidRPr="005A1511">
              <w:rPr>
                <w:rFonts w:ascii="Arial" w:hAnsi="Arial" w:cs="Arial"/>
                <w:noProof/>
                <w:webHidden/>
              </w:rPr>
              <w:fldChar w:fldCharType="separate"/>
            </w:r>
            <w:r w:rsidRPr="005A1511">
              <w:rPr>
                <w:rFonts w:ascii="Arial" w:hAnsi="Arial" w:cs="Arial"/>
                <w:noProof/>
                <w:webHidden/>
              </w:rPr>
              <w:t>18</w:t>
            </w:r>
            <w:r w:rsidRPr="005A1511">
              <w:rPr>
                <w:rFonts w:ascii="Arial" w:hAnsi="Arial" w:cs="Arial"/>
                <w:noProof/>
                <w:webHidden/>
              </w:rPr>
              <w:fldChar w:fldCharType="end"/>
            </w:r>
          </w:hyperlink>
        </w:p>
        <w:p w14:paraId="4CBDD29A" w14:textId="088F0E37" w:rsidR="005A1511" w:rsidRPr="005A1511" w:rsidRDefault="005A1511">
          <w:pPr>
            <w:pStyle w:val="TOC2"/>
            <w:tabs>
              <w:tab w:val="right" w:leader="dot" w:pos="9628"/>
            </w:tabs>
            <w:rPr>
              <w:rFonts w:ascii="Arial" w:eastAsiaTheme="minorEastAsia" w:hAnsi="Arial" w:cs="Arial"/>
              <w:noProof/>
              <w:color w:val="auto"/>
              <w:kern w:val="2"/>
              <w:sz w:val="24"/>
              <w:szCs w:val="24"/>
              <w14:ligatures w14:val="standardContextual"/>
            </w:rPr>
          </w:pPr>
          <w:hyperlink w:anchor="_Toc189144442" w:history="1">
            <w:r w:rsidRPr="005A1511">
              <w:rPr>
                <w:rStyle w:val="Hyperlink"/>
                <w:rFonts w:ascii="Arial" w:hAnsi="Arial" w:cs="Arial"/>
                <w:noProof/>
              </w:rPr>
              <w:t>Comparator: Uncomplicated UTI Pathway</w:t>
            </w:r>
            <w:r w:rsidRPr="005A1511">
              <w:rPr>
                <w:rFonts w:ascii="Arial" w:hAnsi="Arial" w:cs="Arial"/>
                <w:noProof/>
                <w:webHidden/>
              </w:rPr>
              <w:tab/>
            </w:r>
            <w:r w:rsidRPr="005A1511">
              <w:rPr>
                <w:rFonts w:ascii="Arial" w:hAnsi="Arial" w:cs="Arial"/>
                <w:noProof/>
                <w:webHidden/>
              </w:rPr>
              <w:fldChar w:fldCharType="begin"/>
            </w:r>
            <w:r w:rsidRPr="005A1511">
              <w:rPr>
                <w:rFonts w:ascii="Arial" w:hAnsi="Arial" w:cs="Arial"/>
                <w:noProof/>
                <w:webHidden/>
              </w:rPr>
              <w:instrText xml:space="preserve"> PAGEREF _Toc189144442 \h </w:instrText>
            </w:r>
            <w:r w:rsidRPr="005A1511">
              <w:rPr>
                <w:rFonts w:ascii="Arial" w:hAnsi="Arial" w:cs="Arial"/>
                <w:noProof/>
                <w:webHidden/>
              </w:rPr>
            </w:r>
            <w:r w:rsidRPr="005A1511">
              <w:rPr>
                <w:rFonts w:ascii="Arial" w:hAnsi="Arial" w:cs="Arial"/>
                <w:noProof/>
                <w:webHidden/>
              </w:rPr>
              <w:fldChar w:fldCharType="separate"/>
            </w:r>
            <w:r w:rsidRPr="005A1511">
              <w:rPr>
                <w:rFonts w:ascii="Arial" w:hAnsi="Arial" w:cs="Arial"/>
                <w:noProof/>
                <w:webHidden/>
              </w:rPr>
              <w:t>19</w:t>
            </w:r>
            <w:r w:rsidRPr="005A1511">
              <w:rPr>
                <w:rFonts w:ascii="Arial" w:hAnsi="Arial" w:cs="Arial"/>
                <w:noProof/>
                <w:webHidden/>
              </w:rPr>
              <w:fldChar w:fldCharType="end"/>
            </w:r>
          </w:hyperlink>
        </w:p>
        <w:p w14:paraId="29452A60" w14:textId="7DED1EC6" w:rsidR="005A1511" w:rsidRPr="005A1511" w:rsidRDefault="005A1511">
          <w:pPr>
            <w:pStyle w:val="TOC2"/>
            <w:tabs>
              <w:tab w:val="right" w:leader="dot" w:pos="9628"/>
            </w:tabs>
            <w:rPr>
              <w:rFonts w:ascii="Arial" w:eastAsiaTheme="minorEastAsia" w:hAnsi="Arial" w:cs="Arial"/>
              <w:noProof/>
              <w:color w:val="auto"/>
              <w:kern w:val="2"/>
              <w:sz w:val="24"/>
              <w:szCs w:val="24"/>
              <w14:ligatures w14:val="standardContextual"/>
            </w:rPr>
          </w:pPr>
          <w:hyperlink w:anchor="_Toc189144443" w:history="1">
            <w:r w:rsidRPr="005A1511">
              <w:rPr>
                <w:rStyle w:val="Hyperlink"/>
                <w:rFonts w:ascii="Arial" w:hAnsi="Arial" w:cs="Arial"/>
                <w:noProof/>
              </w:rPr>
              <w:t>Comparator: Monthly Summary</w:t>
            </w:r>
            <w:r w:rsidRPr="005A1511">
              <w:rPr>
                <w:rFonts w:ascii="Arial" w:hAnsi="Arial" w:cs="Arial"/>
                <w:noProof/>
                <w:webHidden/>
              </w:rPr>
              <w:tab/>
            </w:r>
            <w:r w:rsidRPr="005A1511">
              <w:rPr>
                <w:rFonts w:ascii="Arial" w:hAnsi="Arial" w:cs="Arial"/>
                <w:noProof/>
                <w:webHidden/>
              </w:rPr>
              <w:fldChar w:fldCharType="begin"/>
            </w:r>
            <w:r w:rsidRPr="005A1511">
              <w:rPr>
                <w:rFonts w:ascii="Arial" w:hAnsi="Arial" w:cs="Arial"/>
                <w:noProof/>
                <w:webHidden/>
              </w:rPr>
              <w:instrText xml:space="preserve"> PAGEREF _Toc189144443 \h </w:instrText>
            </w:r>
            <w:r w:rsidRPr="005A1511">
              <w:rPr>
                <w:rFonts w:ascii="Arial" w:hAnsi="Arial" w:cs="Arial"/>
                <w:noProof/>
                <w:webHidden/>
              </w:rPr>
            </w:r>
            <w:r w:rsidRPr="005A1511">
              <w:rPr>
                <w:rFonts w:ascii="Arial" w:hAnsi="Arial" w:cs="Arial"/>
                <w:noProof/>
                <w:webHidden/>
              </w:rPr>
              <w:fldChar w:fldCharType="separate"/>
            </w:r>
            <w:r w:rsidRPr="005A1511">
              <w:rPr>
                <w:rFonts w:ascii="Arial" w:hAnsi="Arial" w:cs="Arial"/>
                <w:noProof/>
                <w:webHidden/>
              </w:rPr>
              <w:t>21</w:t>
            </w:r>
            <w:r w:rsidRPr="005A1511">
              <w:rPr>
                <w:rFonts w:ascii="Arial" w:hAnsi="Arial" w:cs="Arial"/>
                <w:noProof/>
                <w:webHidden/>
              </w:rPr>
              <w:fldChar w:fldCharType="end"/>
            </w:r>
          </w:hyperlink>
        </w:p>
        <w:p w14:paraId="5D7762D7" w14:textId="7869246D" w:rsidR="005A1511" w:rsidRPr="005A1511" w:rsidRDefault="005A1511">
          <w:pPr>
            <w:pStyle w:val="TOC2"/>
            <w:tabs>
              <w:tab w:val="right" w:leader="dot" w:pos="9628"/>
            </w:tabs>
            <w:rPr>
              <w:rFonts w:ascii="Arial" w:eastAsiaTheme="minorEastAsia" w:hAnsi="Arial" w:cs="Arial"/>
              <w:noProof/>
              <w:color w:val="auto"/>
              <w:kern w:val="2"/>
              <w:sz w:val="24"/>
              <w:szCs w:val="24"/>
              <w14:ligatures w14:val="standardContextual"/>
            </w:rPr>
          </w:pPr>
          <w:hyperlink w:anchor="_Toc189144444" w:history="1">
            <w:r w:rsidRPr="005A1511">
              <w:rPr>
                <w:rStyle w:val="Hyperlink"/>
                <w:rFonts w:ascii="Arial" w:hAnsi="Arial" w:cs="Arial"/>
                <w:noProof/>
              </w:rPr>
              <w:t>Datasets Section</w:t>
            </w:r>
            <w:r w:rsidRPr="005A1511">
              <w:rPr>
                <w:rFonts w:ascii="Arial" w:hAnsi="Arial" w:cs="Arial"/>
                <w:noProof/>
                <w:webHidden/>
              </w:rPr>
              <w:tab/>
            </w:r>
            <w:r w:rsidRPr="005A1511">
              <w:rPr>
                <w:rFonts w:ascii="Arial" w:hAnsi="Arial" w:cs="Arial"/>
                <w:noProof/>
                <w:webHidden/>
              </w:rPr>
              <w:fldChar w:fldCharType="begin"/>
            </w:r>
            <w:r w:rsidRPr="005A1511">
              <w:rPr>
                <w:rFonts w:ascii="Arial" w:hAnsi="Arial" w:cs="Arial"/>
                <w:noProof/>
                <w:webHidden/>
              </w:rPr>
              <w:instrText xml:space="preserve"> PAGEREF _Toc189144444 \h </w:instrText>
            </w:r>
            <w:r w:rsidRPr="005A1511">
              <w:rPr>
                <w:rFonts w:ascii="Arial" w:hAnsi="Arial" w:cs="Arial"/>
                <w:noProof/>
                <w:webHidden/>
              </w:rPr>
            </w:r>
            <w:r w:rsidRPr="005A1511">
              <w:rPr>
                <w:rFonts w:ascii="Arial" w:hAnsi="Arial" w:cs="Arial"/>
                <w:noProof/>
                <w:webHidden/>
              </w:rPr>
              <w:fldChar w:fldCharType="separate"/>
            </w:r>
            <w:r w:rsidRPr="005A1511">
              <w:rPr>
                <w:rFonts w:ascii="Arial" w:hAnsi="Arial" w:cs="Arial"/>
                <w:noProof/>
                <w:webHidden/>
              </w:rPr>
              <w:t>23</w:t>
            </w:r>
            <w:r w:rsidRPr="005A1511">
              <w:rPr>
                <w:rFonts w:ascii="Arial" w:hAnsi="Arial" w:cs="Arial"/>
                <w:noProof/>
                <w:webHidden/>
              </w:rPr>
              <w:fldChar w:fldCharType="end"/>
            </w:r>
          </w:hyperlink>
        </w:p>
        <w:p w14:paraId="4817B443" w14:textId="177AB04C" w:rsidR="005A1511" w:rsidRPr="005A1511" w:rsidRDefault="005A1511">
          <w:pPr>
            <w:pStyle w:val="TOC1"/>
            <w:rPr>
              <w:rFonts w:eastAsiaTheme="minorEastAsia"/>
              <w:color w:val="auto"/>
              <w:kern w:val="2"/>
              <w:sz w:val="24"/>
              <w:szCs w:val="24"/>
              <w14:ligatures w14:val="standardContextual"/>
            </w:rPr>
          </w:pPr>
          <w:hyperlink w:anchor="_Toc189144445" w:history="1">
            <w:r w:rsidRPr="005A1511">
              <w:rPr>
                <w:rStyle w:val="Hyperlink"/>
              </w:rPr>
              <w:t>Appendix 1: Supply of nitrofurantoin 100mg modified release with a quantity of 6, vs nitrofurantoin 50mg instant release capsules or tablets with a quantity of 12, for the Uncomplicated UTI pathway.</w:t>
            </w:r>
            <w:r w:rsidRPr="005A1511">
              <w:rPr>
                <w:webHidden/>
              </w:rPr>
              <w:tab/>
            </w:r>
            <w:r w:rsidRPr="005A1511">
              <w:rPr>
                <w:webHidden/>
              </w:rPr>
              <w:fldChar w:fldCharType="begin"/>
            </w:r>
            <w:r w:rsidRPr="005A1511">
              <w:rPr>
                <w:webHidden/>
              </w:rPr>
              <w:instrText xml:space="preserve"> PAGEREF _Toc189144445 \h </w:instrText>
            </w:r>
            <w:r w:rsidRPr="005A1511">
              <w:rPr>
                <w:webHidden/>
              </w:rPr>
            </w:r>
            <w:r w:rsidRPr="005A1511">
              <w:rPr>
                <w:webHidden/>
              </w:rPr>
              <w:fldChar w:fldCharType="separate"/>
            </w:r>
            <w:r w:rsidRPr="005A1511">
              <w:rPr>
                <w:webHidden/>
              </w:rPr>
              <w:t>24</w:t>
            </w:r>
            <w:r w:rsidRPr="005A1511">
              <w:rPr>
                <w:webHidden/>
              </w:rPr>
              <w:fldChar w:fldCharType="end"/>
            </w:r>
          </w:hyperlink>
        </w:p>
        <w:p w14:paraId="506B463B" w14:textId="58E3509C" w:rsidR="005A1511" w:rsidRPr="005A1511" w:rsidRDefault="005A1511">
          <w:pPr>
            <w:pStyle w:val="TOC1"/>
            <w:rPr>
              <w:rFonts w:eastAsiaTheme="minorEastAsia"/>
              <w:color w:val="auto"/>
              <w:kern w:val="2"/>
              <w:sz w:val="24"/>
              <w:szCs w:val="24"/>
              <w14:ligatures w14:val="standardContextual"/>
            </w:rPr>
          </w:pPr>
          <w:hyperlink w:anchor="_Toc189144446" w:history="1">
            <w:r w:rsidRPr="005A1511">
              <w:rPr>
                <w:rStyle w:val="Hyperlink"/>
              </w:rPr>
              <w:t>Appendix 2: Limitations and known issues</w:t>
            </w:r>
            <w:r w:rsidRPr="005A1511">
              <w:rPr>
                <w:webHidden/>
              </w:rPr>
              <w:tab/>
            </w:r>
            <w:r w:rsidRPr="005A1511">
              <w:rPr>
                <w:webHidden/>
              </w:rPr>
              <w:fldChar w:fldCharType="begin"/>
            </w:r>
            <w:r w:rsidRPr="005A1511">
              <w:rPr>
                <w:webHidden/>
              </w:rPr>
              <w:instrText xml:space="preserve"> PAGEREF _Toc189144446 \h </w:instrText>
            </w:r>
            <w:r w:rsidRPr="005A1511">
              <w:rPr>
                <w:webHidden/>
              </w:rPr>
            </w:r>
            <w:r w:rsidRPr="005A1511">
              <w:rPr>
                <w:webHidden/>
              </w:rPr>
              <w:fldChar w:fldCharType="separate"/>
            </w:r>
            <w:r w:rsidRPr="005A1511">
              <w:rPr>
                <w:webHidden/>
              </w:rPr>
              <w:t>28</w:t>
            </w:r>
            <w:r w:rsidRPr="005A1511">
              <w:rPr>
                <w:webHidden/>
              </w:rPr>
              <w:fldChar w:fldCharType="end"/>
            </w:r>
          </w:hyperlink>
        </w:p>
        <w:p w14:paraId="3E7221BF" w14:textId="24CEE2F4" w:rsidR="005A1511" w:rsidRPr="005A1511" w:rsidRDefault="005A1511">
          <w:pPr>
            <w:pStyle w:val="TOC2"/>
            <w:tabs>
              <w:tab w:val="right" w:leader="dot" w:pos="9628"/>
            </w:tabs>
            <w:rPr>
              <w:rFonts w:ascii="Arial" w:eastAsiaTheme="minorEastAsia" w:hAnsi="Arial" w:cs="Arial"/>
              <w:noProof/>
              <w:color w:val="auto"/>
              <w:kern w:val="2"/>
              <w:sz w:val="24"/>
              <w:szCs w:val="24"/>
              <w14:ligatures w14:val="standardContextual"/>
            </w:rPr>
          </w:pPr>
          <w:hyperlink w:anchor="_Toc189144447" w:history="1">
            <w:r w:rsidRPr="005A1511">
              <w:rPr>
                <w:rStyle w:val="Hyperlink"/>
                <w:rFonts w:ascii="Arial" w:hAnsi="Arial" w:cs="Arial"/>
                <w:noProof/>
              </w:rPr>
              <w:t>Naming convention of consultation outcomes</w:t>
            </w:r>
            <w:r w:rsidRPr="005A1511">
              <w:rPr>
                <w:rFonts w:ascii="Arial" w:hAnsi="Arial" w:cs="Arial"/>
                <w:noProof/>
                <w:webHidden/>
              </w:rPr>
              <w:tab/>
            </w:r>
            <w:r w:rsidRPr="005A1511">
              <w:rPr>
                <w:rFonts w:ascii="Arial" w:hAnsi="Arial" w:cs="Arial"/>
                <w:noProof/>
                <w:webHidden/>
              </w:rPr>
              <w:fldChar w:fldCharType="begin"/>
            </w:r>
            <w:r w:rsidRPr="005A1511">
              <w:rPr>
                <w:rFonts w:ascii="Arial" w:hAnsi="Arial" w:cs="Arial"/>
                <w:noProof/>
                <w:webHidden/>
              </w:rPr>
              <w:instrText xml:space="preserve"> PAGEREF _Toc189144447 \h </w:instrText>
            </w:r>
            <w:r w:rsidRPr="005A1511">
              <w:rPr>
                <w:rFonts w:ascii="Arial" w:hAnsi="Arial" w:cs="Arial"/>
                <w:noProof/>
                <w:webHidden/>
              </w:rPr>
            </w:r>
            <w:r w:rsidRPr="005A1511">
              <w:rPr>
                <w:rFonts w:ascii="Arial" w:hAnsi="Arial" w:cs="Arial"/>
                <w:noProof/>
                <w:webHidden/>
              </w:rPr>
              <w:fldChar w:fldCharType="separate"/>
            </w:r>
            <w:r w:rsidRPr="005A1511">
              <w:rPr>
                <w:rFonts w:ascii="Arial" w:hAnsi="Arial" w:cs="Arial"/>
                <w:noProof/>
                <w:webHidden/>
              </w:rPr>
              <w:t>28</w:t>
            </w:r>
            <w:r w:rsidRPr="005A1511">
              <w:rPr>
                <w:rFonts w:ascii="Arial" w:hAnsi="Arial" w:cs="Arial"/>
                <w:noProof/>
                <w:webHidden/>
              </w:rPr>
              <w:fldChar w:fldCharType="end"/>
            </w:r>
          </w:hyperlink>
        </w:p>
        <w:p w14:paraId="3B856DD6" w14:textId="3270127F" w:rsidR="005A1511" w:rsidRPr="005A1511" w:rsidRDefault="005A1511">
          <w:pPr>
            <w:pStyle w:val="TOC2"/>
            <w:tabs>
              <w:tab w:val="right" w:leader="dot" w:pos="9628"/>
            </w:tabs>
            <w:rPr>
              <w:rFonts w:ascii="Arial" w:eastAsiaTheme="minorEastAsia" w:hAnsi="Arial" w:cs="Arial"/>
              <w:noProof/>
              <w:color w:val="auto"/>
              <w:kern w:val="2"/>
              <w:sz w:val="24"/>
              <w:szCs w:val="24"/>
              <w14:ligatures w14:val="standardContextual"/>
            </w:rPr>
          </w:pPr>
          <w:hyperlink w:anchor="_Toc189144448" w:history="1">
            <w:r w:rsidRPr="005A1511">
              <w:rPr>
                <w:rStyle w:val="Hyperlink"/>
                <w:rFonts w:ascii="Arial" w:hAnsi="Arial" w:cs="Arial"/>
                <w:noProof/>
              </w:rPr>
              <w:t>Incorrect assignment of gender for consultations in Sonar pharmacy sites</w:t>
            </w:r>
            <w:r w:rsidRPr="005A1511">
              <w:rPr>
                <w:rFonts w:ascii="Arial" w:hAnsi="Arial" w:cs="Arial"/>
                <w:noProof/>
                <w:webHidden/>
              </w:rPr>
              <w:tab/>
            </w:r>
            <w:r w:rsidRPr="005A1511">
              <w:rPr>
                <w:rFonts w:ascii="Arial" w:hAnsi="Arial" w:cs="Arial"/>
                <w:noProof/>
                <w:webHidden/>
              </w:rPr>
              <w:fldChar w:fldCharType="begin"/>
            </w:r>
            <w:r w:rsidRPr="005A1511">
              <w:rPr>
                <w:rFonts w:ascii="Arial" w:hAnsi="Arial" w:cs="Arial"/>
                <w:noProof/>
                <w:webHidden/>
              </w:rPr>
              <w:instrText xml:space="preserve"> PAGEREF _Toc189144448 \h </w:instrText>
            </w:r>
            <w:r w:rsidRPr="005A1511">
              <w:rPr>
                <w:rFonts w:ascii="Arial" w:hAnsi="Arial" w:cs="Arial"/>
                <w:noProof/>
                <w:webHidden/>
              </w:rPr>
            </w:r>
            <w:r w:rsidRPr="005A1511">
              <w:rPr>
                <w:rFonts w:ascii="Arial" w:hAnsi="Arial" w:cs="Arial"/>
                <w:noProof/>
                <w:webHidden/>
              </w:rPr>
              <w:fldChar w:fldCharType="separate"/>
            </w:r>
            <w:r w:rsidRPr="005A1511">
              <w:rPr>
                <w:rFonts w:ascii="Arial" w:hAnsi="Arial" w:cs="Arial"/>
                <w:noProof/>
                <w:webHidden/>
              </w:rPr>
              <w:t>29</w:t>
            </w:r>
            <w:r w:rsidRPr="005A1511">
              <w:rPr>
                <w:rFonts w:ascii="Arial" w:hAnsi="Arial" w:cs="Arial"/>
                <w:noProof/>
                <w:webHidden/>
              </w:rPr>
              <w:fldChar w:fldCharType="end"/>
            </w:r>
          </w:hyperlink>
        </w:p>
        <w:p w14:paraId="08D36F3B" w14:textId="11F44357" w:rsidR="005A1511" w:rsidRPr="005A1511" w:rsidRDefault="005A1511">
          <w:pPr>
            <w:pStyle w:val="TOC2"/>
            <w:tabs>
              <w:tab w:val="right" w:leader="dot" w:pos="9628"/>
            </w:tabs>
            <w:rPr>
              <w:rFonts w:ascii="Arial" w:eastAsiaTheme="minorEastAsia" w:hAnsi="Arial" w:cs="Arial"/>
              <w:noProof/>
              <w:color w:val="auto"/>
              <w:kern w:val="2"/>
              <w:sz w:val="24"/>
              <w:szCs w:val="24"/>
              <w14:ligatures w14:val="standardContextual"/>
            </w:rPr>
          </w:pPr>
          <w:hyperlink w:anchor="_Toc189144449" w:history="1">
            <w:r w:rsidRPr="005A1511">
              <w:rPr>
                <w:rStyle w:val="Hyperlink"/>
                <w:rFonts w:ascii="Arial" w:hAnsi="Arial" w:cs="Arial"/>
                <w:noProof/>
              </w:rPr>
              <w:t>Incorrect categorisation of consultation outcomes for Sonar pharmacy sites</w:t>
            </w:r>
            <w:r w:rsidRPr="005A1511">
              <w:rPr>
                <w:rFonts w:ascii="Arial" w:hAnsi="Arial" w:cs="Arial"/>
                <w:noProof/>
                <w:webHidden/>
              </w:rPr>
              <w:tab/>
            </w:r>
            <w:r w:rsidRPr="005A1511">
              <w:rPr>
                <w:rFonts w:ascii="Arial" w:hAnsi="Arial" w:cs="Arial"/>
                <w:noProof/>
                <w:webHidden/>
              </w:rPr>
              <w:fldChar w:fldCharType="begin"/>
            </w:r>
            <w:r w:rsidRPr="005A1511">
              <w:rPr>
                <w:rFonts w:ascii="Arial" w:hAnsi="Arial" w:cs="Arial"/>
                <w:noProof/>
                <w:webHidden/>
              </w:rPr>
              <w:instrText xml:space="preserve"> PAGEREF _Toc189144449 \h </w:instrText>
            </w:r>
            <w:r w:rsidRPr="005A1511">
              <w:rPr>
                <w:rFonts w:ascii="Arial" w:hAnsi="Arial" w:cs="Arial"/>
                <w:noProof/>
                <w:webHidden/>
              </w:rPr>
            </w:r>
            <w:r w:rsidRPr="005A1511">
              <w:rPr>
                <w:rFonts w:ascii="Arial" w:hAnsi="Arial" w:cs="Arial"/>
                <w:noProof/>
                <w:webHidden/>
              </w:rPr>
              <w:fldChar w:fldCharType="separate"/>
            </w:r>
            <w:r w:rsidRPr="005A1511">
              <w:rPr>
                <w:rFonts w:ascii="Arial" w:hAnsi="Arial" w:cs="Arial"/>
                <w:noProof/>
                <w:webHidden/>
              </w:rPr>
              <w:t>30</w:t>
            </w:r>
            <w:r w:rsidRPr="005A1511">
              <w:rPr>
                <w:rFonts w:ascii="Arial" w:hAnsi="Arial" w:cs="Arial"/>
                <w:noProof/>
                <w:webHidden/>
              </w:rPr>
              <w:fldChar w:fldCharType="end"/>
            </w:r>
          </w:hyperlink>
        </w:p>
        <w:p w14:paraId="325EDEA9" w14:textId="11C71127" w:rsidR="005A1511" w:rsidRPr="005A1511" w:rsidRDefault="005A1511">
          <w:pPr>
            <w:pStyle w:val="TOC2"/>
            <w:tabs>
              <w:tab w:val="right" w:leader="dot" w:pos="9628"/>
            </w:tabs>
            <w:rPr>
              <w:rFonts w:ascii="Arial" w:eastAsiaTheme="minorEastAsia" w:hAnsi="Arial" w:cs="Arial"/>
              <w:noProof/>
              <w:color w:val="auto"/>
              <w:kern w:val="2"/>
              <w:sz w:val="24"/>
              <w:szCs w:val="24"/>
              <w14:ligatures w14:val="standardContextual"/>
            </w:rPr>
          </w:pPr>
          <w:hyperlink w:anchor="_Toc189144450" w:history="1">
            <w:r w:rsidRPr="005A1511">
              <w:rPr>
                <w:rStyle w:val="Hyperlink"/>
                <w:rFonts w:ascii="Arial" w:hAnsi="Arial" w:cs="Arial"/>
                <w:noProof/>
              </w:rPr>
              <w:t>Consultations with missing or unmatched GP practice ODS codes</w:t>
            </w:r>
            <w:r w:rsidRPr="005A1511">
              <w:rPr>
                <w:rFonts w:ascii="Arial" w:hAnsi="Arial" w:cs="Arial"/>
                <w:noProof/>
                <w:webHidden/>
              </w:rPr>
              <w:tab/>
            </w:r>
            <w:r w:rsidRPr="005A1511">
              <w:rPr>
                <w:rFonts w:ascii="Arial" w:hAnsi="Arial" w:cs="Arial"/>
                <w:noProof/>
                <w:webHidden/>
              </w:rPr>
              <w:fldChar w:fldCharType="begin"/>
            </w:r>
            <w:r w:rsidRPr="005A1511">
              <w:rPr>
                <w:rFonts w:ascii="Arial" w:hAnsi="Arial" w:cs="Arial"/>
                <w:noProof/>
                <w:webHidden/>
              </w:rPr>
              <w:instrText xml:space="preserve"> PAGEREF _Toc189144450 \h </w:instrText>
            </w:r>
            <w:r w:rsidRPr="005A1511">
              <w:rPr>
                <w:rFonts w:ascii="Arial" w:hAnsi="Arial" w:cs="Arial"/>
                <w:noProof/>
                <w:webHidden/>
              </w:rPr>
            </w:r>
            <w:r w:rsidRPr="005A1511">
              <w:rPr>
                <w:rFonts w:ascii="Arial" w:hAnsi="Arial" w:cs="Arial"/>
                <w:noProof/>
                <w:webHidden/>
              </w:rPr>
              <w:fldChar w:fldCharType="separate"/>
            </w:r>
            <w:r w:rsidRPr="005A1511">
              <w:rPr>
                <w:rFonts w:ascii="Arial" w:hAnsi="Arial" w:cs="Arial"/>
                <w:noProof/>
                <w:webHidden/>
              </w:rPr>
              <w:t>31</w:t>
            </w:r>
            <w:r w:rsidRPr="005A1511">
              <w:rPr>
                <w:rFonts w:ascii="Arial" w:hAnsi="Arial" w:cs="Arial"/>
                <w:noProof/>
                <w:webHidden/>
              </w:rPr>
              <w:fldChar w:fldCharType="end"/>
            </w:r>
          </w:hyperlink>
        </w:p>
        <w:p w14:paraId="7C90C405" w14:textId="181AAC4C" w:rsidR="005A1511" w:rsidRPr="005A1511" w:rsidRDefault="005A1511">
          <w:pPr>
            <w:pStyle w:val="TOC2"/>
            <w:tabs>
              <w:tab w:val="right" w:leader="dot" w:pos="9628"/>
            </w:tabs>
            <w:rPr>
              <w:rFonts w:ascii="Arial" w:eastAsiaTheme="minorEastAsia" w:hAnsi="Arial" w:cs="Arial"/>
              <w:noProof/>
              <w:color w:val="auto"/>
              <w:kern w:val="2"/>
              <w:sz w:val="24"/>
              <w:szCs w:val="24"/>
              <w14:ligatures w14:val="standardContextual"/>
            </w:rPr>
          </w:pPr>
          <w:hyperlink w:anchor="_Toc189144451" w:history="1">
            <w:r w:rsidRPr="005A1511">
              <w:rPr>
                <w:rStyle w:val="Hyperlink"/>
                <w:rFonts w:ascii="Arial" w:hAnsi="Arial" w:cs="Arial"/>
                <w:noProof/>
              </w:rPr>
              <w:t>Consultation records without valid NHS numbers</w:t>
            </w:r>
            <w:r w:rsidRPr="005A1511">
              <w:rPr>
                <w:rFonts w:ascii="Arial" w:hAnsi="Arial" w:cs="Arial"/>
                <w:noProof/>
                <w:webHidden/>
              </w:rPr>
              <w:tab/>
            </w:r>
            <w:r w:rsidRPr="005A1511">
              <w:rPr>
                <w:rFonts w:ascii="Arial" w:hAnsi="Arial" w:cs="Arial"/>
                <w:noProof/>
                <w:webHidden/>
              </w:rPr>
              <w:fldChar w:fldCharType="begin"/>
            </w:r>
            <w:r w:rsidRPr="005A1511">
              <w:rPr>
                <w:rFonts w:ascii="Arial" w:hAnsi="Arial" w:cs="Arial"/>
                <w:noProof/>
                <w:webHidden/>
              </w:rPr>
              <w:instrText xml:space="preserve"> PAGEREF _Toc189144451 \h </w:instrText>
            </w:r>
            <w:r w:rsidRPr="005A1511">
              <w:rPr>
                <w:rFonts w:ascii="Arial" w:hAnsi="Arial" w:cs="Arial"/>
                <w:noProof/>
                <w:webHidden/>
              </w:rPr>
            </w:r>
            <w:r w:rsidRPr="005A1511">
              <w:rPr>
                <w:rFonts w:ascii="Arial" w:hAnsi="Arial" w:cs="Arial"/>
                <w:noProof/>
                <w:webHidden/>
              </w:rPr>
              <w:fldChar w:fldCharType="separate"/>
            </w:r>
            <w:r w:rsidRPr="005A1511">
              <w:rPr>
                <w:rFonts w:ascii="Arial" w:hAnsi="Arial" w:cs="Arial"/>
                <w:noProof/>
                <w:webHidden/>
              </w:rPr>
              <w:t>32</w:t>
            </w:r>
            <w:r w:rsidRPr="005A1511">
              <w:rPr>
                <w:rFonts w:ascii="Arial" w:hAnsi="Arial" w:cs="Arial"/>
                <w:noProof/>
                <w:webHidden/>
              </w:rPr>
              <w:fldChar w:fldCharType="end"/>
            </w:r>
          </w:hyperlink>
        </w:p>
        <w:p w14:paraId="58BCF0B8" w14:textId="5B844269" w:rsidR="005A1511" w:rsidRPr="005A1511" w:rsidRDefault="005A1511">
          <w:pPr>
            <w:pStyle w:val="TOC2"/>
            <w:tabs>
              <w:tab w:val="right" w:leader="dot" w:pos="9628"/>
            </w:tabs>
            <w:rPr>
              <w:rFonts w:ascii="Arial" w:eastAsiaTheme="minorEastAsia" w:hAnsi="Arial" w:cs="Arial"/>
              <w:noProof/>
              <w:color w:val="auto"/>
              <w:kern w:val="2"/>
              <w:sz w:val="24"/>
              <w:szCs w:val="24"/>
              <w14:ligatures w14:val="standardContextual"/>
            </w:rPr>
          </w:pPr>
          <w:hyperlink w:anchor="_Toc189144452" w:history="1">
            <w:r w:rsidRPr="005A1511">
              <w:rPr>
                <w:rStyle w:val="Hyperlink"/>
                <w:rFonts w:ascii="Arial" w:hAnsi="Arial" w:cs="Arial"/>
                <w:noProof/>
              </w:rPr>
              <w:t>Variation in nitrofurantoin MR 100mg quantities</w:t>
            </w:r>
            <w:r w:rsidRPr="005A1511">
              <w:rPr>
                <w:rFonts w:ascii="Arial" w:hAnsi="Arial" w:cs="Arial"/>
                <w:noProof/>
                <w:webHidden/>
              </w:rPr>
              <w:tab/>
            </w:r>
            <w:r w:rsidRPr="005A1511">
              <w:rPr>
                <w:rFonts w:ascii="Arial" w:hAnsi="Arial" w:cs="Arial"/>
                <w:noProof/>
                <w:webHidden/>
              </w:rPr>
              <w:fldChar w:fldCharType="begin"/>
            </w:r>
            <w:r w:rsidRPr="005A1511">
              <w:rPr>
                <w:rFonts w:ascii="Arial" w:hAnsi="Arial" w:cs="Arial"/>
                <w:noProof/>
                <w:webHidden/>
              </w:rPr>
              <w:instrText xml:space="preserve"> PAGEREF _Toc189144452 \h </w:instrText>
            </w:r>
            <w:r w:rsidRPr="005A1511">
              <w:rPr>
                <w:rFonts w:ascii="Arial" w:hAnsi="Arial" w:cs="Arial"/>
                <w:noProof/>
                <w:webHidden/>
              </w:rPr>
            </w:r>
            <w:r w:rsidRPr="005A1511">
              <w:rPr>
                <w:rFonts w:ascii="Arial" w:hAnsi="Arial" w:cs="Arial"/>
                <w:noProof/>
                <w:webHidden/>
              </w:rPr>
              <w:fldChar w:fldCharType="separate"/>
            </w:r>
            <w:r w:rsidRPr="005A1511">
              <w:rPr>
                <w:rFonts w:ascii="Arial" w:hAnsi="Arial" w:cs="Arial"/>
                <w:noProof/>
                <w:webHidden/>
              </w:rPr>
              <w:t>33</w:t>
            </w:r>
            <w:r w:rsidRPr="005A1511">
              <w:rPr>
                <w:rFonts w:ascii="Arial" w:hAnsi="Arial" w:cs="Arial"/>
                <w:noProof/>
                <w:webHidden/>
              </w:rPr>
              <w:fldChar w:fldCharType="end"/>
            </w:r>
          </w:hyperlink>
        </w:p>
        <w:p w14:paraId="636BBB40" w14:textId="416A82D4" w:rsidR="005A1511" w:rsidRPr="005A1511" w:rsidRDefault="005A1511">
          <w:pPr>
            <w:pStyle w:val="TOC1"/>
            <w:rPr>
              <w:rFonts w:eastAsiaTheme="minorEastAsia"/>
              <w:color w:val="auto"/>
              <w:kern w:val="2"/>
              <w:sz w:val="24"/>
              <w:szCs w:val="24"/>
              <w14:ligatures w14:val="standardContextual"/>
            </w:rPr>
          </w:pPr>
          <w:hyperlink w:anchor="_Toc189144453" w:history="1">
            <w:r w:rsidRPr="005A1511">
              <w:rPr>
                <w:rStyle w:val="Hyperlink"/>
              </w:rPr>
              <w:t>Appendix 3: Data completeness and dashboard inclusion</w:t>
            </w:r>
            <w:r w:rsidRPr="005A1511">
              <w:rPr>
                <w:webHidden/>
              </w:rPr>
              <w:tab/>
            </w:r>
            <w:r w:rsidRPr="005A1511">
              <w:rPr>
                <w:webHidden/>
              </w:rPr>
              <w:fldChar w:fldCharType="begin"/>
            </w:r>
            <w:r w:rsidRPr="005A1511">
              <w:rPr>
                <w:webHidden/>
              </w:rPr>
              <w:instrText xml:space="preserve"> PAGEREF _Toc189144453 \h </w:instrText>
            </w:r>
            <w:r w:rsidRPr="005A1511">
              <w:rPr>
                <w:webHidden/>
              </w:rPr>
            </w:r>
            <w:r w:rsidRPr="005A1511">
              <w:rPr>
                <w:webHidden/>
              </w:rPr>
              <w:fldChar w:fldCharType="separate"/>
            </w:r>
            <w:r w:rsidRPr="005A1511">
              <w:rPr>
                <w:webHidden/>
              </w:rPr>
              <w:t>34</w:t>
            </w:r>
            <w:r w:rsidRPr="005A1511">
              <w:rPr>
                <w:webHidden/>
              </w:rPr>
              <w:fldChar w:fldCharType="end"/>
            </w:r>
          </w:hyperlink>
        </w:p>
        <w:p w14:paraId="36FB827B" w14:textId="2C121E21" w:rsidR="005A1511" w:rsidRPr="005A1511" w:rsidRDefault="005A1511">
          <w:pPr>
            <w:pStyle w:val="TOC1"/>
            <w:rPr>
              <w:rFonts w:eastAsiaTheme="minorEastAsia"/>
              <w:color w:val="auto"/>
              <w:kern w:val="2"/>
              <w:sz w:val="24"/>
              <w:szCs w:val="24"/>
              <w14:ligatures w14:val="standardContextual"/>
            </w:rPr>
          </w:pPr>
          <w:hyperlink w:anchor="_Toc189144454" w:history="1">
            <w:r w:rsidRPr="005A1511">
              <w:rPr>
                <w:rStyle w:val="Hyperlink"/>
              </w:rPr>
              <w:t>Appendix 4: Working Group</w:t>
            </w:r>
            <w:r w:rsidRPr="005A1511">
              <w:rPr>
                <w:webHidden/>
              </w:rPr>
              <w:tab/>
            </w:r>
            <w:r w:rsidRPr="005A1511">
              <w:rPr>
                <w:webHidden/>
              </w:rPr>
              <w:fldChar w:fldCharType="begin"/>
            </w:r>
            <w:r w:rsidRPr="005A1511">
              <w:rPr>
                <w:webHidden/>
              </w:rPr>
              <w:instrText xml:space="preserve"> PAGEREF _Toc189144454 \h </w:instrText>
            </w:r>
            <w:r w:rsidRPr="005A1511">
              <w:rPr>
                <w:webHidden/>
              </w:rPr>
            </w:r>
            <w:r w:rsidRPr="005A1511">
              <w:rPr>
                <w:webHidden/>
              </w:rPr>
              <w:fldChar w:fldCharType="separate"/>
            </w:r>
            <w:r w:rsidRPr="005A1511">
              <w:rPr>
                <w:webHidden/>
              </w:rPr>
              <w:t>40</w:t>
            </w:r>
            <w:r w:rsidRPr="005A1511">
              <w:rPr>
                <w:webHidden/>
              </w:rPr>
              <w:fldChar w:fldCharType="end"/>
            </w:r>
          </w:hyperlink>
        </w:p>
        <w:p w14:paraId="6AD1D48B" w14:textId="69C988AA" w:rsidR="001E2F84" w:rsidRPr="005A1511" w:rsidRDefault="001E2F84">
          <w:pPr>
            <w:rPr>
              <w:rFonts w:ascii="Arial" w:hAnsi="Arial" w:cs="Arial"/>
            </w:rPr>
          </w:pPr>
          <w:r w:rsidRPr="005A1511">
            <w:rPr>
              <w:rFonts w:ascii="Arial" w:hAnsi="Arial" w:cs="Arial"/>
              <w:b/>
              <w:bCs/>
              <w:noProof/>
            </w:rPr>
            <w:fldChar w:fldCharType="end"/>
          </w:r>
        </w:p>
      </w:sdtContent>
    </w:sdt>
    <w:p w14:paraId="0C79337B" w14:textId="77777777" w:rsidR="002D7817" w:rsidRPr="005A1511" w:rsidRDefault="002D7817">
      <w:pPr>
        <w:rPr>
          <w:rFonts w:ascii="Arial" w:eastAsia="Arial" w:hAnsi="Arial" w:cs="Arial"/>
          <w:b/>
          <w:sz w:val="24"/>
          <w:szCs w:val="24"/>
        </w:rPr>
      </w:pPr>
      <w:bookmarkStart w:id="1" w:name="_Toc26514178"/>
      <w:r w:rsidRPr="005A1511">
        <w:rPr>
          <w:rFonts w:ascii="Arial" w:hAnsi="Arial" w:cs="Arial"/>
        </w:rPr>
        <w:br w:type="page"/>
      </w:r>
    </w:p>
    <w:p w14:paraId="49348C7D" w14:textId="2D360561" w:rsidR="00C75FA5" w:rsidRPr="005A1511" w:rsidRDefault="007A50BC" w:rsidP="003C251E">
      <w:pPr>
        <w:pStyle w:val="Heading1"/>
      </w:pPr>
      <w:bookmarkStart w:id="2" w:name="_Toc189144421"/>
      <w:r w:rsidRPr="005A1511">
        <w:lastRenderedPageBreak/>
        <w:t>I</w:t>
      </w:r>
      <w:r w:rsidR="00C75FA5" w:rsidRPr="005A1511">
        <w:t>ntroduction</w:t>
      </w:r>
      <w:bookmarkEnd w:id="2"/>
    </w:p>
    <w:p w14:paraId="5ED80B3B" w14:textId="3F86F487" w:rsidR="00743456" w:rsidRPr="005A1511" w:rsidRDefault="00743456" w:rsidP="0074345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rPr>
      </w:pPr>
      <w:r w:rsidRPr="005A1511">
        <w:rPr>
          <w:rFonts w:ascii="Arial" w:eastAsia="Times New Roman" w:hAnsi="Arial" w:cs="Arial"/>
        </w:rPr>
        <w:t xml:space="preserve">Combatting antimicrobial resistance, the </w:t>
      </w:r>
      <w:hyperlink r:id="rId11" w:history="1">
        <w:r w:rsidRPr="005A1511">
          <w:rPr>
            <w:rStyle w:val="Hyperlink"/>
            <w:rFonts w:ascii="Arial" w:eastAsia="Times New Roman" w:hAnsi="Arial" w:cs="Arial"/>
          </w:rPr>
          <w:t>UK</w:t>
        </w:r>
        <w:r w:rsidR="00380092" w:rsidRPr="005A1511">
          <w:rPr>
            <w:rStyle w:val="Hyperlink"/>
            <w:rFonts w:ascii="Arial" w:eastAsia="Times New Roman" w:hAnsi="Arial" w:cs="Arial"/>
          </w:rPr>
          <w:t>’s</w:t>
        </w:r>
        <w:r w:rsidRPr="005A1511">
          <w:rPr>
            <w:rStyle w:val="Hyperlink"/>
            <w:rFonts w:ascii="Arial" w:eastAsia="Times New Roman" w:hAnsi="Arial" w:cs="Arial"/>
          </w:rPr>
          <w:t xml:space="preserve"> second five-year national action plan</w:t>
        </w:r>
      </w:hyperlink>
      <w:r w:rsidRPr="005A1511">
        <w:rPr>
          <w:rFonts w:ascii="Arial" w:eastAsia="Times New Roman" w:hAnsi="Arial" w:cs="Arial"/>
        </w:rPr>
        <w:t xml:space="preserve"> continues to promote optimal use of antimicrobials in humans to ensure safe and effective patient care by strengthening antimicrobial stewardship programmes. There is also an ambition to reduce UK antimicrobial use in humans by 5% by 2029, and to prevent any increase in Gram-negative blood stream infections in humans from a 2019/2020 baseline.</w:t>
      </w:r>
    </w:p>
    <w:p w14:paraId="2133CB40" w14:textId="1F015ED5" w:rsidR="00743456" w:rsidRPr="005A1511" w:rsidRDefault="00743456" w:rsidP="0074345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rPr>
      </w:pPr>
      <w:r w:rsidRPr="005A1511">
        <w:rPr>
          <w:rFonts w:ascii="Arial" w:eastAsia="Times New Roman" w:hAnsi="Arial" w:cs="Arial"/>
          <w:color w:val="auto"/>
        </w:rPr>
        <w:t xml:space="preserve">The </w:t>
      </w:r>
      <w:r w:rsidRPr="005A1511">
        <w:rPr>
          <w:rFonts w:ascii="Arial" w:eastAsia="Times New Roman" w:hAnsi="Arial" w:cs="Arial"/>
          <w:i/>
          <w:iCs/>
          <w:color w:val="auto"/>
        </w:rPr>
        <w:t xml:space="preserve">Antimicrobial Stewardship </w:t>
      </w:r>
      <w:r w:rsidR="00A55D3B" w:rsidRPr="005A1511">
        <w:rPr>
          <w:rFonts w:ascii="Arial" w:eastAsia="Times New Roman" w:hAnsi="Arial" w:cs="Arial"/>
          <w:i/>
          <w:iCs/>
          <w:color w:val="auto"/>
        </w:rPr>
        <w:t xml:space="preserve">- </w:t>
      </w:r>
      <w:r w:rsidRPr="005A1511">
        <w:rPr>
          <w:rFonts w:ascii="Arial" w:eastAsia="Times New Roman" w:hAnsi="Arial" w:cs="Arial"/>
          <w:i/>
          <w:iCs/>
          <w:color w:val="auto"/>
        </w:rPr>
        <w:t>Pharmacy First</w:t>
      </w:r>
      <w:r w:rsidRPr="005A1511">
        <w:rPr>
          <w:rFonts w:ascii="Arial" w:eastAsia="Times New Roman" w:hAnsi="Arial" w:cs="Arial"/>
          <w:color w:val="auto"/>
        </w:rPr>
        <w:t xml:space="preserve"> dashboard is intended to support Integrated Care Board led antimicrobial stewardship following the introduction of the </w:t>
      </w:r>
      <w:hyperlink r:id="rId12" w:history="1">
        <w:r w:rsidRPr="005A1511">
          <w:rPr>
            <w:rStyle w:val="Hyperlink"/>
            <w:rFonts w:ascii="Arial" w:eastAsia="Times New Roman" w:hAnsi="Arial" w:cs="Arial"/>
          </w:rPr>
          <w:t>NHS Pharmacy First</w:t>
        </w:r>
      </w:hyperlink>
      <w:r w:rsidRPr="005A1511">
        <w:rPr>
          <w:rFonts w:ascii="Arial" w:eastAsia="Times New Roman" w:hAnsi="Arial" w:cs="Arial"/>
          <w:color w:val="auto"/>
        </w:rPr>
        <w:t xml:space="preserve"> service on 31</w:t>
      </w:r>
      <w:r w:rsidRPr="005A1511">
        <w:rPr>
          <w:rFonts w:ascii="Arial" w:eastAsia="Times New Roman" w:hAnsi="Arial" w:cs="Arial"/>
          <w:color w:val="auto"/>
          <w:vertAlign w:val="superscript"/>
        </w:rPr>
        <w:t>st</w:t>
      </w:r>
      <w:r w:rsidRPr="005A1511">
        <w:rPr>
          <w:rFonts w:ascii="Arial" w:eastAsia="Times New Roman" w:hAnsi="Arial" w:cs="Arial"/>
          <w:color w:val="auto"/>
        </w:rPr>
        <w:t xml:space="preserve"> January 2024. This service is designed to provide people with quick and convenient access to safe and high-quality healthcare. It includes the supply of appropriate medicines via Patient Group Direction for 7 common infections via consultation with a community pharmacy. </w:t>
      </w:r>
    </w:p>
    <w:p w14:paraId="5B09108B" w14:textId="77777777" w:rsidR="00743456" w:rsidRPr="005A1511" w:rsidRDefault="00743456" w:rsidP="0074345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rPr>
      </w:pPr>
      <w:r w:rsidRPr="005A1511">
        <w:rPr>
          <w:rFonts w:ascii="Arial" w:eastAsia="Times New Roman" w:hAnsi="Arial" w:cs="Arial"/>
          <w:color w:val="auto"/>
        </w:rPr>
        <w:t>The 7 common infection clinical pathways are</w:t>
      </w:r>
    </w:p>
    <w:p w14:paraId="05CC8A7A" w14:textId="77777777" w:rsidR="00743456" w:rsidRPr="005A1511" w:rsidRDefault="00743456" w:rsidP="00743456">
      <w:pPr>
        <w:pStyle w:val="ListParagraph"/>
        <w:numPr>
          <w:ilvl w:val="0"/>
          <w:numId w:val="31"/>
        </w:numPr>
        <w:spacing w:before="100" w:beforeAutospacing="1" w:after="100" w:afterAutospacing="1" w:line="240" w:lineRule="auto"/>
        <w:rPr>
          <w:rFonts w:ascii="Arial" w:eastAsia="Times New Roman" w:hAnsi="Arial" w:cs="Arial"/>
        </w:rPr>
      </w:pPr>
      <w:r w:rsidRPr="005A1511">
        <w:rPr>
          <w:rFonts w:ascii="Arial" w:eastAsia="Times New Roman" w:hAnsi="Arial" w:cs="Arial"/>
        </w:rPr>
        <w:t>Acute Otitis Media for children aged 1 to 17 years</w:t>
      </w:r>
    </w:p>
    <w:p w14:paraId="12E925F7" w14:textId="77777777" w:rsidR="00743456" w:rsidRPr="005A1511" w:rsidRDefault="00743456" w:rsidP="00743456">
      <w:pPr>
        <w:pStyle w:val="ListParagraph"/>
        <w:numPr>
          <w:ilvl w:val="0"/>
          <w:numId w:val="31"/>
        </w:numPr>
        <w:spacing w:before="100" w:beforeAutospacing="1" w:after="100" w:afterAutospacing="1" w:line="240" w:lineRule="auto"/>
        <w:rPr>
          <w:rFonts w:ascii="Arial" w:eastAsia="Times New Roman" w:hAnsi="Arial" w:cs="Arial"/>
        </w:rPr>
      </w:pPr>
      <w:r w:rsidRPr="005A1511">
        <w:rPr>
          <w:rFonts w:ascii="Arial" w:eastAsia="Times New Roman" w:hAnsi="Arial" w:cs="Arial"/>
        </w:rPr>
        <w:t>Acute Sore Throat for adults and children aged 5 years and over</w:t>
      </w:r>
    </w:p>
    <w:p w14:paraId="15623EB0" w14:textId="77777777" w:rsidR="00743456" w:rsidRPr="005A1511" w:rsidRDefault="00743456" w:rsidP="00743456">
      <w:pPr>
        <w:pStyle w:val="ListParagraph"/>
        <w:numPr>
          <w:ilvl w:val="0"/>
          <w:numId w:val="31"/>
        </w:numPr>
        <w:spacing w:before="100" w:beforeAutospacing="1" w:after="100" w:afterAutospacing="1" w:line="240" w:lineRule="auto"/>
        <w:rPr>
          <w:rFonts w:ascii="Arial" w:eastAsia="Times New Roman" w:hAnsi="Arial" w:cs="Arial"/>
        </w:rPr>
      </w:pPr>
      <w:r w:rsidRPr="005A1511">
        <w:rPr>
          <w:rFonts w:ascii="Arial" w:eastAsia="Times New Roman" w:hAnsi="Arial" w:cs="Arial"/>
        </w:rPr>
        <w:t>Impetigo (non-bullous) for adults and children aged 1 year and over</w:t>
      </w:r>
    </w:p>
    <w:p w14:paraId="750BA420" w14:textId="77777777" w:rsidR="00743456" w:rsidRPr="005A1511" w:rsidRDefault="00743456" w:rsidP="00743456">
      <w:pPr>
        <w:pStyle w:val="ListParagraph"/>
        <w:numPr>
          <w:ilvl w:val="0"/>
          <w:numId w:val="31"/>
        </w:numPr>
        <w:spacing w:before="100" w:beforeAutospacing="1" w:after="100" w:afterAutospacing="1" w:line="240" w:lineRule="auto"/>
        <w:rPr>
          <w:rFonts w:ascii="Arial" w:eastAsia="Times New Roman" w:hAnsi="Arial" w:cs="Arial"/>
        </w:rPr>
      </w:pPr>
      <w:r w:rsidRPr="005A1511">
        <w:rPr>
          <w:rFonts w:ascii="Arial" w:eastAsia="Times New Roman" w:hAnsi="Arial" w:cs="Arial"/>
        </w:rPr>
        <w:t>Infected Insect Bites for adults and children aged 1 year and over</w:t>
      </w:r>
    </w:p>
    <w:p w14:paraId="5AA456AF" w14:textId="77777777" w:rsidR="00743456" w:rsidRPr="005A1511" w:rsidRDefault="00743456" w:rsidP="00743456">
      <w:pPr>
        <w:pStyle w:val="ListParagraph"/>
        <w:numPr>
          <w:ilvl w:val="0"/>
          <w:numId w:val="31"/>
        </w:numPr>
        <w:spacing w:before="100" w:beforeAutospacing="1" w:after="100" w:afterAutospacing="1" w:line="240" w:lineRule="auto"/>
        <w:rPr>
          <w:rFonts w:ascii="Arial" w:eastAsia="Times New Roman" w:hAnsi="Arial" w:cs="Arial"/>
        </w:rPr>
      </w:pPr>
      <w:r w:rsidRPr="005A1511">
        <w:rPr>
          <w:rFonts w:ascii="Arial" w:eastAsia="Times New Roman" w:hAnsi="Arial" w:cs="Arial"/>
        </w:rPr>
        <w:t>Shingles for adults aged 18 years and over</w:t>
      </w:r>
    </w:p>
    <w:p w14:paraId="6D9E698A" w14:textId="77777777" w:rsidR="00743456" w:rsidRPr="005A1511" w:rsidRDefault="00743456" w:rsidP="00743456">
      <w:pPr>
        <w:pStyle w:val="ListParagraph"/>
        <w:numPr>
          <w:ilvl w:val="0"/>
          <w:numId w:val="31"/>
        </w:numPr>
        <w:spacing w:before="100" w:beforeAutospacing="1" w:after="100" w:afterAutospacing="1" w:line="240" w:lineRule="auto"/>
        <w:rPr>
          <w:rFonts w:ascii="Arial" w:eastAsia="Times New Roman" w:hAnsi="Arial" w:cs="Arial"/>
        </w:rPr>
      </w:pPr>
      <w:r w:rsidRPr="005A1511">
        <w:rPr>
          <w:rFonts w:ascii="Arial" w:eastAsia="Times New Roman" w:hAnsi="Arial" w:cs="Arial"/>
        </w:rPr>
        <w:t>Acute Sinusitis for adults and children aged 12 years and over</w:t>
      </w:r>
    </w:p>
    <w:p w14:paraId="7143B789" w14:textId="77777777" w:rsidR="00743456" w:rsidRPr="005A1511" w:rsidRDefault="00743456" w:rsidP="00743456">
      <w:pPr>
        <w:pStyle w:val="ListParagraph"/>
        <w:numPr>
          <w:ilvl w:val="0"/>
          <w:numId w:val="31"/>
        </w:numPr>
        <w:spacing w:before="100" w:beforeAutospacing="1" w:after="100" w:afterAutospacing="1" w:line="240" w:lineRule="auto"/>
        <w:rPr>
          <w:rFonts w:ascii="Arial" w:eastAsia="Times New Roman" w:hAnsi="Arial" w:cs="Arial"/>
        </w:rPr>
      </w:pPr>
      <w:r w:rsidRPr="005A1511">
        <w:rPr>
          <w:rFonts w:ascii="Arial" w:eastAsia="Times New Roman" w:hAnsi="Arial" w:cs="Arial"/>
        </w:rPr>
        <w:t>Uncomplicated Urinary Tract Infection for women aged 16 to 64 years with suspected lower UTIs</w:t>
      </w:r>
    </w:p>
    <w:p w14:paraId="4DE4EBE5" w14:textId="77777777" w:rsidR="00743456" w:rsidRPr="005A1511" w:rsidRDefault="00743456" w:rsidP="00743456">
      <w:pPr>
        <w:spacing w:before="100" w:beforeAutospacing="1" w:after="100" w:afterAutospacing="1" w:line="240" w:lineRule="auto"/>
        <w:rPr>
          <w:rFonts w:ascii="Arial" w:eastAsia="Times New Roman" w:hAnsi="Arial" w:cs="Arial"/>
        </w:rPr>
      </w:pPr>
      <w:r w:rsidRPr="005A1511">
        <w:rPr>
          <w:rFonts w:ascii="Arial" w:eastAsia="Times New Roman" w:hAnsi="Arial" w:cs="Arial"/>
        </w:rPr>
        <w:t xml:space="preserve">Further detail is published in the </w:t>
      </w:r>
      <w:hyperlink r:id="rId13" w:history="1">
        <w:r w:rsidRPr="005A1511">
          <w:rPr>
            <w:rStyle w:val="Hyperlink"/>
            <w:rFonts w:ascii="Arial" w:eastAsia="Times New Roman" w:hAnsi="Arial" w:cs="Arial"/>
          </w:rPr>
          <w:t>Community Pharmacy advanced service specification: NHS Pharmacy First Service</w:t>
        </w:r>
      </w:hyperlink>
    </w:p>
    <w:p w14:paraId="623A8409" w14:textId="18B13BD1" w:rsidR="00743456" w:rsidRPr="005A1511" w:rsidRDefault="00743456" w:rsidP="0074345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Arial" w:eastAsia="Times New Roman" w:hAnsi="Arial" w:cs="Arial"/>
          <w:color w:val="auto"/>
        </w:rPr>
      </w:pPr>
      <w:r w:rsidRPr="005A1511">
        <w:rPr>
          <w:rFonts w:ascii="Arial" w:eastAsia="Times New Roman" w:hAnsi="Arial" w:cs="Arial"/>
          <w:color w:val="auto"/>
        </w:rPr>
        <w:t xml:space="preserve">While people can access the Pharmacy First service from any participating pharmacy, the Antimicrobial Stewardship </w:t>
      </w:r>
      <w:r w:rsidR="00A55D3B" w:rsidRPr="005A1511">
        <w:rPr>
          <w:rFonts w:ascii="Arial" w:eastAsia="Times New Roman" w:hAnsi="Arial" w:cs="Arial"/>
          <w:color w:val="auto"/>
        </w:rPr>
        <w:t xml:space="preserve">- </w:t>
      </w:r>
      <w:r w:rsidRPr="005A1511">
        <w:rPr>
          <w:rFonts w:ascii="Arial" w:eastAsia="Times New Roman" w:hAnsi="Arial" w:cs="Arial"/>
          <w:color w:val="auto"/>
        </w:rPr>
        <w:t>Pharmacy First dashboard reports consultation activity by Integrated Care Board where the person is registered with an NHS General Practice, providing Integrated Care Boards with insight into their population use of the Pharmacy First service. The dashboard will support clinicians and NHS integrated care systems monitor access to infection pathways and monitor exposure to medicines including antimicrobials for defined populations.</w:t>
      </w:r>
    </w:p>
    <w:p w14:paraId="4A83EAEA" w14:textId="77777777" w:rsidR="00F95676" w:rsidRPr="005A1511" w:rsidRDefault="00F95676">
      <w:pPr>
        <w:rPr>
          <w:rFonts w:ascii="Arial" w:eastAsia="Arial" w:hAnsi="Arial" w:cs="Arial"/>
          <w:b/>
          <w:sz w:val="24"/>
          <w:szCs w:val="24"/>
        </w:rPr>
      </w:pPr>
      <w:r w:rsidRPr="005A1511">
        <w:rPr>
          <w:rFonts w:ascii="Arial" w:hAnsi="Arial" w:cs="Arial"/>
        </w:rPr>
        <w:br w:type="page"/>
      </w:r>
    </w:p>
    <w:p w14:paraId="42C37DBA" w14:textId="24BB8FAF" w:rsidR="00BF6905" w:rsidRPr="005A1511" w:rsidRDefault="00CD7E73" w:rsidP="00BF6905">
      <w:pPr>
        <w:pStyle w:val="Heading1"/>
      </w:pPr>
      <w:bookmarkStart w:id="3" w:name="_Toc189144422"/>
      <w:r w:rsidRPr="005A1511">
        <w:lastRenderedPageBreak/>
        <w:t xml:space="preserve">Dashboard </w:t>
      </w:r>
      <w:r w:rsidR="004B3500" w:rsidRPr="005A1511">
        <w:t>Comparator</w:t>
      </w:r>
      <w:r w:rsidRPr="005A1511">
        <w:t>s</w:t>
      </w:r>
      <w:bookmarkEnd w:id="3"/>
    </w:p>
    <w:p w14:paraId="60BB1E96" w14:textId="77777777" w:rsidR="00BF6905" w:rsidRPr="005A1511" w:rsidRDefault="00BF6905" w:rsidP="00BF6905">
      <w:pPr>
        <w:widowControl w:val="0"/>
        <w:spacing w:after="0" w:line="240" w:lineRule="auto"/>
        <w:rPr>
          <w:rFonts w:ascii="Arial" w:eastAsia="Arial" w:hAnsi="Arial" w:cs="Arial"/>
        </w:rPr>
      </w:pPr>
    </w:p>
    <w:p w14:paraId="57C02F32" w14:textId="229200A6" w:rsidR="003B1002" w:rsidRPr="005A1511" w:rsidRDefault="003B1002" w:rsidP="00F4467E">
      <w:pPr>
        <w:spacing w:after="0"/>
        <w:rPr>
          <w:rFonts w:ascii="Arial" w:eastAsia="Arial" w:hAnsi="Arial" w:cs="Arial"/>
        </w:rPr>
      </w:pPr>
      <w:r w:rsidRPr="005A1511">
        <w:rPr>
          <w:rFonts w:ascii="Arial" w:eastAsia="Arial" w:hAnsi="Arial" w:cs="Arial"/>
        </w:rPr>
        <w:t>This dashboard contains seven separate comparators, each reporting a different facet of Pharmacy First activity.</w:t>
      </w:r>
    </w:p>
    <w:p w14:paraId="7AEA7EAC" w14:textId="77777777" w:rsidR="003B1002" w:rsidRPr="005A1511" w:rsidRDefault="003B1002" w:rsidP="00F4467E">
      <w:pPr>
        <w:spacing w:after="0"/>
        <w:rPr>
          <w:rFonts w:ascii="Arial" w:eastAsia="Arial" w:hAnsi="Arial" w:cs="Arial"/>
        </w:rPr>
      </w:pPr>
    </w:p>
    <w:p w14:paraId="1AEB6E3C" w14:textId="085BE3CC" w:rsidR="00F4467E" w:rsidRPr="005A1511" w:rsidRDefault="00F4467E" w:rsidP="00F4467E">
      <w:pPr>
        <w:spacing w:after="0"/>
        <w:rPr>
          <w:rFonts w:ascii="Arial" w:hAnsi="Arial" w:cs="Arial"/>
        </w:rPr>
      </w:pPr>
      <w:r w:rsidRPr="005A1511">
        <w:rPr>
          <w:rFonts w:ascii="Arial" w:eastAsia="Arial" w:hAnsi="Arial" w:cs="Arial"/>
        </w:rPr>
        <w:t>Each of the</w:t>
      </w:r>
      <w:r w:rsidR="003B1002" w:rsidRPr="005A1511">
        <w:rPr>
          <w:rFonts w:ascii="Arial" w:eastAsia="Arial" w:hAnsi="Arial" w:cs="Arial"/>
        </w:rPr>
        <w:t xml:space="preserve"> following five</w:t>
      </w:r>
      <w:r w:rsidRPr="005A1511">
        <w:rPr>
          <w:rFonts w:ascii="Arial" w:eastAsia="Arial" w:hAnsi="Arial" w:cs="Arial"/>
        </w:rPr>
        <w:t xml:space="preserve"> comparators are shown at national (England), NHS region and </w:t>
      </w:r>
      <w:r w:rsidR="001103B0" w:rsidRPr="005A1511">
        <w:rPr>
          <w:rFonts w:ascii="Arial" w:eastAsia="Arial" w:hAnsi="Arial" w:cs="Arial"/>
        </w:rPr>
        <w:t xml:space="preserve">Integrated Care Board (hereafter </w:t>
      </w:r>
      <w:r w:rsidRPr="005A1511">
        <w:rPr>
          <w:rFonts w:ascii="Arial" w:eastAsia="Arial" w:hAnsi="Arial" w:cs="Arial"/>
        </w:rPr>
        <w:t>ICB</w:t>
      </w:r>
      <w:r w:rsidR="001103B0" w:rsidRPr="005A1511">
        <w:rPr>
          <w:rFonts w:ascii="Arial" w:eastAsia="Arial" w:hAnsi="Arial" w:cs="Arial"/>
        </w:rPr>
        <w:t>)</w:t>
      </w:r>
      <w:r w:rsidRPr="005A1511">
        <w:rPr>
          <w:rFonts w:ascii="Arial" w:eastAsia="Arial" w:hAnsi="Arial" w:cs="Arial"/>
        </w:rPr>
        <w:t xml:space="preserve"> levels, where the </w:t>
      </w:r>
      <w:r w:rsidRPr="005A1511">
        <w:rPr>
          <w:rFonts w:ascii="Arial" w:hAnsi="Arial" w:cs="Arial"/>
        </w:rPr>
        <w:t>organisational unit is derived from the ODS code of the GP practice for the patient who has received treatment.</w:t>
      </w:r>
    </w:p>
    <w:p w14:paraId="62897790" w14:textId="77777777" w:rsidR="007B39E2" w:rsidRPr="005A1511" w:rsidRDefault="007B39E2" w:rsidP="00BF6905">
      <w:pPr>
        <w:widowControl w:val="0"/>
        <w:spacing w:after="0" w:line="240" w:lineRule="auto"/>
        <w:rPr>
          <w:rFonts w:ascii="Arial" w:eastAsia="Arial" w:hAnsi="Arial" w:cs="Arial"/>
        </w:rPr>
      </w:pPr>
    </w:p>
    <w:p w14:paraId="6FFEB914" w14:textId="77777777" w:rsidR="007B39E2" w:rsidRPr="005A1511" w:rsidRDefault="007B39E2" w:rsidP="007B39E2">
      <w:pPr>
        <w:pStyle w:val="ListParagraph"/>
        <w:numPr>
          <w:ilvl w:val="0"/>
          <w:numId w:val="17"/>
        </w:numPr>
        <w:spacing w:after="0"/>
        <w:rPr>
          <w:rFonts w:ascii="Arial" w:hAnsi="Arial" w:cs="Arial"/>
        </w:rPr>
      </w:pPr>
      <w:r w:rsidRPr="005A1511">
        <w:rPr>
          <w:rFonts w:ascii="Arial" w:hAnsi="Arial" w:cs="Arial"/>
        </w:rPr>
        <w:t>Population Access</w:t>
      </w:r>
    </w:p>
    <w:p w14:paraId="600C10E3" w14:textId="77777777" w:rsidR="007B39E2" w:rsidRPr="005A1511" w:rsidRDefault="007B39E2" w:rsidP="007B39E2">
      <w:pPr>
        <w:pStyle w:val="ListParagraph"/>
        <w:numPr>
          <w:ilvl w:val="0"/>
          <w:numId w:val="17"/>
        </w:numPr>
        <w:spacing w:after="0"/>
        <w:rPr>
          <w:rFonts w:ascii="Arial" w:hAnsi="Arial" w:cs="Arial"/>
        </w:rPr>
      </w:pPr>
      <w:r w:rsidRPr="005A1511">
        <w:rPr>
          <w:rFonts w:ascii="Arial" w:hAnsi="Arial" w:cs="Arial"/>
        </w:rPr>
        <w:t>Pathway by Medicine Supply</w:t>
      </w:r>
    </w:p>
    <w:p w14:paraId="49F0AEE7" w14:textId="77777777" w:rsidR="007B39E2" w:rsidRPr="005A1511" w:rsidRDefault="007B39E2" w:rsidP="007B39E2">
      <w:pPr>
        <w:pStyle w:val="ListParagraph"/>
        <w:numPr>
          <w:ilvl w:val="0"/>
          <w:numId w:val="17"/>
        </w:numPr>
        <w:spacing w:after="0"/>
        <w:rPr>
          <w:rFonts w:ascii="Arial" w:hAnsi="Arial" w:cs="Arial"/>
        </w:rPr>
      </w:pPr>
      <w:r w:rsidRPr="005A1511">
        <w:rPr>
          <w:rFonts w:ascii="Arial" w:hAnsi="Arial" w:cs="Arial"/>
        </w:rPr>
        <w:t>Pathway by Demographic</w:t>
      </w:r>
    </w:p>
    <w:p w14:paraId="3172B6F9" w14:textId="77777777" w:rsidR="007B39E2" w:rsidRPr="005A1511" w:rsidRDefault="007B39E2" w:rsidP="007B39E2">
      <w:pPr>
        <w:pStyle w:val="ListParagraph"/>
        <w:numPr>
          <w:ilvl w:val="0"/>
          <w:numId w:val="17"/>
        </w:numPr>
        <w:spacing w:after="0"/>
        <w:rPr>
          <w:rFonts w:ascii="Arial" w:hAnsi="Arial" w:cs="Arial"/>
        </w:rPr>
      </w:pPr>
      <w:r w:rsidRPr="005A1511">
        <w:rPr>
          <w:rFonts w:ascii="Arial" w:hAnsi="Arial" w:cs="Arial"/>
        </w:rPr>
        <w:t>Uncomplicated UTI Pathway</w:t>
      </w:r>
    </w:p>
    <w:p w14:paraId="3C2CCFBB" w14:textId="275EFFBC" w:rsidR="007B39E2" w:rsidRPr="005A1511" w:rsidRDefault="007B39E2" w:rsidP="004F4EA7">
      <w:pPr>
        <w:pStyle w:val="ListParagraph"/>
        <w:numPr>
          <w:ilvl w:val="0"/>
          <w:numId w:val="17"/>
        </w:numPr>
        <w:rPr>
          <w:rFonts w:ascii="Arial" w:eastAsia="Arial" w:hAnsi="Arial" w:cs="Arial"/>
        </w:rPr>
      </w:pPr>
      <w:r w:rsidRPr="005A1511">
        <w:rPr>
          <w:rFonts w:ascii="Arial" w:hAnsi="Arial" w:cs="Arial"/>
        </w:rPr>
        <w:t xml:space="preserve">Monthly Summary </w:t>
      </w:r>
    </w:p>
    <w:p w14:paraId="0D91277D" w14:textId="15062BD9" w:rsidR="00820D03" w:rsidRPr="005A1511" w:rsidRDefault="00820D03" w:rsidP="00CD7E73">
      <w:pPr>
        <w:rPr>
          <w:rFonts w:ascii="Arial" w:hAnsi="Arial" w:cs="Arial"/>
        </w:rPr>
      </w:pPr>
      <w:bookmarkStart w:id="4" w:name="_Toc26514179"/>
      <w:r w:rsidRPr="005A1511">
        <w:rPr>
          <w:rFonts w:ascii="Arial" w:hAnsi="Arial" w:cs="Arial"/>
        </w:rPr>
        <w:t xml:space="preserve">The following two comparators are shown at national, NHS </w:t>
      </w:r>
      <w:r w:rsidR="00901CD0" w:rsidRPr="005A1511">
        <w:rPr>
          <w:rFonts w:ascii="Arial" w:hAnsi="Arial" w:cs="Arial"/>
        </w:rPr>
        <w:t>r</w:t>
      </w:r>
      <w:r w:rsidRPr="005A1511">
        <w:rPr>
          <w:rFonts w:ascii="Arial" w:hAnsi="Arial" w:cs="Arial"/>
        </w:rPr>
        <w:t xml:space="preserve">egion and ICB level as above, but are also shown </w:t>
      </w:r>
      <w:r w:rsidR="00901CD0" w:rsidRPr="005A1511">
        <w:rPr>
          <w:rFonts w:ascii="Arial" w:hAnsi="Arial" w:cs="Arial"/>
        </w:rPr>
        <w:t>for</w:t>
      </w:r>
      <w:r w:rsidRPr="005A1511">
        <w:rPr>
          <w:rFonts w:ascii="Arial" w:hAnsi="Arial" w:cs="Arial"/>
        </w:rPr>
        <w:t xml:space="preserve"> </w:t>
      </w:r>
      <w:r w:rsidR="00901CD0" w:rsidRPr="005A1511">
        <w:rPr>
          <w:rFonts w:ascii="Arial" w:hAnsi="Arial" w:cs="Arial"/>
        </w:rPr>
        <w:t>c</w:t>
      </w:r>
      <w:r w:rsidRPr="005A1511">
        <w:rPr>
          <w:rFonts w:ascii="Arial" w:hAnsi="Arial" w:cs="Arial"/>
        </w:rPr>
        <w:t>ommunity</w:t>
      </w:r>
      <w:r w:rsidR="00901CD0" w:rsidRPr="005A1511">
        <w:rPr>
          <w:rFonts w:ascii="Arial" w:hAnsi="Arial" w:cs="Arial"/>
        </w:rPr>
        <w:t xml:space="preserve"> pharmacies</w:t>
      </w:r>
      <w:r w:rsidR="00D57C89" w:rsidRPr="005A1511">
        <w:rPr>
          <w:rFonts w:ascii="Arial" w:hAnsi="Arial" w:cs="Arial"/>
        </w:rPr>
        <w:t xml:space="preserve"> at ICB level</w:t>
      </w:r>
      <w:r w:rsidR="00901CD0" w:rsidRPr="005A1511">
        <w:rPr>
          <w:rFonts w:ascii="Arial" w:hAnsi="Arial" w:cs="Arial"/>
        </w:rPr>
        <w:t xml:space="preserve">, </w:t>
      </w:r>
      <w:r w:rsidR="00D57C89" w:rsidRPr="005A1511">
        <w:rPr>
          <w:rFonts w:ascii="Arial" w:hAnsi="Arial" w:cs="Arial"/>
        </w:rPr>
        <w:t>where the ICB</w:t>
      </w:r>
      <w:r w:rsidR="003B1002" w:rsidRPr="005A1511">
        <w:rPr>
          <w:rFonts w:ascii="Arial" w:hAnsi="Arial" w:cs="Arial"/>
        </w:rPr>
        <w:t xml:space="preserve"> is</w:t>
      </w:r>
      <w:r w:rsidR="00D57C89" w:rsidRPr="005A1511">
        <w:rPr>
          <w:rFonts w:ascii="Arial" w:hAnsi="Arial" w:cs="Arial"/>
        </w:rPr>
        <w:t xml:space="preserve"> based on the </w:t>
      </w:r>
      <w:r w:rsidR="003B1002" w:rsidRPr="005A1511">
        <w:rPr>
          <w:rFonts w:ascii="Arial" w:hAnsi="Arial" w:cs="Arial"/>
        </w:rPr>
        <w:t>location of the pharmacy accessed.</w:t>
      </w:r>
    </w:p>
    <w:p w14:paraId="269034AA" w14:textId="77777777" w:rsidR="003B1002" w:rsidRPr="005A1511" w:rsidRDefault="003B1002" w:rsidP="003B1002">
      <w:pPr>
        <w:pStyle w:val="ListParagraph"/>
        <w:numPr>
          <w:ilvl w:val="0"/>
          <w:numId w:val="17"/>
        </w:numPr>
        <w:spacing w:after="0"/>
        <w:rPr>
          <w:rFonts w:ascii="Arial" w:hAnsi="Arial" w:cs="Arial"/>
        </w:rPr>
      </w:pPr>
      <w:r w:rsidRPr="005A1511">
        <w:rPr>
          <w:rFonts w:ascii="Arial" w:hAnsi="Arial" w:cs="Arial"/>
        </w:rPr>
        <w:t>Pathway by Consultation Outcome</w:t>
      </w:r>
    </w:p>
    <w:p w14:paraId="054123AB" w14:textId="77777777" w:rsidR="003B1002" w:rsidRPr="005A1511" w:rsidRDefault="003B1002" w:rsidP="003B1002">
      <w:pPr>
        <w:pStyle w:val="ListParagraph"/>
        <w:numPr>
          <w:ilvl w:val="0"/>
          <w:numId w:val="17"/>
        </w:numPr>
        <w:spacing w:after="0"/>
        <w:rPr>
          <w:rFonts w:ascii="Arial" w:hAnsi="Arial" w:cs="Arial"/>
        </w:rPr>
      </w:pPr>
      <w:r w:rsidRPr="005A1511">
        <w:rPr>
          <w:rFonts w:ascii="Arial" w:hAnsi="Arial" w:cs="Arial"/>
        </w:rPr>
        <w:t>Pathway by Medicine Selected</w:t>
      </w:r>
    </w:p>
    <w:p w14:paraId="57B472B3" w14:textId="77777777" w:rsidR="005C273F" w:rsidRPr="005A1511" w:rsidRDefault="005C273F" w:rsidP="00CD7E73">
      <w:pPr>
        <w:rPr>
          <w:rFonts w:ascii="Arial" w:hAnsi="Arial" w:cs="Arial"/>
        </w:rPr>
      </w:pPr>
    </w:p>
    <w:p w14:paraId="612A825C" w14:textId="5065427C" w:rsidR="000316C4" w:rsidRPr="005A1511" w:rsidRDefault="000316C4" w:rsidP="00CD7E73">
      <w:pPr>
        <w:rPr>
          <w:rFonts w:ascii="Arial" w:hAnsi="Arial" w:cs="Arial"/>
        </w:rPr>
      </w:pPr>
      <w:r w:rsidRPr="005A1511">
        <w:rPr>
          <w:rFonts w:ascii="Arial" w:hAnsi="Arial" w:cs="Arial"/>
        </w:rPr>
        <w:t>See the section ‘</w:t>
      </w:r>
      <w:hyperlink w:anchor="_Derivation_of_organisational" w:history="1">
        <w:r w:rsidRPr="005A1511">
          <w:rPr>
            <w:rStyle w:val="Hyperlink"/>
            <w:rFonts w:ascii="Arial" w:hAnsi="Arial" w:cs="Arial"/>
          </w:rPr>
          <w:t xml:space="preserve">Derivation of </w:t>
        </w:r>
        <w:r w:rsidR="003B1002" w:rsidRPr="005A1511">
          <w:rPr>
            <w:rStyle w:val="Hyperlink"/>
            <w:rFonts w:ascii="Arial" w:hAnsi="Arial" w:cs="Arial"/>
          </w:rPr>
          <w:t>o</w:t>
        </w:r>
        <w:r w:rsidRPr="005A1511">
          <w:rPr>
            <w:rStyle w:val="Hyperlink"/>
            <w:rFonts w:ascii="Arial" w:hAnsi="Arial" w:cs="Arial"/>
          </w:rPr>
          <w:t xml:space="preserve">rganisational </w:t>
        </w:r>
        <w:r w:rsidR="003B1002" w:rsidRPr="005A1511">
          <w:rPr>
            <w:rStyle w:val="Hyperlink"/>
            <w:rFonts w:ascii="Arial" w:hAnsi="Arial" w:cs="Arial"/>
          </w:rPr>
          <w:t>u</w:t>
        </w:r>
        <w:r w:rsidRPr="005A1511">
          <w:rPr>
            <w:rStyle w:val="Hyperlink"/>
            <w:rFonts w:ascii="Arial" w:hAnsi="Arial" w:cs="Arial"/>
          </w:rPr>
          <w:t>nits</w:t>
        </w:r>
      </w:hyperlink>
      <w:r w:rsidRPr="005A1511">
        <w:rPr>
          <w:rFonts w:ascii="Arial" w:hAnsi="Arial" w:cs="Arial"/>
        </w:rPr>
        <w:t xml:space="preserve">’ below, for more information on the methods used to assign Pharmacy First activity to </w:t>
      </w:r>
      <w:r w:rsidR="00056D69" w:rsidRPr="005A1511">
        <w:rPr>
          <w:rFonts w:ascii="Arial" w:hAnsi="Arial" w:cs="Arial"/>
        </w:rPr>
        <w:t>organisations.</w:t>
      </w:r>
    </w:p>
    <w:p w14:paraId="44DF37AE" w14:textId="77777777" w:rsidR="00056D69" w:rsidRPr="005A1511" w:rsidRDefault="00056D69">
      <w:pPr>
        <w:rPr>
          <w:rFonts w:ascii="Arial" w:hAnsi="Arial" w:cs="Arial"/>
          <w:b/>
          <w:bCs/>
        </w:rPr>
      </w:pPr>
      <w:r w:rsidRPr="005A1511">
        <w:rPr>
          <w:rFonts w:ascii="Arial" w:hAnsi="Arial" w:cs="Arial"/>
          <w:b/>
          <w:bCs/>
        </w:rPr>
        <w:br w:type="page"/>
      </w:r>
    </w:p>
    <w:p w14:paraId="3A7CF87F" w14:textId="08587723" w:rsidR="00CD7E73" w:rsidRPr="005A1511" w:rsidRDefault="009A7DD7" w:rsidP="00CD7E73">
      <w:pPr>
        <w:rPr>
          <w:rFonts w:ascii="Arial" w:hAnsi="Arial" w:cs="Arial"/>
          <w:b/>
          <w:bCs/>
        </w:rPr>
      </w:pPr>
      <w:r w:rsidRPr="005A1511">
        <w:rPr>
          <w:rFonts w:ascii="Arial" w:hAnsi="Arial" w:cs="Arial"/>
          <w:b/>
          <w:bCs/>
        </w:rPr>
        <w:lastRenderedPageBreak/>
        <w:t>Datasets</w:t>
      </w:r>
    </w:p>
    <w:p w14:paraId="47A531A1" w14:textId="0394524F" w:rsidR="009A7DD7" w:rsidRPr="005A1511" w:rsidRDefault="00FB6C61" w:rsidP="00CD7E73">
      <w:pPr>
        <w:rPr>
          <w:rFonts w:ascii="Arial" w:hAnsi="Arial" w:cs="Arial"/>
        </w:rPr>
      </w:pPr>
      <w:r w:rsidRPr="005A1511">
        <w:rPr>
          <w:rFonts w:ascii="Arial" w:hAnsi="Arial" w:cs="Arial"/>
        </w:rPr>
        <w:t xml:space="preserve">Summary datasets are available to download from this section, at national, NHS region and ICB levels, again based on patient GP practice data.  The following datasets are </w:t>
      </w:r>
      <w:r w:rsidR="004522F0" w:rsidRPr="005A1511">
        <w:rPr>
          <w:rFonts w:ascii="Arial" w:hAnsi="Arial" w:cs="Arial"/>
        </w:rPr>
        <w:t>available:</w:t>
      </w:r>
    </w:p>
    <w:tbl>
      <w:tblPr>
        <w:tblStyle w:val="TableGrid"/>
        <w:tblW w:w="0" w:type="auto"/>
        <w:tblLook w:val="04A0" w:firstRow="1" w:lastRow="0" w:firstColumn="1" w:lastColumn="0" w:noHBand="0" w:noVBand="1"/>
      </w:tblPr>
      <w:tblGrid>
        <w:gridCol w:w="4957"/>
        <w:gridCol w:w="1417"/>
        <w:gridCol w:w="1701"/>
        <w:gridCol w:w="1553"/>
      </w:tblGrid>
      <w:tr w:rsidR="00250F2F" w:rsidRPr="005A1511" w14:paraId="3E69C96C" w14:textId="77777777" w:rsidTr="008750C9">
        <w:trPr>
          <w:trHeight w:val="379"/>
        </w:trPr>
        <w:tc>
          <w:tcPr>
            <w:tcW w:w="4957" w:type="dxa"/>
          </w:tcPr>
          <w:p w14:paraId="4B843875" w14:textId="2B2640B3" w:rsidR="00250F2F" w:rsidRPr="005A1511" w:rsidRDefault="008750C9" w:rsidP="00CD7E73">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r w:rsidRPr="005A1511">
              <w:rPr>
                <w:rFonts w:ascii="Arial" w:hAnsi="Arial" w:cs="Arial"/>
                <w:b/>
                <w:bCs/>
                <w:sz w:val="18"/>
                <w:szCs w:val="18"/>
              </w:rPr>
              <w:t>Dataset</w:t>
            </w:r>
          </w:p>
        </w:tc>
        <w:tc>
          <w:tcPr>
            <w:tcW w:w="1417" w:type="dxa"/>
          </w:tcPr>
          <w:p w14:paraId="2A76B241" w14:textId="09AA2565" w:rsidR="00250F2F" w:rsidRPr="005A1511" w:rsidRDefault="00250F2F" w:rsidP="00CA299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5A1511">
              <w:rPr>
                <w:rFonts w:ascii="Arial" w:hAnsi="Arial" w:cs="Arial"/>
                <w:sz w:val="18"/>
                <w:szCs w:val="18"/>
              </w:rPr>
              <w:t>National</w:t>
            </w:r>
          </w:p>
        </w:tc>
        <w:tc>
          <w:tcPr>
            <w:tcW w:w="1701" w:type="dxa"/>
          </w:tcPr>
          <w:p w14:paraId="26A1219C" w14:textId="7126C12E" w:rsidR="00250F2F" w:rsidRPr="005A1511" w:rsidRDefault="00250F2F" w:rsidP="00CA299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5A1511">
              <w:rPr>
                <w:rFonts w:ascii="Arial" w:hAnsi="Arial" w:cs="Arial"/>
                <w:sz w:val="18"/>
                <w:szCs w:val="18"/>
              </w:rPr>
              <w:t>NHS Region</w:t>
            </w:r>
          </w:p>
        </w:tc>
        <w:tc>
          <w:tcPr>
            <w:tcW w:w="1553" w:type="dxa"/>
          </w:tcPr>
          <w:p w14:paraId="0E9327C8" w14:textId="1B062ED7" w:rsidR="00250F2F" w:rsidRPr="005A1511" w:rsidRDefault="00250F2F" w:rsidP="00CA299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5A1511">
              <w:rPr>
                <w:rFonts w:ascii="Arial" w:hAnsi="Arial" w:cs="Arial"/>
                <w:sz w:val="18"/>
                <w:szCs w:val="18"/>
              </w:rPr>
              <w:t>ICB</w:t>
            </w:r>
          </w:p>
        </w:tc>
      </w:tr>
      <w:tr w:rsidR="00250F2F" w:rsidRPr="005A1511" w14:paraId="55E41762" w14:textId="77777777" w:rsidTr="008750C9">
        <w:trPr>
          <w:trHeight w:val="412"/>
        </w:trPr>
        <w:tc>
          <w:tcPr>
            <w:tcW w:w="4957" w:type="dxa"/>
          </w:tcPr>
          <w:p w14:paraId="7B60FCB0" w14:textId="07E531FF" w:rsidR="00250F2F" w:rsidRPr="005A1511" w:rsidRDefault="00250F2F" w:rsidP="00CA299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5A1511">
              <w:rPr>
                <w:rFonts w:ascii="Arial" w:hAnsi="Arial" w:cs="Arial"/>
                <w:sz w:val="20"/>
                <w:szCs w:val="20"/>
              </w:rPr>
              <w:t>Pathway by Consultation Outcome</w:t>
            </w:r>
          </w:p>
        </w:tc>
        <w:tc>
          <w:tcPr>
            <w:tcW w:w="1417" w:type="dxa"/>
          </w:tcPr>
          <w:p w14:paraId="52CADE94" w14:textId="77777777" w:rsidR="00250F2F" w:rsidRPr="005A1511" w:rsidRDefault="00250F2F" w:rsidP="008750C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p>
        </w:tc>
        <w:tc>
          <w:tcPr>
            <w:tcW w:w="1701" w:type="dxa"/>
          </w:tcPr>
          <w:p w14:paraId="4BC9AA4F" w14:textId="346D8C79" w:rsidR="00250F2F" w:rsidRPr="005A1511" w:rsidRDefault="008750C9" w:rsidP="008750C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005A1511">
              <w:rPr>
                <w:rFonts w:ascii="Arial" w:hAnsi="Arial" w:cs="Arial"/>
                <w:b/>
                <w:bCs/>
              </w:rPr>
              <w:sym w:font="Wingdings 2" w:char="F050"/>
            </w:r>
          </w:p>
        </w:tc>
        <w:tc>
          <w:tcPr>
            <w:tcW w:w="1553" w:type="dxa"/>
          </w:tcPr>
          <w:p w14:paraId="12976AAD" w14:textId="2B13A0B2" w:rsidR="00250F2F" w:rsidRPr="005A1511" w:rsidRDefault="008750C9" w:rsidP="008750C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005A1511">
              <w:rPr>
                <w:rFonts w:ascii="Arial" w:hAnsi="Arial" w:cs="Arial"/>
                <w:b/>
                <w:bCs/>
              </w:rPr>
              <w:sym w:font="Wingdings 2" w:char="F050"/>
            </w:r>
          </w:p>
        </w:tc>
      </w:tr>
      <w:tr w:rsidR="00250F2F" w:rsidRPr="005A1511" w14:paraId="07DC8782" w14:textId="77777777" w:rsidTr="00CA299C">
        <w:trPr>
          <w:trHeight w:val="370"/>
        </w:trPr>
        <w:tc>
          <w:tcPr>
            <w:tcW w:w="4957" w:type="dxa"/>
          </w:tcPr>
          <w:p w14:paraId="2A61EEB5" w14:textId="411B244E" w:rsidR="00250F2F" w:rsidRPr="005A1511" w:rsidRDefault="00250F2F" w:rsidP="00CA299C">
            <w:pPr>
              <w:rPr>
                <w:rFonts w:ascii="Arial" w:hAnsi="Arial" w:cs="Arial"/>
                <w:sz w:val="20"/>
                <w:szCs w:val="20"/>
              </w:rPr>
            </w:pPr>
            <w:r w:rsidRPr="005A1511">
              <w:rPr>
                <w:rFonts w:ascii="Arial" w:hAnsi="Arial" w:cs="Arial"/>
                <w:sz w:val="20"/>
                <w:szCs w:val="20"/>
              </w:rPr>
              <w:t>Pathway by Medicine Selected</w:t>
            </w:r>
          </w:p>
        </w:tc>
        <w:tc>
          <w:tcPr>
            <w:tcW w:w="1417" w:type="dxa"/>
          </w:tcPr>
          <w:p w14:paraId="0A0F6302" w14:textId="77777777" w:rsidR="00250F2F" w:rsidRPr="005A1511" w:rsidRDefault="00250F2F" w:rsidP="008750C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p>
        </w:tc>
        <w:tc>
          <w:tcPr>
            <w:tcW w:w="1701" w:type="dxa"/>
          </w:tcPr>
          <w:p w14:paraId="0B56019F" w14:textId="69B2DB8A" w:rsidR="00250F2F" w:rsidRPr="005A1511" w:rsidRDefault="008750C9" w:rsidP="008750C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005A1511">
              <w:rPr>
                <w:rFonts w:ascii="Arial" w:hAnsi="Arial" w:cs="Arial"/>
                <w:b/>
                <w:bCs/>
              </w:rPr>
              <w:sym w:font="Wingdings 2" w:char="F050"/>
            </w:r>
          </w:p>
        </w:tc>
        <w:tc>
          <w:tcPr>
            <w:tcW w:w="1553" w:type="dxa"/>
          </w:tcPr>
          <w:p w14:paraId="7D88E595" w14:textId="2B089E30" w:rsidR="00250F2F" w:rsidRPr="005A1511" w:rsidRDefault="008750C9" w:rsidP="008750C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005A1511">
              <w:rPr>
                <w:rFonts w:ascii="Arial" w:hAnsi="Arial" w:cs="Arial"/>
                <w:b/>
                <w:bCs/>
              </w:rPr>
              <w:sym w:font="Wingdings 2" w:char="F050"/>
            </w:r>
          </w:p>
        </w:tc>
      </w:tr>
      <w:tr w:rsidR="00250F2F" w:rsidRPr="005A1511" w14:paraId="7ECC44DA" w14:textId="77777777" w:rsidTr="008750C9">
        <w:trPr>
          <w:trHeight w:val="336"/>
        </w:trPr>
        <w:tc>
          <w:tcPr>
            <w:tcW w:w="4957" w:type="dxa"/>
          </w:tcPr>
          <w:p w14:paraId="32473BCD" w14:textId="67B8AE94" w:rsidR="00250F2F" w:rsidRPr="005A1511" w:rsidRDefault="00250F2F" w:rsidP="00CA299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5A1511">
              <w:rPr>
                <w:rFonts w:ascii="Arial" w:hAnsi="Arial" w:cs="Arial"/>
                <w:sz w:val="20"/>
                <w:szCs w:val="20"/>
              </w:rPr>
              <w:t>Pathway by Medicine Supply</w:t>
            </w:r>
          </w:p>
        </w:tc>
        <w:tc>
          <w:tcPr>
            <w:tcW w:w="1417" w:type="dxa"/>
          </w:tcPr>
          <w:p w14:paraId="71CDFC70" w14:textId="77777777" w:rsidR="00250F2F" w:rsidRPr="005A1511" w:rsidRDefault="00250F2F" w:rsidP="008750C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p>
        </w:tc>
        <w:tc>
          <w:tcPr>
            <w:tcW w:w="1701" w:type="dxa"/>
          </w:tcPr>
          <w:p w14:paraId="065A5425" w14:textId="0D9D3851" w:rsidR="00250F2F" w:rsidRPr="005A1511" w:rsidRDefault="008750C9" w:rsidP="008750C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005A1511">
              <w:rPr>
                <w:rFonts w:ascii="Arial" w:hAnsi="Arial" w:cs="Arial"/>
                <w:b/>
                <w:bCs/>
              </w:rPr>
              <w:sym w:font="Wingdings 2" w:char="F050"/>
            </w:r>
          </w:p>
        </w:tc>
        <w:tc>
          <w:tcPr>
            <w:tcW w:w="1553" w:type="dxa"/>
          </w:tcPr>
          <w:p w14:paraId="525AC1DE" w14:textId="04A962E5" w:rsidR="00250F2F" w:rsidRPr="005A1511" w:rsidRDefault="008750C9" w:rsidP="008750C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005A1511">
              <w:rPr>
                <w:rFonts w:ascii="Arial" w:hAnsi="Arial" w:cs="Arial"/>
                <w:b/>
                <w:bCs/>
              </w:rPr>
              <w:sym w:font="Wingdings 2" w:char="F050"/>
            </w:r>
          </w:p>
        </w:tc>
      </w:tr>
      <w:tr w:rsidR="00250F2F" w:rsidRPr="005A1511" w14:paraId="33963920" w14:textId="77777777" w:rsidTr="008750C9">
        <w:trPr>
          <w:trHeight w:val="426"/>
        </w:trPr>
        <w:tc>
          <w:tcPr>
            <w:tcW w:w="4957" w:type="dxa"/>
          </w:tcPr>
          <w:p w14:paraId="7D7A4BEA" w14:textId="39562605" w:rsidR="00250F2F" w:rsidRPr="005A1511" w:rsidRDefault="00250F2F" w:rsidP="00CA299C">
            <w:pPr>
              <w:rPr>
                <w:rFonts w:ascii="Arial" w:hAnsi="Arial" w:cs="Arial"/>
                <w:sz w:val="20"/>
                <w:szCs w:val="20"/>
              </w:rPr>
            </w:pPr>
            <w:r w:rsidRPr="005A1511">
              <w:rPr>
                <w:rFonts w:ascii="Arial" w:hAnsi="Arial" w:cs="Arial"/>
                <w:sz w:val="20"/>
                <w:szCs w:val="20"/>
              </w:rPr>
              <w:t>Pathway by Demographic</w:t>
            </w:r>
          </w:p>
        </w:tc>
        <w:tc>
          <w:tcPr>
            <w:tcW w:w="1417" w:type="dxa"/>
          </w:tcPr>
          <w:p w14:paraId="57BF3F6D" w14:textId="611B62B5" w:rsidR="00250F2F" w:rsidRPr="005A1511" w:rsidRDefault="008534F6" w:rsidP="008750C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005A1511">
              <w:rPr>
                <w:rFonts w:ascii="Arial" w:hAnsi="Arial" w:cs="Arial"/>
                <w:b/>
                <w:bCs/>
              </w:rPr>
              <w:sym w:font="Wingdings 2" w:char="F050"/>
            </w:r>
          </w:p>
        </w:tc>
        <w:tc>
          <w:tcPr>
            <w:tcW w:w="1701" w:type="dxa"/>
          </w:tcPr>
          <w:p w14:paraId="5EF11655" w14:textId="63864694" w:rsidR="00250F2F" w:rsidRPr="005A1511" w:rsidRDefault="008750C9" w:rsidP="008750C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005A1511">
              <w:rPr>
                <w:rFonts w:ascii="Arial" w:hAnsi="Arial" w:cs="Arial"/>
                <w:b/>
                <w:bCs/>
              </w:rPr>
              <w:sym w:font="Wingdings 2" w:char="F050"/>
            </w:r>
          </w:p>
        </w:tc>
        <w:tc>
          <w:tcPr>
            <w:tcW w:w="1553" w:type="dxa"/>
          </w:tcPr>
          <w:p w14:paraId="61F29DA2" w14:textId="71439B4B" w:rsidR="00250F2F" w:rsidRPr="005A1511" w:rsidRDefault="008750C9" w:rsidP="008750C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005A1511">
              <w:rPr>
                <w:rFonts w:ascii="Arial" w:hAnsi="Arial" w:cs="Arial"/>
                <w:b/>
                <w:bCs/>
              </w:rPr>
              <w:sym w:font="Wingdings 2" w:char="F050"/>
            </w:r>
          </w:p>
        </w:tc>
      </w:tr>
      <w:tr w:rsidR="00250F2F" w:rsidRPr="005A1511" w14:paraId="6F966F0E" w14:textId="77777777" w:rsidTr="00CA299C">
        <w:tc>
          <w:tcPr>
            <w:tcW w:w="4957" w:type="dxa"/>
          </w:tcPr>
          <w:p w14:paraId="6B8454F4" w14:textId="77777777" w:rsidR="00250F2F" w:rsidRPr="005A1511" w:rsidRDefault="00250F2F" w:rsidP="00CA299C">
            <w:pPr>
              <w:rPr>
                <w:rFonts w:ascii="Arial" w:hAnsi="Arial" w:cs="Arial"/>
                <w:sz w:val="20"/>
                <w:szCs w:val="20"/>
              </w:rPr>
            </w:pPr>
            <w:r w:rsidRPr="005A1511">
              <w:rPr>
                <w:rFonts w:ascii="Arial" w:hAnsi="Arial" w:cs="Arial"/>
                <w:sz w:val="20"/>
                <w:szCs w:val="20"/>
              </w:rPr>
              <w:t>Uncomplicated UTI Pathway</w:t>
            </w:r>
          </w:p>
          <w:p w14:paraId="251A6255" w14:textId="77777777" w:rsidR="00250F2F" w:rsidRPr="005A1511" w:rsidRDefault="00250F2F" w:rsidP="00CA299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417" w:type="dxa"/>
          </w:tcPr>
          <w:p w14:paraId="003B2B54" w14:textId="7E058288" w:rsidR="00250F2F" w:rsidRPr="005A1511" w:rsidRDefault="008750C9" w:rsidP="008750C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005A1511">
              <w:rPr>
                <w:rFonts w:ascii="Arial" w:hAnsi="Arial" w:cs="Arial"/>
                <w:b/>
                <w:bCs/>
              </w:rPr>
              <w:sym w:font="Wingdings 2" w:char="F050"/>
            </w:r>
          </w:p>
        </w:tc>
        <w:tc>
          <w:tcPr>
            <w:tcW w:w="1701" w:type="dxa"/>
          </w:tcPr>
          <w:p w14:paraId="78F9DDD3" w14:textId="314E7CB9" w:rsidR="00250F2F" w:rsidRPr="005A1511" w:rsidRDefault="008750C9" w:rsidP="008750C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005A1511">
              <w:rPr>
                <w:rFonts w:ascii="Arial" w:hAnsi="Arial" w:cs="Arial"/>
                <w:b/>
                <w:bCs/>
              </w:rPr>
              <w:sym w:font="Wingdings 2" w:char="F050"/>
            </w:r>
          </w:p>
        </w:tc>
        <w:tc>
          <w:tcPr>
            <w:tcW w:w="1553" w:type="dxa"/>
          </w:tcPr>
          <w:p w14:paraId="24BFDD38" w14:textId="49A97D9D" w:rsidR="00250F2F" w:rsidRPr="005A1511" w:rsidRDefault="008750C9" w:rsidP="008750C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rPr>
            </w:pPr>
            <w:r w:rsidRPr="005A1511">
              <w:rPr>
                <w:rFonts w:ascii="Arial" w:hAnsi="Arial" w:cs="Arial"/>
                <w:b/>
                <w:bCs/>
              </w:rPr>
              <w:sym w:font="Wingdings 2" w:char="F050"/>
            </w:r>
          </w:p>
        </w:tc>
      </w:tr>
    </w:tbl>
    <w:p w14:paraId="14C5DC0A" w14:textId="77777777" w:rsidR="004522F0" w:rsidRPr="005A1511" w:rsidRDefault="004522F0" w:rsidP="00CD7E73">
      <w:pPr>
        <w:rPr>
          <w:rFonts w:ascii="Arial" w:hAnsi="Arial" w:cs="Arial"/>
        </w:rPr>
      </w:pPr>
    </w:p>
    <w:p w14:paraId="1CE84D45" w14:textId="156D1590" w:rsidR="00DE0CA8" w:rsidRPr="005A1511" w:rsidRDefault="00DE0CA8" w:rsidP="00CD7E73">
      <w:pPr>
        <w:rPr>
          <w:rFonts w:ascii="Arial" w:hAnsi="Arial" w:cs="Arial"/>
        </w:rPr>
      </w:pPr>
      <w:r w:rsidRPr="005A1511">
        <w:rPr>
          <w:rFonts w:ascii="Arial" w:hAnsi="Arial" w:cs="Arial"/>
        </w:rPr>
        <w:t xml:space="preserve">Please note that data can </w:t>
      </w:r>
      <w:r w:rsidR="00E82DE3" w:rsidRPr="005A1511">
        <w:rPr>
          <w:rFonts w:ascii="Arial" w:hAnsi="Arial" w:cs="Arial"/>
        </w:rPr>
        <w:t xml:space="preserve">also </w:t>
      </w:r>
      <w:r w:rsidRPr="005A1511">
        <w:rPr>
          <w:rFonts w:ascii="Arial" w:hAnsi="Arial" w:cs="Arial"/>
        </w:rPr>
        <w:t xml:space="preserve">be downloaded from each dashboard </w:t>
      </w:r>
      <w:r w:rsidR="004B3500" w:rsidRPr="005A1511">
        <w:rPr>
          <w:rFonts w:ascii="Arial" w:hAnsi="Arial" w:cs="Arial"/>
        </w:rPr>
        <w:t>comparator</w:t>
      </w:r>
      <w:r w:rsidRPr="005A1511">
        <w:rPr>
          <w:rFonts w:ascii="Arial" w:hAnsi="Arial" w:cs="Arial"/>
        </w:rPr>
        <w:t xml:space="preserve">, by selecting ‘Table’ in the </w:t>
      </w:r>
      <w:r w:rsidR="00EB6EFD" w:rsidRPr="005A1511">
        <w:rPr>
          <w:rFonts w:ascii="Arial" w:hAnsi="Arial" w:cs="Arial"/>
        </w:rPr>
        <w:t>View</w:t>
      </w:r>
      <w:r w:rsidRPr="005A1511">
        <w:rPr>
          <w:rFonts w:ascii="Arial" w:hAnsi="Arial" w:cs="Arial"/>
        </w:rPr>
        <w:t xml:space="preserve"> Selector beneath the </w:t>
      </w:r>
      <w:r w:rsidR="00485969" w:rsidRPr="005A1511">
        <w:rPr>
          <w:rFonts w:ascii="Arial" w:hAnsi="Arial" w:cs="Arial"/>
        </w:rPr>
        <w:t>visuali</w:t>
      </w:r>
      <w:r w:rsidR="00EB6EFD" w:rsidRPr="005A1511">
        <w:rPr>
          <w:rFonts w:ascii="Arial" w:hAnsi="Arial" w:cs="Arial"/>
        </w:rPr>
        <w:t>s</w:t>
      </w:r>
      <w:r w:rsidR="00485969" w:rsidRPr="005A1511">
        <w:rPr>
          <w:rFonts w:ascii="Arial" w:hAnsi="Arial" w:cs="Arial"/>
        </w:rPr>
        <w:t>ation title:</w:t>
      </w:r>
    </w:p>
    <w:p w14:paraId="664545B4" w14:textId="567AE658" w:rsidR="00185E84" w:rsidRPr="005A1511" w:rsidRDefault="00185E84" w:rsidP="00CF191E">
      <w:pPr>
        <w:jc w:val="center"/>
        <w:rPr>
          <w:rFonts w:ascii="Arial" w:hAnsi="Arial" w:cs="Arial"/>
        </w:rPr>
      </w:pPr>
      <w:r w:rsidRPr="005A1511">
        <w:rPr>
          <w:rFonts w:ascii="Arial" w:hAnsi="Arial" w:cs="Arial"/>
          <w:noProof/>
        </w:rPr>
        <w:drawing>
          <wp:inline distT="0" distB="0" distL="0" distR="0" wp14:anchorId="43E39F3A" wp14:editId="0906C952">
            <wp:extent cx="5029200" cy="2076450"/>
            <wp:effectExtent l="0" t="0" r="0" b="0"/>
            <wp:docPr id="2145129081" name="Picture 1" descr="A screenshot showing the table selector for a nation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29081" name="Picture 1" descr="A screenshot showing the table selector for a national view"/>
                    <pic:cNvPicPr/>
                  </pic:nvPicPr>
                  <pic:blipFill>
                    <a:blip r:embed="rId14">
                      <a:extLst>
                        <a:ext uri="{BEBA8EAE-BF5A-486C-A8C5-ECC9F3942E4B}">
                          <a14:imgProps xmlns:a14="http://schemas.microsoft.com/office/drawing/2010/main">
                            <a14:imgLayer r:embed="rId15">
                              <a14:imgEffect>
                                <a14:brightnessContrast contrast="-40000"/>
                              </a14:imgEffect>
                            </a14:imgLayer>
                          </a14:imgProps>
                        </a:ext>
                      </a:extLst>
                    </a:blip>
                    <a:stretch>
                      <a:fillRect/>
                    </a:stretch>
                  </pic:blipFill>
                  <pic:spPr>
                    <a:xfrm>
                      <a:off x="0" y="0"/>
                      <a:ext cx="5029200" cy="2076450"/>
                    </a:xfrm>
                    <a:prstGeom prst="rect">
                      <a:avLst/>
                    </a:prstGeom>
                  </pic:spPr>
                </pic:pic>
              </a:graphicData>
            </a:graphic>
          </wp:inline>
        </w:drawing>
      </w:r>
    </w:p>
    <w:p w14:paraId="287D1E0B" w14:textId="77777777" w:rsidR="00056D69" w:rsidRPr="005A1511" w:rsidRDefault="00056D69">
      <w:pPr>
        <w:rPr>
          <w:rFonts w:ascii="Arial" w:eastAsia="Arial" w:hAnsi="Arial" w:cs="Arial"/>
          <w:b/>
          <w:color w:val="auto"/>
          <w:sz w:val="24"/>
          <w:szCs w:val="24"/>
        </w:rPr>
      </w:pPr>
      <w:r w:rsidRPr="005A1511">
        <w:rPr>
          <w:rFonts w:ascii="Arial" w:hAnsi="Arial" w:cs="Arial"/>
          <w:color w:val="auto"/>
        </w:rPr>
        <w:br w:type="page"/>
      </w:r>
    </w:p>
    <w:p w14:paraId="590D6844" w14:textId="1AE093D1" w:rsidR="0036546F" w:rsidRPr="005A1511" w:rsidRDefault="00551E5F" w:rsidP="0036546F">
      <w:pPr>
        <w:pStyle w:val="Heading1"/>
        <w:rPr>
          <w:color w:val="auto"/>
        </w:rPr>
      </w:pPr>
      <w:bookmarkStart w:id="5" w:name="_Toc189144423"/>
      <w:r w:rsidRPr="005A1511">
        <w:rPr>
          <w:color w:val="auto"/>
        </w:rPr>
        <w:lastRenderedPageBreak/>
        <w:t xml:space="preserve">Medicines supply and prescribing data </w:t>
      </w:r>
      <w:r w:rsidR="0036546F" w:rsidRPr="005A1511">
        <w:rPr>
          <w:color w:val="auto"/>
        </w:rPr>
        <w:t xml:space="preserve">used in the </w:t>
      </w:r>
      <w:bookmarkEnd w:id="4"/>
      <w:r w:rsidR="00C6402A" w:rsidRPr="005A1511">
        <w:rPr>
          <w:color w:val="auto"/>
        </w:rPr>
        <w:t>dashboard</w:t>
      </w:r>
      <w:bookmarkEnd w:id="5"/>
    </w:p>
    <w:p w14:paraId="7265EF16" w14:textId="3291D0E5" w:rsidR="0036546F" w:rsidRPr="005A1511" w:rsidRDefault="0036546F" w:rsidP="0036546F">
      <w:pPr>
        <w:spacing w:before="240"/>
        <w:rPr>
          <w:rFonts w:ascii="Arial" w:hAnsi="Arial" w:cs="Arial"/>
          <w:color w:val="auto"/>
        </w:rPr>
      </w:pPr>
      <w:r w:rsidRPr="005A1511">
        <w:rPr>
          <w:rFonts w:ascii="Arial" w:hAnsi="Arial" w:cs="Arial"/>
          <w:color w:val="auto"/>
        </w:rPr>
        <w:t xml:space="preserve">Users of the </w:t>
      </w:r>
      <w:r w:rsidR="00C6402A" w:rsidRPr="005A1511">
        <w:rPr>
          <w:rFonts w:ascii="Arial" w:hAnsi="Arial" w:cs="Arial"/>
          <w:color w:val="auto"/>
        </w:rPr>
        <w:t>dashboard</w:t>
      </w:r>
      <w:r w:rsidRPr="005A1511">
        <w:rPr>
          <w:rFonts w:ascii="Arial" w:hAnsi="Arial" w:cs="Arial"/>
          <w:color w:val="auto"/>
        </w:rPr>
        <w:t xml:space="preserve"> should be aware of the following parameters:</w:t>
      </w:r>
    </w:p>
    <w:p w14:paraId="4B921EE5" w14:textId="77777777" w:rsidR="0036546F" w:rsidRPr="005A1511" w:rsidRDefault="0036546F" w:rsidP="0036546F">
      <w:pPr>
        <w:rPr>
          <w:rFonts w:ascii="Arial" w:hAnsi="Arial" w:cs="Arial"/>
          <w:color w:val="auto"/>
        </w:rPr>
      </w:pPr>
      <w:r w:rsidRPr="005A1511">
        <w:rPr>
          <w:rFonts w:ascii="Arial" w:hAnsi="Arial" w:cs="Arial"/>
          <w:color w:val="auto"/>
        </w:rPr>
        <w:t xml:space="preserve">The data - </w:t>
      </w:r>
    </w:p>
    <w:p w14:paraId="70A6ADCB" w14:textId="58E64B11" w:rsidR="00600ACD" w:rsidRPr="005A1511" w:rsidRDefault="00600ACD" w:rsidP="0036546F">
      <w:pPr>
        <w:pStyle w:val="ListParagraph"/>
        <w:numPr>
          <w:ilvl w:val="0"/>
          <w:numId w:val="2"/>
        </w:numPr>
        <w:rPr>
          <w:rFonts w:ascii="Arial" w:hAnsi="Arial" w:cs="Arial"/>
        </w:rPr>
      </w:pPr>
      <w:r w:rsidRPr="005A1511">
        <w:rPr>
          <w:rFonts w:ascii="Arial" w:hAnsi="Arial" w:cs="Arial"/>
        </w:rPr>
        <w:t xml:space="preserve">Includes medicines supplied under Pharmacy First Patient Group Directions </w:t>
      </w:r>
      <w:r w:rsidR="00FF4F61" w:rsidRPr="005A1511">
        <w:rPr>
          <w:rFonts w:ascii="Arial" w:hAnsi="Arial" w:cs="Arial"/>
        </w:rPr>
        <w:t>and paid by NHSBSA in the month shown on the dashboard.</w:t>
      </w:r>
      <w:r w:rsidR="000A6934" w:rsidRPr="005A1511">
        <w:rPr>
          <w:rFonts w:ascii="Arial" w:hAnsi="Arial" w:cs="Arial"/>
        </w:rPr>
        <w:t xml:space="preserve">  Please note that the month in which the consultation activity took place may be earlier than the month shown, as pharmacies have a 3-month grace period in which to declare consultations for payment.</w:t>
      </w:r>
    </w:p>
    <w:p w14:paraId="693CE9AF" w14:textId="3764655A" w:rsidR="0063741F" w:rsidRPr="005A1511" w:rsidRDefault="00FF4F61" w:rsidP="0036546F">
      <w:pPr>
        <w:pStyle w:val="ListParagraph"/>
        <w:numPr>
          <w:ilvl w:val="0"/>
          <w:numId w:val="2"/>
        </w:numPr>
        <w:rPr>
          <w:rFonts w:ascii="Arial" w:hAnsi="Arial" w:cs="Arial"/>
        </w:rPr>
      </w:pPr>
      <w:r w:rsidRPr="005A1511">
        <w:rPr>
          <w:rFonts w:ascii="Arial" w:hAnsi="Arial" w:cs="Arial"/>
        </w:rPr>
        <w:t>Ex</w:t>
      </w:r>
      <w:r w:rsidR="004155E4" w:rsidRPr="005A1511">
        <w:rPr>
          <w:rFonts w:ascii="Arial" w:hAnsi="Arial" w:cs="Arial"/>
        </w:rPr>
        <w:t xml:space="preserve">cludes all FP10 prescribing by all NHS organisations, </w:t>
      </w:r>
      <w:r w:rsidRPr="005A1511">
        <w:rPr>
          <w:rFonts w:ascii="Arial" w:hAnsi="Arial" w:cs="Arial"/>
        </w:rPr>
        <w:t xml:space="preserve">other than in the Uncomplicated UTI Pathway </w:t>
      </w:r>
      <w:r w:rsidR="004B3500" w:rsidRPr="005A1511">
        <w:rPr>
          <w:rFonts w:ascii="Arial" w:hAnsi="Arial" w:cs="Arial"/>
        </w:rPr>
        <w:t>comparator</w:t>
      </w:r>
      <w:r w:rsidR="00B114A5" w:rsidRPr="005A1511">
        <w:rPr>
          <w:rFonts w:ascii="Arial" w:hAnsi="Arial" w:cs="Arial"/>
        </w:rPr>
        <w:t xml:space="preserve">, where FP10 prescribing for nitrofurantoin 100mg capsules </w:t>
      </w:r>
      <w:r w:rsidR="00983769" w:rsidRPr="005A1511">
        <w:rPr>
          <w:rFonts w:ascii="Arial" w:hAnsi="Arial" w:cs="Arial"/>
        </w:rPr>
        <w:t xml:space="preserve">with a prescribed quantity of 6, to female patients aged 16-64 at the point of prescribing, is </w:t>
      </w:r>
      <w:r w:rsidR="0066703A" w:rsidRPr="005A1511">
        <w:rPr>
          <w:rFonts w:ascii="Arial" w:hAnsi="Arial" w:cs="Arial"/>
        </w:rPr>
        <w:t xml:space="preserve">also </w:t>
      </w:r>
      <w:r w:rsidR="00983769" w:rsidRPr="005A1511">
        <w:rPr>
          <w:rFonts w:ascii="Arial" w:hAnsi="Arial" w:cs="Arial"/>
        </w:rPr>
        <w:t xml:space="preserve">included.  </w:t>
      </w:r>
    </w:p>
    <w:p w14:paraId="3B0BA637" w14:textId="77777777" w:rsidR="0063741F" w:rsidRPr="005A1511" w:rsidRDefault="0063741F" w:rsidP="0063741F">
      <w:pPr>
        <w:pStyle w:val="ListParagraph"/>
        <w:rPr>
          <w:rFonts w:ascii="Arial" w:hAnsi="Arial" w:cs="Arial"/>
        </w:rPr>
      </w:pPr>
    </w:p>
    <w:p w14:paraId="13CE2D71" w14:textId="029CD3CA" w:rsidR="0036546F" w:rsidRPr="005A1511" w:rsidRDefault="00983769" w:rsidP="0063741F">
      <w:pPr>
        <w:pStyle w:val="ListParagraph"/>
        <w:rPr>
          <w:rFonts w:ascii="Arial" w:hAnsi="Arial" w:cs="Arial"/>
        </w:rPr>
      </w:pPr>
      <w:r w:rsidRPr="005A1511">
        <w:rPr>
          <w:rFonts w:ascii="Arial" w:hAnsi="Arial" w:cs="Arial"/>
          <w:b/>
          <w:bCs/>
        </w:rPr>
        <w:t>NB</w:t>
      </w:r>
      <w:r w:rsidRPr="005A1511">
        <w:rPr>
          <w:rFonts w:ascii="Arial" w:hAnsi="Arial" w:cs="Arial"/>
        </w:rPr>
        <w:t xml:space="preserve"> </w:t>
      </w:r>
      <w:r w:rsidR="003E30AB" w:rsidRPr="005A1511">
        <w:rPr>
          <w:rFonts w:ascii="Arial" w:hAnsi="Arial" w:cs="Arial"/>
        </w:rPr>
        <w:t xml:space="preserve">in the Uncomplicated UTI Pathway </w:t>
      </w:r>
      <w:r w:rsidR="004B3500" w:rsidRPr="005A1511">
        <w:rPr>
          <w:rFonts w:ascii="Arial" w:hAnsi="Arial" w:cs="Arial"/>
        </w:rPr>
        <w:t>comparator</w:t>
      </w:r>
      <w:r w:rsidR="003E30AB" w:rsidRPr="005A1511">
        <w:rPr>
          <w:rFonts w:ascii="Arial" w:hAnsi="Arial" w:cs="Arial"/>
        </w:rPr>
        <w:t xml:space="preserve">, </w:t>
      </w:r>
      <w:r w:rsidRPr="005A1511">
        <w:rPr>
          <w:rFonts w:ascii="Arial" w:hAnsi="Arial" w:cs="Arial"/>
        </w:rPr>
        <w:t xml:space="preserve">the FP10 data is not linked or joined with Pharmacy First data in any way but </w:t>
      </w:r>
      <w:r w:rsidR="004F356C" w:rsidRPr="005A1511">
        <w:rPr>
          <w:rFonts w:ascii="Arial" w:hAnsi="Arial" w:cs="Arial"/>
        </w:rPr>
        <w:t>is</w:t>
      </w:r>
      <w:r w:rsidRPr="005A1511">
        <w:rPr>
          <w:rFonts w:ascii="Arial" w:hAnsi="Arial" w:cs="Arial"/>
        </w:rPr>
        <w:t xml:space="preserve"> provided alongside </w:t>
      </w:r>
      <w:r w:rsidR="0063741F" w:rsidRPr="005A1511">
        <w:rPr>
          <w:rFonts w:ascii="Arial" w:hAnsi="Arial" w:cs="Arial"/>
        </w:rPr>
        <w:t>Pharmacy First data for the same time periods and organisational units, for comparison.</w:t>
      </w:r>
    </w:p>
    <w:p w14:paraId="6238235E" w14:textId="77777777" w:rsidR="0063741F" w:rsidRPr="005A1511" w:rsidRDefault="0063741F" w:rsidP="0063741F">
      <w:pPr>
        <w:pStyle w:val="ListParagraph"/>
        <w:rPr>
          <w:rFonts w:ascii="Arial" w:hAnsi="Arial" w:cs="Arial"/>
        </w:rPr>
      </w:pPr>
    </w:p>
    <w:p w14:paraId="0E63371F" w14:textId="421DDC57" w:rsidR="0036546F" w:rsidRPr="005A1511" w:rsidRDefault="000917EB" w:rsidP="0036546F">
      <w:pPr>
        <w:rPr>
          <w:rFonts w:ascii="Arial" w:hAnsi="Arial" w:cs="Arial"/>
          <w:color w:val="auto"/>
        </w:rPr>
      </w:pPr>
      <w:r w:rsidRPr="005A1511">
        <w:rPr>
          <w:rFonts w:ascii="Arial" w:hAnsi="Arial" w:cs="Arial"/>
          <w:color w:val="auto"/>
        </w:rPr>
        <w:t>The data in e</w:t>
      </w:r>
      <w:r w:rsidR="0036546F" w:rsidRPr="005A1511">
        <w:rPr>
          <w:rFonts w:ascii="Arial" w:hAnsi="Arial" w:cs="Arial"/>
          <w:color w:val="auto"/>
        </w:rPr>
        <w:t xml:space="preserve">ach </w:t>
      </w:r>
      <w:r w:rsidRPr="005A1511">
        <w:rPr>
          <w:rFonts w:ascii="Arial" w:hAnsi="Arial" w:cs="Arial"/>
          <w:color w:val="auto"/>
        </w:rPr>
        <w:t xml:space="preserve">dashboard </w:t>
      </w:r>
      <w:r w:rsidR="004B3500" w:rsidRPr="005A1511">
        <w:rPr>
          <w:rFonts w:ascii="Arial" w:hAnsi="Arial" w:cs="Arial"/>
          <w:color w:val="auto"/>
        </w:rPr>
        <w:t>comparator</w:t>
      </w:r>
      <w:r w:rsidR="0036546F" w:rsidRPr="005A1511">
        <w:rPr>
          <w:rFonts w:ascii="Arial" w:hAnsi="Arial" w:cs="Arial"/>
          <w:color w:val="auto"/>
        </w:rPr>
        <w:t xml:space="preserve"> is derived </w:t>
      </w:r>
      <w:r w:rsidR="00B4382A" w:rsidRPr="005A1511">
        <w:rPr>
          <w:rFonts w:ascii="Arial" w:hAnsi="Arial" w:cs="Arial"/>
          <w:color w:val="auto"/>
        </w:rPr>
        <w:t>from</w:t>
      </w:r>
      <w:r w:rsidR="0036546F" w:rsidRPr="005A1511">
        <w:rPr>
          <w:rFonts w:ascii="Arial" w:hAnsi="Arial" w:cs="Arial"/>
          <w:color w:val="auto"/>
        </w:rPr>
        <w:t xml:space="preserve"> </w:t>
      </w:r>
      <w:r w:rsidRPr="005A1511">
        <w:rPr>
          <w:rFonts w:ascii="Arial" w:hAnsi="Arial" w:cs="Arial"/>
          <w:color w:val="auto"/>
        </w:rPr>
        <w:t xml:space="preserve">Pharmacy First activity </w:t>
      </w:r>
      <w:r w:rsidR="0036546F" w:rsidRPr="005A1511">
        <w:rPr>
          <w:rFonts w:ascii="Arial" w:hAnsi="Arial" w:cs="Arial"/>
          <w:color w:val="auto"/>
        </w:rPr>
        <w:t>data</w:t>
      </w:r>
      <w:r w:rsidRPr="005A1511">
        <w:rPr>
          <w:rFonts w:ascii="Arial" w:hAnsi="Arial" w:cs="Arial"/>
          <w:color w:val="auto"/>
        </w:rPr>
        <w:t xml:space="preserve">, </w:t>
      </w:r>
      <w:r w:rsidR="003B239A" w:rsidRPr="005A1511">
        <w:rPr>
          <w:rFonts w:ascii="Arial" w:hAnsi="Arial" w:cs="Arial"/>
          <w:color w:val="auto"/>
        </w:rPr>
        <w:t>aggregated</w:t>
      </w:r>
      <w:r w:rsidR="00933193" w:rsidRPr="005A1511">
        <w:rPr>
          <w:rFonts w:ascii="Arial" w:hAnsi="Arial" w:cs="Arial"/>
          <w:color w:val="auto"/>
        </w:rPr>
        <w:t xml:space="preserve"> </w:t>
      </w:r>
      <w:r w:rsidR="0036546F" w:rsidRPr="005A1511">
        <w:rPr>
          <w:rFonts w:ascii="Arial" w:hAnsi="Arial" w:cs="Arial"/>
          <w:color w:val="auto"/>
        </w:rPr>
        <w:t>by month</w:t>
      </w:r>
      <w:r w:rsidR="00551E5F" w:rsidRPr="005A1511">
        <w:rPr>
          <w:rFonts w:ascii="Arial" w:hAnsi="Arial" w:cs="Arial"/>
          <w:color w:val="auto"/>
        </w:rPr>
        <w:t>.</w:t>
      </w:r>
      <w:r w:rsidR="003B239A" w:rsidRPr="005A1511">
        <w:rPr>
          <w:rFonts w:ascii="Arial" w:hAnsi="Arial" w:cs="Arial"/>
          <w:color w:val="auto"/>
        </w:rPr>
        <w:t xml:space="preserve">  H</w:t>
      </w:r>
      <w:r w:rsidR="0036546F" w:rsidRPr="005A1511">
        <w:rPr>
          <w:rFonts w:ascii="Arial" w:hAnsi="Arial" w:cs="Arial"/>
          <w:color w:val="auto"/>
        </w:rPr>
        <w:t xml:space="preserve">istoric data is </w:t>
      </w:r>
      <w:r w:rsidR="007B54BF" w:rsidRPr="005A1511">
        <w:rPr>
          <w:rFonts w:ascii="Arial" w:hAnsi="Arial" w:cs="Arial"/>
          <w:color w:val="auto"/>
        </w:rPr>
        <w:t xml:space="preserve">included </w:t>
      </w:r>
      <w:r w:rsidR="0036546F" w:rsidRPr="005A1511">
        <w:rPr>
          <w:rFonts w:ascii="Arial" w:hAnsi="Arial" w:cs="Arial"/>
          <w:color w:val="auto"/>
        </w:rPr>
        <w:t xml:space="preserve">to allow </w:t>
      </w:r>
      <w:r w:rsidR="00AE2CC1" w:rsidRPr="005A1511">
        <w:rPr>
          <w:rFonts w:ascii="Arial" w:hAnsi="Arial" w:cs="Arial"/>
          <w:color w:val="auto"/>
        </w:rPr>
        <w:t>users</w:t>
      </w:r>
      <w:r w:rsidR="0036546F" w:rsidRPr="005A1511">
        <w:rPr>
          <w:rFonts w:ascii="Arial" w:hAnsi="Arial" w:cs="Arial"/>
          <w:color w:val="auto"/>
        </w:rPr>
        <w:t xml:space="preserve"> to </w:t>
      </w:r>
      <w:r w:rsidR="007B54BF" w:rsidRPr="005A1511">
        <w:rPr>
          <w:rFonts w:ascii="Arial" w:hAnsi="Arial" w:cs="Arial"/>
          <w:color w:val="auto"/>
        </w:rPr>
        <w:t xml:space="preserve">monitor </w:t>
      </w:r>
      <w:r w:rsidR="00E82DE3" w:rsidRPr="005A1511">
        <w:rPr>
          <w:rFonts w:ascii="Arial" w:hAnsi="Arial" w:cs="Arial"/>
          <w:color w:val="auto"/>
        </w:rPr>
        <w:t>activity</w:t>
      </w:r>
      <w:r w:rsidR="007B54BF" w:rsidRPr="005A1511">
        <w:rPr>
          <w:rFonts w:ascii="Arial" w:hAnsi="Arial" w:cs="Arial"/>
          <w:color w:val="auto"/>
        </w:rPr>
        <w:t xml:space="preserve"> over time</w:t>
      </w:r>
      <w:r w:rsidR="00E82DE3" w:rsidRPr="005A1511">
        <w:rPr>
          <w:rFonts w:ascii="Arial" w:hAnsi="Arial" w:cs="Arial"/>
          <w:color w:val="auto"/>
        </w:rPr>
        <w:t>.</w:t>
      </w:r>
    </w:p>
    <w:p w14:paraId="2651138D" w14:textId="1446F15A" w:rsidR="00923092" w:rsidRPr="005A1511" w:rsidRDefault="00923D9A" w:rsidP="00923092">
      <w:pPr>
        <w:rPr>
          <w:rFonts w:ascii="Arial" w:hAnsi="Arial" w:cs="Arial"/>
          <w:color w:val="auto"/>
        </w:rPr>
      </w:pPr>
      <w:r w:rsidRPr="005A1511">
        <w:rPr>
          <w:rFonts w:ascii="Arial" w:hAnsi="Arial" w:cs="Arial"/>
          <w:color w:val="auto"/>
        </w:rPr>
        <w:t xml:space="preserve">The data is based on </w:t>
      </w:r>
      <w:r w:rsidR="00331215" w:rsidRPr="005A1511">
        <w:rPr>
          <w:rFonts w:ascii="Arial" w:hAnsi="Arial" w:cs="Arial"/>
          <w:color w:val="auto"/>
        </w:rPr>
        <w:t>consultation record</w:t>
      </w:r>
      <w:r w:rsidRPr="005A1511">
        <w:rPr>
          <w:rFonts w:ascii="Arial" w:hAnsi="Arial" w:cs="Arial"/>
          <w:color w:val="auto"/>
        </w:rPr>
        <w:t xml:space="preserve">s which have been processed for payment by NHSBSA only.  Any Pharmacy First activity which has been submitted for payment but is yet to be processed, or which has been </w:t>
      </w:r>
      <w:r w:rsidR="00993CCF" w:rsidRPr="005A1511">
        <w:rPr>
          <w:rFonts w:ascii="Arial" w:hAnsi="Arial" w:cs="Arial"/>
          <w:color w:val="auto"/>
        </w:rPr>
        <w:t>conducted</w:t>
      </w:r>
      <w:r w:rsidRPr="005A1511">
        <w:rPr>
          <w:rFonts w:ascii="Arial" w:hAnsi="Arial" w:cs="Arial"/>
          <w:color w:val="auto"/>
        </w:rPr>
        <w:t xml:space="preserve"> in </w:t>
      </w:r>
      <w:r w:rsidR="00923092" w:rsidRPr="005A1511">
        <w:rPr>
          <w:rFonts w:ascii="Arial" w:hAnsi="Arial" w:cs="Arial"/>
          <w:color w:val="auto"/>
        </w:rPr>
        <w:t>the pharmacy but not yet submitted for payment, is not included in the data.</w:t>
      </w:r>
    </w:p>
    <w:p w14:paraId="1C4CB25D" w14:textId="77777777" w:rsidR="00056D69" w:rsidRPr="005A1511" w:rsidRDefault="00056D69">
      <w:pPr>
        <w:rPr>
          <w:rFonts w:ascii="Arial" w:eastAsia="Arial" w:hAnsi="Arial" w:cs="Arial"/>
          <w:b/>
          <w:sz w:val="24"/>
          <w:szCs w:val="24"/>
        </w:rPr>
      </w:pPr>
      <w:r w:rsidRPr="005A1511">
        <w:rPr>
          <w:rFonts w:ascii="Arial" w:hAnsi="Arial" w:cs="Arial"/>
        </w:rPr>
        <w:br w:type="page"/>
      </w:r>
    </w:p>
    <w:p w14:paraId="1BAF3BA6" w14:textId="62F641F1" w:rsidR="00923092" w:rsidRPr="005A1511" w:rsidRDefault="000316C4" w:rsidP="005C4CE9">
      <w:pPr>
        <w:pStyle w:val="Heading1"/>
      </w:pPr>
      <w:bookmarkStart w:id="6" w:name="_Derivation_of_organisational"/>
      <w:bookmarkStart w:id="7" w:name="_Toc189144424"/>
      <w:bookmarkEnd w:id="6"/>
      <w:r w:rsidRPr="005A1511">
        <w:lastRenderedPageBreak/>
        <w:t>Derivation of organisational units</w:t>
      </w:r>
      <w:bookmarkEnd w:id="7"/>
    </w:p>
    <w:p w14:paraId="102457A8" w14:textId="1C033386" w:rsidR="00056D69" w:rsidRPr="005A1511" w:rsidRDefault="00112262" w:rsidP="00056D69">
      <w:pPr>
        <w:rPr>
          <w:rFonts w:ascii="Arial" w:hAnsi="Arial" w:cs="Arial"/>
        </w:rPr>
      </w:pPr>
      <w:r w:rsidRPr="005A1511">
        <w:rPr>
          <w:rFonts w:ascii="Arial" w:hAnsi="Arial" w:cs="Arial"/>
        </w:rPr>
        <w:t xml:space="preserve">For selected dashboard comparators, the organisational structure shown </w:t>
      </w:r>
      <w:r w:rsidR="006A0B11" w:rsidRPr="005A1511">
        <w:rPr>
          <w:rFonts w:ascii="Arial" w:hAnsi="Arial" w:cs="Arial"/>
        </w:rPr>
        <w:t>relates to</w:t>
      </w:r>
      <w:r w:rsidRPr="005A1511">
        <w:rPr>
          <w:rFonts w:ascii="Arial" w:hAnsi="Arial" w:cs="Arial"/>
        </w:rPr>
        <w:t xml:space="preserve"> the </w:t>
      </w:r>
      <w:r w:rsidR="002957C5" w:rsidRPr="005A1511">
        <w:rPr>
          <w:rFonts w:ascii="Arial" w:hAnsi="Arial" w:cs="Arial"/>
        </w:rPr>
        <w:t>General Practice</w:t>
      </w:r>
      <w:r w:rsidRPr="005A1511">
        <w:rPr>
          <w:rFonts w:ascii="Arial" w:hAnsi="Arial" w:cs="Arial"/>
        </w:rPr>
        <w:t xml:space="preserve"> of patient</w:t>
      </w:r>
      <w:r w:rsidR="00041D7A" w:rsidRPr="005A1511">
        <w:rPr>
          <w:rFonts w:ascii="Arial" w:hAnsi="Arial" w:cs="Arial"/>
        </w:rPr>
        <w:t>s</w:t>
      </w:r>
      <w:r w:rsidRPr="005A1511">
        <w:rPr>
          <w:rFonts w:ascii="Arial" w:hAnsi="Arial" w:cs="Arial"/>
        </w:rPr>
        <w:t xml:space="preserve"> </w:t>
      </w:r>
      <w:r w:rsidR="00206373" w:rsidRPr="005A1511">
        <w:rPr>
          <w:rFonts w:ascii="Arial" w:hAnsi="Arial" w:cs="Arial"/>
        </w:rPr>
        <w:t xml:space="preserve">receiving </w:t>
      </w:r>
      <w:r w:rsidR="00041D7A" w:rsidRPr="005A1511">
        <w:rPr>
          <w:rFonts w:ascii="Arial" w:hAnsi="Arial" w:cs="Arial"/>
        </w:rPr>
        <w:t>a consultation</w:t>
      </w:r>
      <w:r w:rsidR="00206373" w:rsidRPr="005A1511">
        <w:rPr>
          <w:rFonts w:ascii="Arial" w:hAnsi="Arial" w:cs="Arial"/>
        </w:rPr>
        <w:t>, based on the ODS code</w:t>
      </w:r>
      <w:r w:rsidR="00635E07" w:rsidRPr="005A1511">
        <w:rPr>
          <w:rStyle w:val="FootnoteReference"/>
          <w:rFonts w:ascii="Arial" w:hAnsi="Arial" w:cs="Arial"/>
        </w:rPr>
        <w:footnoteReference w:id="2"/>
      </w:r>
      <w:r w:rsidR="00206373" w:rsidRPr="005A1511">
        <w:rPr>
          <w:rFonts w:ascii="Arial" w:hAnsi="Arial" w:cs="Arial"/>
        </w:rPr>
        <w:t xml:space="preserve"> of the practice as captured during the </w:t>
      </w:r>
      <w:r w:rsidR="00331215" w:rsidRPr="005A1511">
        <w:rPr>
          <w:rFonts w:ascii="Arial" w:hAnsi="Arial" w:cs="Arial"/>
        </w:rPr>
        <w:t>consultation</w:t>
      </w:r>
      <w:r w:rsidR="00206373" w:rsidRPr="005A1511">
        <w:rPr>
          <w:rFonts w:ascii="Arial" w:hAnsi="Arial" w:cs="Arial"/>
        </w:rPr>
        <w:t xml:space="preserve"> activity.  There is no guarantee of the accuracy of this data, and</w:t>
      </w:r>
      <w:r w:rsidR="00C5223E" w:rsidRPr="005A1511">
        <w:rPr>
          <w:rFonts w:ascii="Arial" w:hAnsi="Arial" w:cs="Arial"/>
        </w:rPr>
        <w:t xml:space="preserve"> </w:t>
      </w:r>
      <w:r w:rsidR="004C0C2C" w:rsidRPr="005A1511">
        <w:rPr>
          <w:rFonts w:ascii="Arial" w:hAnsi="Arial" w:cs="Arial"/>
        </w:rPr>
        <w:t>no guarantees are made in the dashboard</w:t>
      </w:r>
      <w:r w:rsidR="00C5223E" w:rsidRPr="005A1511">
        <w:rPr>
          <w:rFonts w:ascii="Arial" w:hAnsi="Arial" w:cs="Arial"/>
        </w:rPr>
        <w:t xml:space="preserve"> that the organisational structure </w:t>
      </w:r>
      <w:r w:rsidR="00D85724" w:rsidRPr="005A1511">
        <w:rPr>
          <w:rFonts w:ascii="Arial" w:hAnsi="Arial" w:cs="Arial"/>
        </w:rPr>
        <w:t>accurately reflects the registered practice of the underlying population</w:t>
      </w:r>
      <w:r w:rsidR="00327234" w:rsidRPr="005A1511">
        <w:rPr>
          <w:rFonts w:ascii="Arial" w:hAnsi="Arial" w:cs="Arial"/>
        </w:rPr>
        <w:t xml:space="preserve">; </w:t>
      </w:r>
      <w:r w:rsidR="002D7817" w:rsidRPr="005A1511">
        <w:rPr>
          <w:rFonts w:ascii="Arial" w:hAnsi="Arial" w:cs="Arial"/>
        </w:rPr>
        <w:t>furthermore,</w:t>
      </w:r>
      <w:r w:rsidR="00206373" w:rsidRPr="005A1511">
        <w:rPr>
          <w:rFonts w:ascii="Arial" w:hAnsi="Arial" w:cs="Arial"/>
        </w:rPr>
        <w:t xml:space="preserve"> any changes to </w:t>
      </w:r>
      <w:r w:rsidR="00285EA7" w:rsidRPr="005A1511">
        <w:rPr>
          <w:rFonts w:ascii="Arial" w:hAnsi="Arial" w:cs="Arial"/>
        </w:rPr>
        <w:t xml:space="preserve">individual patients’ registered GP </w:t>
      </w:r>
      <w:r w:rsidR="00327234" w:rsidRPr="005A1511">
        <w:rPr>
          <w:rFonts w:ascii="Arial" w:hAnsi="Arial" w:cs="Arial"/>
        </w:rPr>
        <w:t xml:space="preserve">practices, or the GP codes captured in the Pharmacy First </w:t>
      </w:r>
      <w:r w:rsidR="00331215" w:rsidRPr="005A1511">
        <w:rPr>
          <w:rFonts w:ascii="Arial" w:hAnsi="Arial" w:cs="Arial"/>
        </w:rPr>
        <w:t>consultation</w:t>
      </w:r>
      <w:r w:rsidR="00327234" w:rsidRPr="005A1511">
        <w:rPr>
          <w:rFonts w:ascii="Arial" w:hAnsi="Arial" w:cs="Arial"/>
        </w:rPr>
        <w:t xml:space="preserve"> data </w:t>
      </w:r>
      <w:r w:rsidR="00E46785" w:rsidRPr="005A1511">
        <w:rPr>
          <w:rFonts w:ascii="Arial" w:hAnsi="Arial" w:cs="Arial"/>
        </w:rPr>
        <w:t xml:space="preserve">for a given patient </w:t>
      </w:r>
      <w:r w:rsidR="00327234" w:rsidRPr="005A1511">
        <w:rPr>
          <w:rFonts w:ascii="Arial" w:hAnsi="Arial" w:cs="Arial"/>
        </w:rPr>
        <w:t>over time</w:t>
      </w:r>
      <w:r w:rsidR="00E46785" w:rsidRPr="005A1511">
        <w:rPr>
          <w:rFonts w:ascii="Arial" w:hAnsi="Arial" w:cs="Arial"/>
        </w:rPr>
        <w:t>,</w:t>
      </w:r>
      <w:r w:rsidR="00327234" w:rsidRPr="005A1511">
        <w:rPr>
          <w:rFonts w:ascii="Arial" w:hAnsi="Arial" w:cs="Arial"/>
        </w:rPr>
        <w:t xml:space="preserve"> </w:t>
      </w:r>
      <w:r w:rsidR="00285EA7" w:rsidRPr="005A1511">
        <w:rPr>
          <w:rFonts w:ascii="Arial" w:hAnsi="Arial" w:cs="Arial"/>
        </w:rPr>
        <w:t>will not be reflected in the data</w:t>
      </w:r>
      <w:r w:rsidR="00E46785" w:rsidRPr="005A1511">
        <w:rPr>
          <w:rFonts w:ascii="Arial" w:hAnsi="Arial" w:cs="Arial"/>
        </w:rPr>
        <w:t>.</w:t>
      </w:r>
      <w:r w:rsidR="004C0C2C" w:rsidRPr="005A1511">
        <w:rPr>
          <w:rFonts w:ascii="Arial" w:hAnsi="Arial" w:cs="Arial"/>
        </w:rPr>
        <w:t xml:space="preserve">  Refer to the section </w:t>
      </w:r>
      <w:hyperlink w:anchor="_Consultations_with_missing" w:history="1">
        <w:r w:rsidR="00C341D4" w:rsidRPr="005A1511">
          <w:rPr>
            <w:rStyle w:val="Hyperlink"/>
            <w:rFonts w:ascii="Arial" w:hAnsi="Arial" w:cs="Arial"/>
          </w:rPr>
          <w:t>Consultations with missing or unmatched GP practice ODS codes</w:t>
        </w:r>
      </w:hyperlink>
      <w:r w:rsidR="00C341D4" w:rsidRPr="005A1511">
        <w:rPr>
          <w:rFonts w:ascii="Arial" w:hAnsi="Arial" w:cs="Arial"/>
        </w:rPr>
        <w:t xml:space="preserve"> for more information on data quality.</w:t>
      </w:r>
    </w:p>
    <w:p w14:paraId="72A1BE1F" w14:textId="36485A39" w:rsidR="00E46785" w:rsidRPr="005A1511" w:rsidRDefault="0092296A" w:rsidP="00056D69">
      <w:pPr>
        <w:rPr>
          <w:rFonts w:ascii="Arial" w:hAnsi="Arial" w:cs="Arial"/>
        </w:rPr>
      </w:pPr>
      <w:r w:rsidRPr="005A1511">
        <w:rPr>
          <w:rFonts w:ascii="Arial" w:hAnsi="Arial" w:cs="Arial"/>
        </w:rPr>
        <w:t>Please note</w:t>
      </w:r>
      <w:r w:rsidR="00E46785" w:rsidRPr="005A1511">
        <w:rPr>
          <w:rFonts w:ascii="Arial" w:hAnsi="Arial" w:cs="Arial"/>
        </w:rPr>
        <w:t xml:space="preserve"> this only applies to </w:t>
      </w:r>
      <w:r w:rsidR="00AE6E90" w:rsidRPr="005A1511">
        <w:rPr>
          <w:rFonts w:ascii="Arial" w:hAnsi="Arial" w:cs="Arial"/>
        </w:rPr>
        <w:t>the comparators under the National, Region and ICB headings, and for the Monthly Summary comparator.</w:t>
      </w:r>
    </w:p>
    <w:p w14:paraId="4F3533E8" w14:textId="0F67C9A3" w:rsidR="005C4CE9" w:rsidRPr="005A1511" w:rsidRDefault="005C4CE9" w:rsidP="005C4CE9">
      <w:pPr>
        <w:pStyle w:val="Heading1"/>
      </w:pPr>
      <w:bookmarkStart w:id="8" w:name="_Patient_identifiable_data"/>
      <w:bookmarkStart w:id="9" w:name="_Toc189144425"/>
      <w:bookmarkEnd w:id="8"/>
      <w:r w:rsidRPr="005A1511">
        <w:t>Patient identifiable data completeness</w:t>
      </w:r>
      <w:bookmarkEnd w:id="9"/>
    </w:p>
    <w:p w14:paraId="3EF1BF61" w14:textId="77777777" w:rsidR="00C341D4" w:rsidRPr="005A1511" w:rsidRDefault="00001FD4" w:rsidP="0036546F">
      <w:pPr>
        <w:rPr>
          <w:rFonts w:ascii="Arial" w:hAnsi="Arial" w:cs="Arial"/>
          <w:color w:val="auto"/>
        </w:rPr>
      </w:pPr>
      <w:r w:rsidRPr="005A1511">
        <w:rPr>
          <w:rFonts w:ascii="Arial" w:hAnsi="Arial" w:cs="Arial"/>
          <w:color w:val="auto"/>
        </w:rPr>
        <w:t xml:space="preserve">The data in this dashboard contains </w:t>
      </w:r>
      <w:r w:rsidR="002A355F" w:rsidRPr="005A1511">
        <w:rPr>
          <w:rFonts w:ascii="Arial" w:hAnsi="Arial" w:cs="Arial"/>
          <w:color w:val="auto"/>
        </w:rPr>
        <w:t xml:space="preserve">an element of activity which was provided to patients </w:t>
      </w:r>
      <w:r w:rsidR="00404E99" w:rsidRPr="005A1511">
        <w:rPr>
          <w:rFonts w:ascii="Arial" w:hAnsi="Arial" w:cs="Arial"/>
          <w:color w:val="auto"/>
        </w:rPr>
        <w:t xml:space="preserve">who could not be identified in the data by means of a valid NHS number on the </w:t>
      </w:r>
      <w:r w:rsidR="00331215" w:rsidRPr="005A1511">
        <w:rPr>
          <w:rFonts w:ascii="Arial" w:hAnsi="Arial" w:cs="Arial"/>
          <w:color w:val="auto"/>
        </w:rPr>
        <w:t>consultation</w:t>
      </w:r>
      <w:r w:rsidR="00404E99" w:rsidRPr="005A1511">
        <w:rPr>
          <w:rFonts w:ascii="Arial" w:hAnsi="Arial" w:cs="Arial"/>
          <w:color w:val="auto"/>
        </w:rPr>
        <w:t xml:space="preserve"> record.  </w:t>
      </w:r>
    </w:p>
    <w:p w14:paraId="370CD3EA" w14:textId="41DC63E9" w:rsidR="00001FD4" w:rsidRPr="005A1511" w:rsidRDefault="00404E99" w:rsidP="0036546F">
      <w:pPr>
        <w:rPr>
          <w:rFonts w:ascii="Arial" w:hAnsi="Arial" w:cs="Arial"/>
          <w:color w:val="auto"/>
        </w:rPr>
      </w:pPr>
      <w:r w:rsidRPr="005A1511">
        <w:rPr>
          <w:rFonts w:ascii="Arial" w:hAnsi="Arial" w:cs="Arial"/>
          <w:color w:val="auto"/>
        </w:rPr>
        <w:t xml:space="preserve">For context, at the time of writing (based on </w:t>
      </w:r>
      <w:r w:rsidR="00567E33" w:rsidRPr="005A1511">
        <w:rPr>
          <w:rFonts w:ascii="Arial" w:hAnsi="Arial" w:cs="Arial"/>
          <w:color w:val="auto"/>
        </w:rPr>
        <w:t xml:space="preserve">data between January and October 2024), 98.94% of Pharmacy First </w:t>
      </w:r>
      <w:r w:rsidR="00331215" w:rsidRPr="005A1511">
        <w:rPr>
          <w:rFonts w:ascii="Arial" w:hAnsi="Arial" w:cs="Arial"/>
          <w:color w:val="auto"/>
        </w:rPr>
        <w:t>consultation</w:t>
      </w:r>
      <w:r w:rsidR="00567E33" w:rsidRPr="005A1511">
        <w:rPr>
          <w:rFonts w:ascii="Arial" w:hAnsi="Arial" w:cs="Arial"/>
          <w:color w:val="auto"/>
        </w:rPr>
        <w:t>s can be attributed to an identifiable patient.</w:t>
      </w:r>
    </w:p>
    <w:p w14:paraId="4F70C6F6" w14:textId="49340F0F" w:rsidR="00AF772B" w:rsidRPr="005A1511" w:rsidRDefault="00AF772B" w:rsidP="0036546F">
      <w:pPr>
        <w:rPr>
          <w:rFonts w:ascii="Arial" w:hAnsi="Arial" w:cs="Arial"/>
          <w:color w:val="auto"/>
        </w:rPr>
      </w:pPr>
      <w:r w:rsidRPr="005A1511">
        <w:rPr>
          <w:rFonts w:ascii="Arial" w:hAnsi="Arial" w:cs="Arial"/>
          <w:color w:val="auto"/>
        </w:rPr>
        <w:t xml:space="preserve">Please refer to </w:t>
      </w:r>
      <w:hyperlink w:anchor="_Appendix_3:_Data_1" w:history="1">
        <w:r w:rsidR="00E948B5" w:rsidRPr="005A1511">
          <w:rPr>
            <w:rStyle w:val="Hyperlink"/>
            <w:rFonts w:ascii="Arial" w:hAnsi="Arial" w:cs="Arial"/>
          </w:rPr>
          <w:t>Appendix 3: Data completeness and dashboard inclusion</w:t>
        </w:r>
      </w:hyperlink>
      <w:r w:rsidR="00E948B5" w:rsidRPr="005A1511">
        <w:rPr>
          <w:rFonts w:ascii="Arial" w:hAnsi="Arial" w:cs="Arial"/>
          <w:color w:val="auto"/>
        </w:rPr>
        <w:t xml:space="preserve"> </w:t>
      </w:r>
      <w:r w:rsidRPr="005A1511">
        <w:rPr>
          <w:rFonts w:ascii="Arial" w:hAnsi="Arial" w:cs="Arial"/>
          <w:color w:val="auto"/>
        </w:rPr>
        <w:t xml:space="preserve">for more details on </w:t>
      </w:r>
      <w:r w:rsidR="00E948B5" w:rsidRPr="005A1511">
        <w:rPr>
          <w:rFonts w:ascii="Arial" w:hAnsi="Arial" w:cs="Arial"/>
          <w:color w:val="auto"/>
        </w:rPr>
        <w:t xml:space="preserve">data completeness and dashboard inclusion - </w:t>
      </w:r>
    </w:p>
    <w:p w14:paraId="622C33DA" w14:textId="77777777" w:rsidR="00112262" w:rsidRPr="005A1511" w:rsidRDefault="00112262" w:rsidP="00112262">
      <w:pPr>
        <w:rPr>
          <w:rFonts w:ascii="Arial" w:eastAsia="Arial" w:hAnsi="Arial" w:cs="Arial"/>
          <w:b/>
          <w:sz w:val="24"/>
          <w:szCs w:val="24"/>
        </w:rPr>
      </w:pPr>
      <w:r w:rsidRPr="005A1511">
        <w:rPr>
          <w:rFonts w:ascii="Arial" w:hAnsi="Arial" w:cs="Arial"/>
          <w:color w:val="auto"/>
        </w:rPr>
        <w:t>While NHS numbers are used to formulate these comparators, no personal identifiable data are released through these comparators.</w:t>
      </w:r>
    </w:p>
    <w:p w14:paraId="7DA57006" w14:textId="148A3D1A" w:rsidR="00C75FA5" w:rsidRPr="005A1511" w:rsidRDefault="00C75FA5" w:rsidP="003C251E">
      <w:pPr>
        <w:pStyle w:val="Heading1"/>
        <w:rPr>
          <w:color w:val="auto"/>
        </w:rPr>
      </w:pPr>
      <w:bookmarkStart w:id="10" w:name="_Age_bands"/>
      <w:bookmarkStart w:id="11" w:name="_Toc189144426"/>
      <w:bookmarkEnd w:id="10"/>
      <w:r w:rsidRPr="005A1511">
        <w:rPr>
          <w:color w:val="auto"/>
        </w:rPr>
        <w:t>Age bands</w:t>
      </w:r>
      <w:bookmarkEnd w:id="11"/>
    </w:p>
    <w:p w14:paraId="38E3F400" w14:textId="0E9ACDB9" w:rsidR="001F29C2" w:rsidRPr="005A1511" w:rsidRDefault="001F29C2" w:rsidP="003C251E">
      <w:pPr>
        <w:spacing w:after="0"/>
        <w:rPr>
          <w:rFonts w:ascii="Arial" w:hAnsi="Arial" w:cs="Arial"/>
          <w:color w:val="auto"/>
        </w:rPr>
      </w:pPr>
      <w:r w:rsidRPr="005A1511">
        <w:rPr>
          <w:rFonts w:ascii="Arial" w:hAnsi="Arial" w:cs="Arial"/>
          <w:color w:val="auto"/>
        </w:rPr>
        <w:t xml:space="preserve">In the Pathway by Demographic </w:t>
      </w:r>
      <w:r w:rsidR="004B3500" w:rsidRPr="005A1511">
        <w:rPr>
          <w:rFonts w:ascii="Arial" w:hAnsi="Arial" w:cs="Arial"/>
          <w:color w:val="auto"/>
        </w:rPr>
        <w:t>comparator</w:t>
      </w:r>
      <w:r w:rsidR="00EB2E36" w:rsidRPr="005A1511">
        <w:rPr>
          <w:rFonts w:ascii="Arial" w:hAnsi="Arial" w:cs="Arial"/>
          <w:color w:val="auto"/>
        </w:rPr>
        <w:t xml:space="preserve"> (and in the tables for this </w:t>
      </w:r>
      <w:r w:rsidR="004B3500" w:rsidRPr="005A1511">
        <w:rPr>
          <w:rFonts w:ascii="Arial" w:hAnsi="Arial" w:cs="Arial"/>
          <w:color w:val="auto"/>
        </w:rPr>
        <w:t>comparator</w:t>
      </w:r>
      <w:r w:rsidR="00EB2E36" w:rsidRPr="005A1511">
        <w:rPr>
          <w:rFonts w:ascii="Arial" w:hAnsi="Arial" w:cs="Arial"/>
          <w:color w:val="auto"/>
        </w:rPr>
        <w:t xml:space="preserve"> in the Datasets section)</w:t>
      </w:r>
      <w:r w:rsidRPr="005A1511">
        <w:rPr>
          <w:rFonts w:ascii="Arial" w:hAnsi="Arial" w:cs="Arial"/>
          <w:color w:val="auto"/>
        </w:rPr>
        <w:t xml:space="preserve">, the data is </w:t>
      </w:r>
      <w:r w:rsidR="00EB2E36" w:rsidRPr="005A1511">
        <w:rPr>
          <w:rFonts w:ascii="Arial" w:hAnsi="Arial" w:cs="Arial"/>
          <w:color w:val="auto"/>
        </w:rPr>
        <w:t>segmented by 5-year age band</w:t>
      </w:r>
      <w:r w:rsidR="003B3369" w:rsidRPr="005A1511">
        <w:rPr>
          <w:rFonts w:ascii="Arial" w:hAnsi="Arial" w:cs="Arial"/>
          <w:color w:val="auto"/>
        </w:rPr>
        <w:t xml:space="preserve">.  This age band is based on the patient age at the time of the </w:t>
      </w:r>
      <w:r w:rsidR="00331215" w:rsidRPr="005A1511">
        <w:rPr>
          <w:rFonts w:ascii="Arial" w:hAnsi="Arial" w:cs="Arial"/>
          <w:color w:val="auto"/>
        </w:rPr>
        <w:t>consultation</w:t>
      </w:r>
      <w:r w:rsidR="003B3369" w:rsidRPr="005A1511">
        <w:rPr>
          <w:rFonts w:ascii="Arial" w:hAnsi="Arial" w:cs="Arial"/>
          <w:color w:val="auto"/>
        </w:rPr>
        <w:t xml:space="preserve">.   Where no patients have received treatment </w:t>
      </w:r>
      <w:r w:rsidR="00E36299" w:rsidRPr="005A1511">
        <w:rPr>
          <w:rFonts w:ascii="Arial" w:hAnsi="Arial" w:cs="Arial"/>
          <w:color w:val="auto"/>
        </w:rPr>
        <w:t xml:space="preserve">for a month and organisational unit, </w:t>
      </w:r>
      <w:r w:rsidR="0095729E" w:rsidRPr="005A1511">
        <w:rPr>
          <w:rFonts w:ascii="Arial" w:hAnsi="Arial" w:cs="Arial"/>
          <w:color w:val="auto"/>
        </w:rPr>
        <w:t>the age band will not be displayed on the graph.  When present, patients aged 110 or older are grouped into a single 110+ age band.</w:t>
      </w:r>
    </w:p>
    <w:p w14:paraId="60E9ADB6" w14:textId="77777777" w:rsidR="00D26AFD" w:rsidRPr="005A1511" w:rsidRDefault="00D26AFD" w:rsidP="003C251E">
      <w:pPr>
        <w:spacing w:after="0"/>
        <w:rPr>
          <w:rFonts w:ascii="Arial" w:hAnsi="Arial" w:cs="Arial"/>
          <w:color w:val="auto"/>
        </w:rPr>
      </w:pPr>
    </w:p>
    <w:p w14:paraId="1C824153" w14:textId="0A70465E" w:rsidR="00D26AFD" w:rsidRPr="005A1511" w:rsidRDefault="00D26AFD" w:rsidP="003C251E">
      <w:pPr>
        <w:spacing w:after="0"/>
        <w:rPr>
          <w:rFonts w:ascii="Arial" w:hAnsi="Arial" w:cs="Arial"/>
          <w:color w:val="auto"/>
        </w:rPr>
      </w:pPr>
      <w:r w:rsidRPr="005A1511">
        <w:rPr>
          <w:rFonts w:ascii="Arial" w:hAnsi="Arial" w:cs="Arial"/>
          <w:color w:val="auto"/>
        </w:rPr>
        <w:t xml:space="preserve">In the Uncomplicated UTI Pathway </w:t>
      </w:r>
      <w:r w:rsidR="004B3500" w:rsidRPr="005A1511">
        <w:rPr>
          <w:rFonts w:ascii="Arial" w:hAnsi="Arial" w:cs="Arial"/>
          <w:color w:val="auto"/>
        </w:rPr>
        <w:t>comparator</w:t>
      </w:r>
      <w:r w:rsidRPr="005A1511">
        <w:rPr>
          <w:rFonts w:ascii="Arial" w:hAnsi="Arial" w:cs="Arial"/>
          <w:color w:val="auto"/>
        </w:rPr>
        <w:t xml:space="preserve">, the data is segmented into </w:t>
      </w:r>
      <w:r w:rsidR="00EA1671" w:rsidRPr="005A1511">
        <w:rPr>
          <w:rFonts w:ascii="Arial" w:hAnsi="Arial" w:cs="Arial"/>
          <w:color w:val="auto"/>
        </w:rPr>
        <w:t>5-year age bands with values ranging from 15-19 to 60-64.  This is designed to encompass patients who fall within the scope of the Patient Group Directions for the pathway (female patients aged 16-64)</w:t>
      </w:r>
      <w:r w:rsidR="00396B36" w:rsidRPr="005A1511">
        <w:rPr>
          <w:rFonts w:ascii="Arial" w:hAnsi="Arial" w:cs="Arial"/>
          <w:color w:val="auto"/>
        </w:rPr>
        <w:t xml:space="preserve">, but users should be aware than any patients who have been assessed under this pathway, or who have had an FP10 prescription and fall outside of the age range, will not be shown in this comparator </w:t>
      </w:r>
      <w:r w:rsidR="00E85FA9" w:rsidRPr="005A1511">
        <w:rPr>
          <w:rFonts w:ascii="Arial" w:hAnsi="Arial" w:cs="Arial"/>
          <w:color w:val="auto"/>
        </w:rPr>
        <w:t>view</w:t>
      </w:r>
      <w:r w:rsidR="00396B36" w:rsidRPr="005A1511">
        <w:rPr>
          <w:rFonts w:ascii="Arial" w:hAnsi="Arial" w:cs="Arial"/>
          <w:color w:val="auto"/>
        </w:rPr>
        <w:t xml:space="preserve"> (they will however be shown in </w:t>
      </w:r>
      <w:r w:rsidR="004B3500" w:rsidRPr="005A1511">
        <w:rPr>
          <w:rFonts w:ascii="Arial" w:hAnsi="Arial" w:cs="Arial"/>
          <w:color w:val="auto"/>
        </w:rPr>
        <w:t>the Pathway by Demographic comparator</w:t>
      </w:r>
      <w:r w:rsidR="00E85FA9" w:rsidRPr="005A1511">
        <w:rPr>
          <w:rFonts w:ascii="Arial" w:hAnsi="Arial" w:cs="Arial"/>
          <w:color w:val="auto"/>
        </w:rPr>
        <w:t>)</w:t>
      </w:r>
      <w:r w:rsidR="00396B36" w:rsidRPr="005A1511">
        <w:rPr>
          <w:rFonts w:ascii="Arial" w:hAnsi="Arial" w:cs="Arial"/>
          <w:color w:val="auto"/>
        </w:rPr>
        <w:t xml:space="preserve">. </w:t>
      </w:r>
    </w:p>
    <w:p w14:paraId="29BC7476" w14:textId="4A7C7EFF" w:rsidR="000009B1" w:rsidRPr="005A1511" w:rsidRDefault="000009B1" w:rsidP="000009B1">
      <w:pPr>
        <w:pStyle w:val="Heading1"/>
        <w:rPr>
          <w:color w:val="auto"/>
        </w:rPr>
      </w:pPr>
      <w:bookmarkStart w:id="12" w:name="_Toc189144427"/>
      <w:r w:rsidRPr="005A1511">
        <w:rPr>
          <w:color w:val="auto"/>
        </w:rPr>
        <w:t>Gender</w:t>
      </w:r>
      <w:bookmarkEnd w:id="12"/>
    </w:p>
    <w:p w14:paraId="3DCC8F69" w14:textId="116E064E" w:rsidR="000009B1" w:rsidRPr="005A1511" w:rsidRDefault="009570AC" w:rsidP="000009B1">
      <w:pPr>
        <w:spacing w:after="0"/>
        <w:rPr>
          <w:rFonts w:ascii="Arial" w:hAnsi="Arial" w:cs="Arial"/>
          <w:color w:val="auto"/>
        </w:rPr>
      </w:pPr>
      <w:r w:rsidRPr="005A1511">
        <w:rPr>
          <w:rFonts w:ascii="Arial" w:hAnsi="Arial" w:cs="Arial"/>
          <w:color w:val="auto"/>
        </w:rPr>
        <w:t xml:space="preserve">In the Pathway by Demographic comparator, the data is segmented by gender, as captured </w:t>
      </w:r>
      <w:r w:rsidR="00BE58FB" w:rsidRPr="005A1511">
        <w:rPr>
          <w:rFonts w:ascii="Arial" w:hAnsi="Arial" w:cs="Arial"/>
          <w:color w:val="auto"/>
        </w:rPr>
        <w:t xml:space="preserve">during the Pharmacy First </w:t>
      </w:r>
      <w:r w:rsidR="00331215" w:rsidRPr="005A1511">
        <w:rPr>
          <w:rFonts w:ascii="Arial" w:hAnsi="Arial" w:cs="Arial"/>
          <w:color w:val="auto"/>
        </w:rPr>
        <w:t>consultation</w:t>
      </w:r>
      <w:r w:rsidR="00742B42" w:rsidRPr="005A1511">
        <w:rPr>
          <w:rFonts w:ascii="Arial" w:hAnsi="Arial" w:cs="Arial"/>
          <w:color w:val="auto"/>
        </w:rPr>
        <w:t>;</w:t>
      </w:r>
      <w:r w:rsidR="00BE58FB" w:rsidRPr="005A1511">
        <w:rPr>
          <w:rFonts w:ascii="Arial" w:hAnsi="Arial" w:cs="Arial"/>
          <w:color w:val="auto"/>
        </w:rPr>
        <w:t xml:space="preserve"> </w:t>
      </w:r>
      <w:r w:rsidR="00742B42" w:rsidRPr="005A1511">
        <w:rPr>
          <w:rFonts w:ascii="Arial" w:hAnsi="Arial" w:cs="Arial"/>
          <w:color w:val="auto"/>
        </w:rPr>
        <w:t>o</w:t>
      </w:r>
      <w:r w:rsidR="00BE58FB" w:rsidRPr="005A1511">
        <w:rPr>
          <w:rFonts w:ascii="Arial" w:hAnsi="Arial" w:cs="Arial"/>
          <w:color w:val="auto"/>
        </w:rPr>
        <w:t>nly data values of Male and Female are shown</w:t>
      </w:r>
      <w:r w:rsidR="00742B42" w:rsidRPr="005A1511">
        <w:rPr>
          <w:rFonts w:ascii="Arial" w:hAnsi="Arial" w:cs="Arial"/>
          <w:color w:val="auto"/>
        </w:rPr>
        <w:t xml:space="preserve"> in the comparator view.  For context, between January and October 2024, 98.2% of all Pharmacy First </w:t>
      </w:r>
      <w:r w:rsidR="00331215" w:rsidRPr="005A1511">
        <w:rPr>
          <w:rFonts w:ascii="Arial" w:hAnsi="Arial" w:cs="Arial"/>
          <w:color w:val="auto"/>
        </w:rPr>
        <w:t>consultation</w:t>
      </w:r>
      <w:r w:rsidR="00742B42" w:rsidRPr="005A1511">
        <w:rPr>
          <w:rFonts w:ascii="Arial" w:hAnsi="Arial" w:cs="Arial"/>
          <w:color w:val="auto"/>
        </w:rPr>
        <w:t>s were recorded against patients with a gender of Male or Female.</w:t>
      </w:r>
    </w:p>
    <w:p w14:paraId="48C82DEA" w14:textId="77777777" w:rsidR="00365DAD" w:rsidRPr="005A1511" w:rsidRDefault="00365DAD" w:rsidP="000009B1">
      <w:pPr>
        <w:spacing w:after="0"/>
        <w:rPr>
          <w:rFonts w:ascii="Arial" w:hAnsi="Arial" w:cs="Arial"/>
          <w:color w:val="auto"/>
        </w:rPr>
      </w:pPr>
    </w:p>
    <w:p w14:paraId="17B60487" w14:textId="263CE672" w:rsidR="00365DAD" w:rsidRPr="005A1511" w:rsidRDefault="00365DAD" w:rsidP="000009B1">
      <w:pPr>
        <w:spacing w:after="0"/>
        <w:rPr>
          <w:rFonts w:ascii="Arial" w:hAnsi="Arial" w:cs="Arial"/>
          <w:color w:val="auto"/>
        </w:rPr>
      </w:pPr>
      <w:r w:rsidRPr="005A1511">
        <w:rPr>
          <w:rFonts w:ascii="Arial" w:hAnsi="Arial" w:cs="Arial"/>
          <w:color w:val="auto"/>
        </w:rPr>
        <w:lastRenderedPageBreak/>
        <w:t xml:space="preserve">In the Uncomplicated UTI Pathway comparator, data is limited to patients with a recorded gender of Female only.  Any non-Female </w:t>
      </w:r>
      <w:r w:rsidR="00B42E2D" w:rsidRPr="005A1511">
        <w:rPr>
          <w:rFonts w:ascii="Arial" w:hAnsi="Arial" w:cs="Arial"/>
          <w:color w:val="auto"/>
        </w:rPr>
        <w:t>supply activity will not be shown in this comparator.</w:t>
      </w:r>
    </w:p>
    <w:p w14:paraId="5472A6F9" w14:textId="77777777" w:rsidR="0036546F" w:rsidRPr="005A1511" w:rsidRDefault="0036546F" w:rsidP="0036546F">
      <w:pPr>
        <w:pStyle w:val="Heading1"/>
        <w:rPr>
          <w:color w:val="auto"/>
        </w:rPr>
      </w:pPr>
      <w:bookmarkStart w:id="13" w:name="_Toc26514180"/>
      <w:bookmarkStart w:id="14" w:name="_Toc189144428"/>
      <w:r w:rsidRPr="005A1511">
        <w:rPr>
          <w:color w:val="auto"/>
        </w:rPr>
        <w:t>Patient counts</w:t>
      </w:r>
      <w:bookmarkEnd w:id="14"/>
      <w:r w:rsidRPr="005A1511">
        <w:rPr>
          <w:color w:val="auto"/>
        </w:rPr>
        <w:t xml:space="preserve"> </w:t>
      </w:r>
    </w:p>
    <w:p w14:paraId="17A79941" w14:textId="226CB76B" w:rsidR="008002A1" w:rsidRPr="005A1511" w:rsidRDefault="008002A1" w:rsidP="0036546F">
      <w:pPr>
        <w:spacing w:before="240"/>
        <w:rPr>
          <w:rFonts w:ascii="Arial" w:hAnsi="Arial" w:cs="Arial"/>
          <w:color w:val="auto"/>
        </w:rPr>
      </w:pPr>
      <w:r w:rsidRPr="005A1511">
        <w:rPr>
          <w:rFonts w:ascii="Arial" w:hAnsi="Arial" w:cs="Arial"/>
          <w:color w:val="auto"/>
        </w:rPr>
        <w:t xml:space="preserve">Each comparator in the dashboard allows users to see the number of unique patients who have met the criteria for that comparator, at the selected organisational level, and in the selected time period (certain comparators show the count of consultations in the </w:t>
      </w:r>
      <w:r w:rsidR="00E27320" w:rsidRPr="005A1511">
        <w:rPr>
          <w:rFonts w:ascii="Arial" w:hAnsi="Arial" w:cs="Arial"/>
          <w:color w:val="auto"/>
        </w:rPr>
        <w:t>graph</w:t>
      </w:r>
      <w:r w:rsidRPr="005A1511">
        <w:rPr>
          <w:rFonts w:ascii="Arial" w:hAnsi="Arial" w:cs="Arial"/>
          <w:color w:val="auto"/>
        </w:rPr>
        <w:t xml:space="preserve"> view, but </w:t>
      </w:r>
      <w:r w:rsidR="00E27320" w:rsidRPr="005A1511">
        <w:rPr>
          <w:rFonts w:ascii="Arial" w:hAnsi="Arial" w:cs="Arial"/>
          <w:color w:val="auto"/>
        </w:rPr>
        <w:t>show patient counts in the table view).</w:t>
      </w:r>
    </w:p>
    <w:p w14:paraId="104050B4" w14:textId="43473FCD" w:rsidR="0031099C" w:rsidRPr="005A1511" w:rsidRDefault="0031099C" w:rsidP="0036546F">
      <w:pPr>
        <w:spacing w:before="240"/>
        <w:rPr>
          <w:rFonts w:ascii="Arial" w:hAnsi="Arial" w:cs="Arial"/>
          <w:color w:val="auto"/>
        </w:rPr>
      </w:pPr>
      <w:r w:rsidRPr="005A1511">
        <w:rPr>
          <w:rFonts w:ascii="Arial" w:hAnsi="Arial" w:cs="Arial"/>
          <w:color w:val="auto"/>
        </w:rPr>
        <w:t>Patients are counted only once in any given combination of comparator, time period and organisational unit, but may appear in different comparators in different time periods, or in multiple organisational units in the same comparator and time periods.</w:t>
      </w:r>
      <w:r w:rsidR="00280BAA" w:rsidRPr="005A1511">
        <w:rPr>
          <w:rFonts w:ascii="Arial" w:hAnsi="Arial" w:cs="Arial"/>
          <w:color w:val="auto"/>
        </w:rPr>
        <w:t xml:space="preserve">   It is important to note that patient counts should not be combined outside of the categories in which they are shown, or double</w:t>
      </w:r>
      <w:r w:rsidR="006F163A" w:rsidRPr="005A1511">
        <w:rPr>
          <w:rFonts w:ascii="Arial" w:hAnsi="Arial" w:cs="Arial"/>
          <w:color w:val="auto"/>
        </w:rPr>
        <w:t xml:space="preserve"> </w:t>
      </w:r>
      <w:r w:rsidR="00280BAA" w:rsidRPr="005A1511">
        <w:rPr>
          <w:rFonts w:ascii="Arial" w:hAnsi="Arial" w:cs="Arial"/>
          <w:color w:val="auto"/>
        </w:rPr>
        <w:t>counting of patients may occur.</w:t>
      </w:r>
    </w:p>
    <w:p w14:paraId="7FC0D2B9" w14:textId="571B5279" w:rsidR="0036546F" w:rsidRPr="005A1511" w:rsidRDefault="0036546F" w:rsidP="005A115B">
      <w:pPr>
        <w:pStyle w:val="Heading1"/>
        <w:rPr>
          <w:color w:val="auto"/>
        </w:rPr>
      </w:pPr>
      <w:bookmarkStart w:id="15" w:name="_Toc189144429"/>
      <w:r w:rsidRPr="005A1511">
        <w:rPr>
          <w:color w:val="auto"/>
        </w:rPr>
        <w:t>Practice list sizes</w:t>
      </w:r>
      <w:bookmarkEnd w:id="15"/>
    </w:p>
    <w:p w14:paraId="6D4F3E15" w14:textId="3E137EF6" w:rsidR="005A115B" w:rsidRPr="005A1511" w:rsidRDefault="005A115B" w:rsidP="005A115B">
      <w:pPr>
        <w:spacing w:line="240" w:lineRule="auto"/>
        <w:rPr>
          <w:rFonts w:ascii="Arial" w:hAnsi="Arial" w:cs="Arial"/>
          <w:color w:val="auto"/>
        </w:rPr>
      </w:pPr>
    </w:p>
    <w:p w14:paraId="004BEFCF" w14:textId="60734CB0" w:rsidR="00580A93" w:rsidRPr="005A1511" w:rsidRDefault="00580A93">
      <w:pPr>
        <w:rPr>
          <w:rFonts w:ascii="Arial" w:hAnsi="Arial" w:cs="Arial"/>
          <w:color w:val="auto"/>
        </w:rPr>
      </w:pPr>
      <w:r w:rsidRPr="005A1511">
        <w:rPr>
          <w:rFonts w:ascii="Arial" w:hAnsi="Arial" w:cs="Arial"/>
          <w:color w:val="auto"/>
        </w:rPr>
        <w:t>The following dashboard comparators display patient counts as a rate</w:t>
      </w:r>
      <w:r w:rsidR="00A5610F" w:rsidRPr="005A1511">
        <w:rPr>
          <w:rFonts w:ascii="Arial" w:hAnsi="Arial" w:cs="Arial"/>
          <w:color w:val="auto"/>
        </w:rPr>
        <w:t xml:space="preserve"> per 100,000 patients</w:t>
      </w:r>
      <w:r w:rsidRPr="005A1511">
        <w:rPr>
          <w:rFonts w:ascii="Arial" w:hAnsi="Arial" w:cs="Arial"/>
          <w:color w:val="auto"/>
        </w:rPr>
        <w:t xml:space="preserve">, </w:t>
      </w:r>
      <w:r w:rsidR="00ED1E10" w:rsidRPr="005A1511">
        <w:rPr>
          <w:rFonts w:ascii="Arial" w:hAnsi="Arial" w:cs="Arial"/>
          <w:color w:val="auto"/>
        </w:rPr>
        <w:t>as well a</w:t>
      </w:r>
      <w:r w:rsidR="00A83565" w:rsidRPr="005A1511">
        <w:rPr>
          <w:rFonts w:ascii="Arial" w:hAnsi="Arial" w:cs="Arial"/>
          <w:color w:val="auto"/>
        </w:rPr>
        <w:t>s</w:t>
      </w:r>
      <w:r w:rsidRPr="005A1511">
        <w:rPr>
          <w:rFonts w:ascii="Arial" w:hAnsi="Arial" w:cs="Arial"/>
          <w:color w:val="auto"/>
        </w:rPr>
        <w:t xml:space="preserve"> a</w:t>
      </w:r>
      <w:r w:rsidR="00ED1E10" w:rsidRPr="005A1511">
        <w:rPr>
          <w:rFonts w:ascii="Arial" w:hAnsi="Arial" w:cs="Arial"/>
          <w:color w:val="auto"/>
        </w:rPr>
        <w:t>n absolute figure</w:t>
      </w:r>
      <w:r w:rsidR="00F94C5F" w:rsidRPr="005A1511">
        <w:rPr>
          <w:rFonts w:ascii="Arial" w:hAnsi="Arial" w:cs="Arial"/>
          <w:color w:val="auto"/>
        </w:rPr>
        <w:t>:</w:t>
      </w:r>
    </w:p>
    <w:p w14:paraId="78DB800A" w14:textId="4EE52BC5" w:rsidR="00F94C5F" w:rsidRPr="005A1511" w:rsidRDefault="00F94C5F" w:rsidP="00A5610F">
      <w:pPr>
        <w:pStyle w:val="ListParagraph"/>
        <w:numPr>
          <w:ilvl w:val="0"/>
          <w:numId w:val="18"/>
        </w:numPr>
        <w:rPr>
          <w:rFonts w:ascii="Arial" w:hAnsi="Arial" w:cs="Arial"/>
        </w:rPr>
      </w:pPr>
      <w:r w:rsidRPr="005A1511">
        <w:rPr>
          <w:rFonts w:ascii="Arial" w:hAnsi="Arial" w:cs="Arial"/>
        </w:rPr>
        <w:t>Population Access</w:t>
      </w:r>
      <w:r w:rsidR="00652457" w:rsidRPr="005A1511">
        <w:rPr>
          <w:rFonts w:ascii="Arial" w:hAnsi="Arial" w:cs="Arial"/>
        </w:rPr>
        <w:t xml:space="preserve"> (National, NHS Region and ICB levels)</w:t>
      </w:r>
    </w:p>
    <w:p w14:paraId="3967FF95" w14:textId="4A08881E" w:rsidR="00F94C5F" w:rsidRPr="005A1511" w:rsidRDefault="00652457" w:rsidP="00A5610F">
      <w:pPr>
        <w:pStyle w:val="ListParagraph"/>
        <w:numPr>
          <w:ilvl w:val="0"/>
          <w:numId w:val="18"/>
        </w:numPr>
        <w:rPr>
          <w:rFonts w:ascii="Arial" w:hAnsi="Arial" w:cs="Arial"/>
        </w:rPr>
      </w:pPr>
      <w:r w:rsidRPr="005A1511">
        <w:rPr>
          <w:rFonts w:ascii="Arial" w:hAnsi="Arial" w:cs="Arial"/>
        </w:rPr>
        <w:t>Monthly Summary (performance tiles only</w:t>
      </w:r>
      <w:r w:rsidR="00A5610F" w:rsidRPr="005A1511">
        <w:rPr>
          <w:rFonts w:ascii="Arial" w:hAnsi="Arial" w:cs="Arial"/>
        </w:rPr>
        <w:t>)</w:t>
      </w:r>
    </w:p>
    <w:p w14:paraId="66F98909" w14:textId="6BBA358F" w:rsidR="00A5610F" w:rsidRPr="005A1511" w:rsidRDefault="00A5610F" w:rsidP="00A5610F">
      <w:pPr>
        <w:rPr>
          <w:rFonts w:ascii="Arial" w:hAnsi="Arial" w:cs="Arial"/>
        </w:rPr>
      </w:pPr>
      <w:r w:rsidRPr="005A1511">
        <w:rPr>
          <w:rFonts w:ascii="Arial" w:hAnsi="Arial" w:cs="Arial"/>
        </w:rPr>
        <w:t xml:space="preserve">Population denominators are derived from </w:t>
      </w:r>
      <w:r w:rsidR="006A33EB" w:rsidRPr="005A1511">
        <w:rPr>
          <w:rFonts w:ascii="Arial" w:hAnsi="Arial" w:cs="Arial"/>
        </w:rPr>
        <w:t>General Practice</w:t>
      </w:r>
      <w:r w:rsidRPr="005A1511">
        <w:rPr>
          <w:rFonts w:ascii="Arial" w:hAnsi="Arial" w:cs="Arial"/>
        </w:rPr>
        <w:t xml:space="preserve"> list sizes, </w:t>
      </w:r>
      <w:r w:rsidR="005608B9" w:rsidRPr="005A1511">
        <w:rPr>
          <w:rFonts w:ascii="Arial" w:hAnsi="Arial" w:cs="Arial"/>
        </w:rPr>
        <w:t>based on practice ODS codes</w:t>
      </w:r>
      <w:r w:rsidRPr="005A1511">
        <w:rPr>
          <w:rFonts w:ascii="Arial" w:hAnsi="Arial" w:cs="Arial"/>
        </w:rPr>
        <w:t xml:space="preserve"> as captured on the Pharmacy First </w:t>
      </w:r>
      <w:r w:rsidR="00331215" w:rsidRPr="005A1511">
        <w:rPr>
          <w:rFonts w:ascii="Arial" w:hAnsi="Arial" w:cs="Arial"/>
        </w:rPr>
        <w:t>consultation</w:t>
      </w:r>
      <w:r w:rsidRPr="005A1511">
        <w:rPr>
          <w:rFonts w:ascii="Arial" w:hAnsi="Arial" w:cs="Arial"/>
        </w:rPr>
        <w:t xml:space="preserve"> record</w:t>
      </w:r>
      <w:r w:rsidR="005608B9" w:rsidRPr="005A1511">
        <w:rPr>
          <w:rFonts w:ascii="Arial" w:hAnsi="Arial" w:cs="Arial"/>
        </w:rPr>
        <w:t xml:space="preserve"> (see </w:t>
      </w:r>
      <w:hyperlink w:anchor="_Derivation_of_organisational" w:history="1">
        <w:r w:rsidR="005608B9" w:rsidRPr="005A1511">
          <w:rPr>
            <w:rStyle w:val="Hyperlink"/>
            <w:rFonts w:ascii="Arial" w:hAnsi="Arial" w:cs="Arial"/>
          </w:rPr>
          <w:t>Derivation of organisational units</w:t>
        </w:r>
      </w:hyperlink>
      <w:r w:rsidR="005608B9" w:rsidRPr="005A1511">
        <w:rPr>
          <w:rFonts w:ascii="Arial" w:hAnsi="Arial" w:cs="Arial"/>
        </w:rPr>
        <w:t xml:space="preserve"> and </w:t>
      </w:r>
      <w:hyperlink w:anchor="_Consultations_with_missing" w:history="1">
        <w:r w:rsidR="005608B9" w:rsidRPr="005A1511">
          <w:rPr>
            <w:rStyle w:val="Hyperlink"/>
            <w:rFonts w:ascii="Arial" w:hAnsi="Arial" w:cs="Arial"/>
          </w:rPr>
          <w:t>Consultations with missing or unmatched GP practice ODS codes</w:t>
        </w:r>
      </w:hyperlink>
      <w:r w:rsidR="0050157C" w:rsidRPr="005A1511">
        <w:rPr>
          <w:rFonts w:ascii="Arial" w:hAnsi="Arial" w:cs="Arial"/>
        </w:rPr>
        <w:t xml:space="preserve"> for more information on how practice ODS codes are captured and analysed in the dashboard</w:t>
      </w:r>
      <w:r w:rsidR="00DD460A" w:rsidRPr="005A1511">
        <w:rPr>
          <w:rFonts w:ascii="Arial" w:hAnsi="Arial" w:cs="Arial"/>
        </w:rPr>
        <w:t>)</w:t>
      </w:r>
      <w:r w:rsidR="00514A88" w:rsidRPr="005A1511">
        <w:rPr>
          <w:rFonts w:ascii="Arial" w:hAnsi="Arial" w:cs="Arial"/>
        </w:rPr>
        <w:t>.</w:t>
      </w:r>
    </w:p>
    <w:p w14:paraId="33E3D96F" w14:textId="77777777" w:rsidR="006E026A" w:rsidRPr="005A1511" w:rsidRDefault="006E026A" w:rsidP="006E026A">
      <w:pPr>
        <w:pStyle w:val="Heading1"/>
      </w:pPr>
      <w:bookmarkStart w:id="16" w:name="_Toc189144430"/>
      <w:bookmarkEnd w:id="13"/>
      <w:r w:rsidRPr="005A1511">
        <w:t>Medicines included in the comparators</w:t>
      </w:r>
      <w:bookmarkEnd w:id="16"/>
    </w:p>
    <w:p w14:paraId="47193451" w14:textId="5727D609" w:rsidR="006E026A" w:rsidRPr="005A1511" w:rsidRDefault="006E026A" w:rsidP="006E026A">
      <w:pPr>
        <w:spacing w:before="240"/>
        <w:rPr>
          <w:rFonts w:ascii="Arial" w:hAnsi="Arial" w:cs="Arial"/>
          <w:color w:val="auto"/>
        </w:rPr>
      </w:pPr>
      <w:r w:rsidRPr="005A1511">
        <w:rPr>
          <w:rFonts w:ascii="Arial" w:hAnsi="Arial" w:cs="Arial"/>
          <w:color w:val="auto"/>
        </w:rPr>
        <w:t xml:space="preserve">For information on the medicines included in the comparators, please refer to the </w:t>
      </w:r>
      <w:bookmarkStart w:id="17" w:name="_3o7alnk" w:colFirst="0" w:colLast="0"/>
      <w:bookmarkEnd w:id="17"/>
      <w:r w:rsidR="0090358C" w:rsidRPr="005A1511">
        <w:rPr>
          <w:rFonts w:ascii="Arial" w:hAnsi="Arial" w:cs="Arial"/>
          <w:color w:val="auto"/>
        </w:rPr>
        <w:t>Pharmacy First PGD guidance documents on the NHS England website:</w:t>
      </w:r>
    </w:p>
    <w:p w14:paraId="0D0D8577" w14:textId="6B833897" w:rsidR="0090358C" w:rsidRPr="005A1511" w:rsidRDefault="00AF6DBC" w:rsidP="006E026A">
      <w:pPr>
        <w:spacing w:before="240"/>
        <w:rPr>
          <w:rFonts w:ascii="Arial" w:hAnsi="Arial" w:cs="Arial"/>
          <w:color w:val="auto"/>
        </w:rPr>
      </w:pPr>
      <w:hyperlink r:id="rId16" w:history="1">
        <w:r w:rsidRPr="005A1511">
          <w:rPr>
            <w:rStyle w:val="Hyperlink"/>
            <w:rFonts w:ascii="Arial" w:hAnsi="Arial" w:cs="Arial"/>
          </w:rPr>
          <w:t>https://www.england.nhs.uk/publication/community-pharmacy-advanced-service-specification-nhs-pharmacy-first-service/</w:t>
        </w:r>
      </w:hyperlink>
    </w:p>
    <w:p w14:paraId="28C91008" w14:textId="77777777" w:rsidR="006C564C" w:rsidRPr="005A1511" w:rsidRDefault="006C564C">
      <w:pPr>
        <w:rPr>
          <w:rFonts w:ascii="Arial" w:eastAsia="Arial" w:hAnsi="Arial" w:cs="Arial"/>
          <w:b/>
          <w:color w:val="auto"/>
          <w:sz w:val="24"/>
          <w:szCs w:val="24"/>
        </w:rPr>
      </w:pPr>
      <w:bookmarkStart w:id="18" w:name="_Toc26514181"/>
      <w:r w:rsidRPr="005A1511">
        <w:rPr>
          <w:rFonts w:ascii="Arial" w:hAnsi="Arial" w:cs="Arial"/>
          <w:color w:val="auto"/>
        </w:rPr>
        <w:br w:type="page"/>
      </w:r>
    </w:p>
    <w:p w14:paraId="40E06B01" w14:textId="1DF706B5" w:rsidR="00AD480B" w:rsidRPr="005A1511" w:rsidRDefault="00AD480B" w:rsidP="00E8067C">
      <w:pPr>
        <w:pStyle w:val="Heading1"/>
        <w:rPr>
          <w:color w:val="auto"/>
        </w:rPr>
      </w:pPr>
      <w:bookmarkStart w:id="19" w:name="_Toc189144431"/>
      <w:r w:rsidRPr="005A1511">
        <w:rPr>
          <w:color w:val="auto"/>
        </w:rPr>
        <w:lastRenderedPageBreak/>
        <w:t>Data quality assurance</w:t>
      </w:r>
      <w:bookmarkEnd w:id="18"/>
      <w:bookmarkEnd w:id="19"/>
    </w:p>
    <w:p w14:paraId="46F8CB68" w14:textId="5ABFC2DF" w:rsidR="00BF014C" w:rsidRPr="005A1511" w:rsidRDefault="00D20D1F" w:rsidP="00D20D1F">
      <w:pPr>
        <w:rPr>
          <w:rFonts w:ascii="Arial" w:hAnsi="Arial" w:cs="Arial"/>
        </w:rPr>
      </w:pPr>
      <w:r w:rsidRPr="005A1511">
        <w:rPr>
          <w:rFonts w:ascii="Arial" w:hAnsi="Arial" w:cs="Arial"/>
        </w:rPr>
        <w:t xml:space="preserve">The </w:t>
      </w:r>
      <w:r w:rsidR="00F40257" w:rsidRPr="005A1511">
        <w:rPr>
          <w:rFonts w:ascii="Arial" w:hAnsi="Arial" w:cs="Arial"/>
        </w:rPr>
        <w:t xml:space="preserve">Pharmacy First </w:t>
      </w:r>
      <w:r w:rsidRPr="005A1511">
        <w:rPr>
          <w:rFonts w:ascii="Arial" w:hAnsi="Arial" w:cs="Arial"/>
        </w:rPr>
        <w:t xml:space="preserve">data reported in this dashboard is </w:t>
      </w:r>
      <w:r w:rsidR="00F40257" w:rsidRPr="005A1511">
        <w:rPr>
          <w:rFonts w:ascii="Arial" w:hAnsi="Arial" w:cs="Arial"/>
        </w:rPr>
        <w:t>based</w:t>
      </w:r>
      <w:r w:rsidR="00386429" w:rsidRPr="005A1511">
        <w:rPr>
          <w:rFonts w:ascii="Arial" w:hAnsi="Arial" w:cs="Arial"/>
        </w:rPr>
        <w:t xml:space="preserve"> upon data entered into </w:t>
      </w:r>
      <w:r w:rsidR="00A93F5E" w:rsidRPr="005A1511">
        <w:rPr>
          <w:rFonts w:ascii="Arial" w:hAnsi="Arial" w:cs="Arial"/>
        </w:rPr>
        <w:t xml:space="preserve">pharmacy IT systems that have not been implemented </w:t>
      </w:r>
      <w:r w:rsidR="00DF3B8A" w:rsidRPr="005A1511">
        <w:rPr>
          <w:rFonts w:ascii="Arial" w:hAnsi="Arial" w:cs="Arial"/>
        </w:rPr>
        <w:t xml:space="preserve">by and </w:t>
      </w:r>
      <w:r w:rsidR="00A93F5E" w:rsidRPr="005A1511">
        <w:rPr>
          <w:rFonts w:ascii="Arial" w:hAnsi="Arial" w:cs="Arial"/>
        </w:rPr>
        <w:t xml:space="preserve">are </w:t>
      </w:r>
      <w:r w:rsidR="00DF3B8A" w:rsidRPr="005A1511">
        <w:rPr>
          <w:rFonts w:ascii="Arial" w:hAnsi="Arial" w:cs="Arial"/>
        </w:rPr>
        <w:t xml:space="preserve">not </w:t>
      </w:r>
      <w:r w:rsidR="00A93F5E" w:rsidRPr="005A1511">
        <w:rPr>
          <w:rFonts w:ascii="Arial" w:hAnsi="Arial" w:cs="Arial"/>
        </w:rPr>
        <w:t>managed by NHS</w:t>
      </w:r>
      <w:r w:rsidR="005513E8" w:rsidRPr="005A1511">
        <w:rPr>
          <w:rFonts w:ascii="Arial" w:hAnsi="Arial" w:cs="Arial"/>
        </w:rPr>
        <w:t xml:space="preserve"> Business Services Authority</w:t>
      </w:r>
      <w:r w:rsidR="00787220" w:rsidRPr="005A1511">
        <w:rPr>
          <w:rFonts w:ascii="Arial" w:hAnsi="Arial" w:cs="Arial"/>
        </w:rPr>
        <w:t xml:space="preserve">. This data </w:t>
      </w:r>
      <w:r w:rsidR="009461E7" w:rsidRPr="005A1511">
        <w:rPr>
          <w:rFonts w:ascii="Arial" w:hAnsi="Arial" w:cs="Arial"/>
        </w:rPr>
        <w:t xml:space="preserve">is not validated or regulated by </w:t>
      </w:r>
      <w:r w:rsidR="00DF3B8A" w:rsidRPr="005A1511">
        <w:rPr>
          <w:rFonts w:ascii="Arial" w:hAnsi="Arial" w:cs="Arial"/>
        </w:rPr>
        <w:t xml:space="preserve">the same </w:t>
      </w:r>
      <w:r w:rsidR="009461E7" w:rsidRPr="005A1511">
        <w:rPr>
          <w:rFonts w:ascii="Arial" w:hAnsi="Arial" w:cs="Arial"/>
        </w:rPr>
        <w:t>NHSBSA processes</w:t>
      </w:r>
      <w:r w:rsidR="00E425A0" w:rsidRPr="005A1511">
        <w:rPr>
          <w:rFonts w:ascii="Arial" w:hAnsi="Arial" w:cs="Arial"/>
        </w:rPr>
        <w:t xml:space="preserve"> that are used in prescription processing</w:t>
      </w:r>
      <w:r w:rsidR="009461E7" w:rsidRPr="005A1511">
        <w:rPr>
          <w:rFonts w:ascii="Arial" w:hAnsi="Arial" w:cs="Arial"/>
        </w:rPr>
        <w:t xml:space="preserve">.  </w:t>
      </w:r>
    </w:p>
    <w:p w14:paraId="1C7A29F3" w14:textId="070FAFD5" w:rsidR="00D20D1F" w:rsidRPr="005A1511" w:rsidRDefault="00BF014C" w:rsidP="00D20D1F">
      <w:pPr>
        <w:rPr>
          <w:rFonts w:ascii="Arial" w:hAnsi="Arial" w:cs="Arial"/>
        </w:rPr>
      </w:pPr>
      <w:r w:rsidRPr="005A1511">
        <w:rPr>
          <w:rFonts w:ascii="Arial" w:hAnsi="Arial" w:cs="Arial"/>
        </w:rPr>
        <w:t>With the exception of the FP10 graph in the Uncomplicated UTI Pathway comparator</w:t>
      </w:r>
      <w:r w:rsidR="00B5518B" w:rsidRPr="005A1511">
        <w:rPr>
          <w:rFonts w:ascii="Arial" w:hAnsi="Arial" w:cs="Arial"/>
        </w:rPr>
        <w:t>,</w:t>
      </w:r>
      <w:r w:rsidRPr="005A1511">
        <w:rPr>
          <w:rFonts w:ascii="Arial" w:hAnsi="Arial" w:cs="Arial"/>
        </w:rPr>
        <w:t xml:space="preserve"> t</w:t>
      </w:r>
      <w:r w:rsidR="009461E7" w:rsidRPr="005A1511">
        <w:rPr>
          <w:rFonts w:ascii="Arial" w:hAnsi="Arial" w:cs="Arial"/>
        </w:rPr>
        <w:t xml:space="preserve">he dashboard reports the data as </w:t>
      </w:r>
      <w:r w:rsidR="00386429" w:rsidRPr="005A1511">
        <w:rPr>
          <w:rFonts w:ascii="Arial" w:hAnsi="Arial" w:cs="Arial"/>
        </w:rPr>
        <w:t>submitted for payment via the Manage Your Service (MYS) platform</w:t>
      </w:r>
      <w:r w:rsidR="00DF3B8A" w:rsidRPr="005A1511">
        <w:rPr>
          <w:rFonts w:ascii="Arial" w:hAnsi="Arial" w:cs="Arial"/>
        </w:rPr>
        <w:t xml:space="preserve">, </w:t>
      </w:r>
      <w:r w:rsidR="00B5518B" w:rsidRPr="005A1511">
        <w:rPr>
          <w:rFonts w:ascii="Arial" w:hAnsi="Arial" w:cs="Arial"/>
        </w:rPr>
        <w:t xml:space="preserve">and contains several known issues and limitations.  Please refer to </w:t>
      </w:r>
      <w:hyperlink w:anchor="_Appendix_2:_Limitations" w:history="1">
        <w:r w:rsidR="00B5518B" w:rsidRPr="005A1511">
          <w:rPr>
            <w:rStyle w:val="Hyperlink"/>
            <w:rFonts w:ascii="Arial" w:hAnsi="Arial" w:cs="Arial"/>
          </w:rPr>
          <w:t>Appendix 2: Limitations and known issues</w:t>
        </w:r>
      </w:hyperlink>
      <w:r w:rsidR="00B5518B" w:rsidRPr="005A1511">
        <w:rPr>
          <w:rFonts w:ascii="Arial" w:hAnsi="Arial" w:cs="Arial"/>
        </w:rPr>
        <w:t xml:space="preserve"> for further information on Pharmacy First data quality.</w:t>
      </w:r>
    </w:p>
    <w:p w14:paraId="43489213" w14:textId="4770B92F" w:rsidR="00B5518B" w:rsidRPr="005A1511" w:rsidRDefault="00B5518B" w:rsidP="00D20D1F">
      <w:pPr>
        <w:rPr>
          <w:rFonts w:ascii="Arial" w:hAnsi="Arial" w:cs="Arial"/>
        </w:rPr>
      </w:pPr>
      <w:r w:rsidRPr="005A1511">
        <w:rPr>
          <w:rFonts w:ascii="Arial" w:hAnsi="Arial" w:cs="Arial"/>
        </w:rPr>
        <w:t>For FP10 data presented in the Uncomplicated UTI Pathway</w:t>
      </w:r>
      <w:r w:rsidR="006C564C" w:rsidRPr="005A1511">
        <w:rPr>
          <w:rFonts w:ascii="Arial" w:hAnsi="Arial" w:cs="Arial"/>
        </w:rPr>
        <w:t xml:space="preserve"> only</w:t>
      </w:r>
      <w:r w:rsidRPr="005A1511">
        <w:rPr>
          <w:rFonts w:ascii="Arial" w:hAnsi="Arial" w:cs="Arial"/>
        </w:rPr>
        <w:t>, the following statement applies:</w:t>
      </w:r>
    </w:p>
    <w:p w14:paraId="7C75ED6F" w14:textId="12F3FB12" w:rsidR="00AD480B" w:rsidRPr="005A1511" w:rsidRDefault="00AD480B" w:rsidP="00AD480B">
      <w:pPr>
        <w:spacing w:before="240" w:after="0"/>
        <w:rPr>
          <w:rFonts w:ascii="Arial" w:eastAsia="Arial" w:hAnsi="Arial" w:cs="Arial"/>
          <w:color w:val="auto"/>
        </w:rPr>
      </w:pPr>
      <w:r w:rsidRPr="005A1511">
        <w:rPr>
          <w:rFonts w:ascii="Arial" w:eastAsia="Arial" w:hAnsi="Arial" w:cs="Arial"/>
          <w:color w:val="auto"/>
        </w:rPr>
        <w:t xml:space="preserve">NHS Prescription Services have their own internal quality process to assure the data they provide matches what was originally submitted as part of the prescription processing activity. Some processes are complex and manual therefore there may be random inaccuracies in capturing prescription information which are then reflected in the data, but checks are in place to reduce the chance of issues occurring. The processes operate to a number of key performance </w:t>
      </w:r>
      <w:r w:rsidR="004155E4" w:rsidRPr="005A1511">
        <w:rPr>
          <w:rFonts w:ascii="Arial" w:eastAsia="Arial" w:hAnsi="Arial" w:cs="Arial"/>
          <w:color w:val="auto"/>
        </w:rPr>
        <w:t>comparator</w:t>
      </w:r>
      <w:r w:rsidRPr="005A1511">
        <w:rPr>
          <w:rFonts w:ascii="Arial" w:eastAsia="Arial" w:hAnsi="Arial" w:cs="Arial"/>
          <w:color w:val="auto"/>
        </w:rPr>
        <w:t>s, one of which is Prescription Information Accuracy, the target being 99.85%</w:t>
      </w:r>
      <w:r w:rsidR="00991A31" w:rsidRPr="005A1511">
        <w:rPr>
          <w:rFonts w:ascii="Arial" w:eastAsia="Arial" w:hAnsi="Arial" w:cs="Arial"/>
          <w:color w:val="auto"/>
        </w:rPr>
        <w:t xml:space="preserve"> accuracy</w:t>
      </w:r>
      <w:r w:rsidRPr="005A1511">
        <w:rPr>
          <w:rFonts w:ascii="Arial" w:eastAsia="Arial" w:hAnsi="Arial" w:cs="Arial"/>
          <w:color w:val="auto"/>
        </w:rPr>
        <w:t xml:space="preserve">; </w:t>
      </w:r>
      <w:r w:rsidR="00991A31" w:rsidRPr="005A1511">
        <w:rPr>
          <w:rFonts w:ascii="Arial" w:eastAsia="Arial" w:hAnsi="Arial" w:cs="Arial"/>
          <w:color w:val="auto"/>
        </w:rPr>
        <w:t>for</w:t>
      </w:r>
      <w:r w:rsidRPr="005A1511">
        <w:rPr>
          <w:rFonts w:ascii="Arial" w:eastAsia="Arial" w:hAnsi="Arial" w:cs="Arial"/>
          <w:color w:val="auto"/>
        </w:rPr>
        <w:t xml:space="preserve"> April 202</w:t>
      </w:r>
      <w:r w:rsidR="00991A31" w:rsidRPr="005A1511">
        <w:rPr>
          <w:rFonts w:ascii="Arial" w:eastAsia="Arial" w:hAnsi="Arial" w:cs="Arial"/>
          <w:color w:val="auto"/>
        </w:rPr>
        <w:t>4</w:t>
      </w:r>
      <w:r w:rsidRPr="005A1511">
        <w:rPr>
          <w:rFonts w:ascii="Arial" w:eastAsia="Arial" w:hAnsi="Arial" w:cs="Arial"/>
          <w:color w:val="auto"/>
        </w:rPr>
        <w:t xml:space="preserve"> prescribing</w:t>
      </w:r>
      <w:r w:rsidR="00991A31" w:rsidRPr="005A1511">
        <w:rPr>
          <w:rFonts w:ascii="Arial" w:eastAsia="Arial" w:hAnsi="Arial" w:cs="Arial"/>
          <w:color w:val="auto"/>
        </w:rPr>
        <w:t xml:space="preserve"> (the most recent month </w:t>
      </w:r>
      <w:r w:rsidR="006852FF" w:rsidRPr="005A1511">
        <w:rPr>
          <w:rFonts w:ascii="Arial" w:eastAsia="Arial" w:hAnsi="Arial" w:cs="Arial"/>
          <w:color w:val="auto"/>
        </w:rPr>
        <w:t>measured at the time of writing)</w:t>
      </w:r>
      <w:r w:rsidRPr="005A1511">
        <w:rPr>
          <w:rFonts w:ascii="Arial" w:eastAsia="Arial" w:hAnsi="Arial" w:cs="Arial"/>
          <w:color w:val="auto"/>
        </w:rPr>
        <w:t>, the accuracy level achieved over the previous 12 month rolling period was 99.</w:t>
      </w:r>
      <w:r w:rsidR="006852FF" w:rsidRPr="005A1511">
        <w:rPr>
          <w:rFonts w:ascii="Arial" w:eastAsia="Arial" w:hAnsi="Arial" w:cs="Arial"/>
          <w:color w:val="auto"/>
        </w:rPr>
        <w:t>90</w:t>
      </w:r>
      <w:r w:rsidRPr="005A1511">
        <w:rPr>
          <w:rFonts w:ascii="Arial" w:eastAsia="Arial" w:hAnsi="Arial" w:cs="Arial"/>
          <w:color w:val="auto"/>
        </w:rPr>
        <w:t>%</w:t>
      </w:r>
      <w:r w:rsidR="004F12BA" w:rsidRPr="005A1511">
        <w:rPr>
          <w:rStyle w:val="FootnoteReference"/>
          <w:rFonts w:ascii="Arial" w:eastAsia="Arial" w:hAnsi="Arial" w:cs="Arial"/>
          <w:color w:val="auto"/>
        </w:rPr>
        <w:footnoteReference w:id="3"/>
      </w:r>
      <w:r w:rsidRPr="005A1511">
        <w:rPr>
          <w:rFonts w:ascii="Arial" w:eastAsia="Arial" w:hAnsi="Arial" w:cs="Arial"/>
          <w:color w:val="auto"/>
        </w:rPr>
        <w:t>.</w:t>
      </w:r>
    </w:p>
    <w:p w14:paraId="59D57FDD" w14:textId="08CF6D2B" w:rsidR="00C75FA5" w:rsidRPr="005A1511" w:rsidRDefault="00C75FA5" w:rsidP="003C251E">
      <w:pPr>
        <w:pStyle w:val="Heading1"/>
      </w:pPr>
      <w:bookmarkStart w:id="20" w:name="_26in1rg" w:colFirst="0" w:colLast="0"/>
      <w:bookmarkStart w:id="21" w:name="_Toc189144432"/>
      <w:bookmarkEnd w:id="20"/>
      <w:r w:rsidRPr="005A1511">
        <w:t>Dashboard availability and redaction of small numbers</w:t>
      </w:r>
      <w:bookmarkEnd w:id="21"/>
    </w:p>
    <w:p w14:paraId="179F4E29" w14:textId="77777777" w:rsidR="003C251E" w:rsidRPr="005A1511" w:rsidRDefault="003C251E" w:rsidP="003C251E">
      <w:pPr>
        <w:spacing w:after="0"/>
        <w:rPr>
          <w:rFonts w:ascii="Arial" w:hAnsi="Arial" w:cs="Arial"/>
        </w:rPr>
      </w:pPr>
    </w:p>
    <w:p w14:paraId="40B1C866" w14:textId="6541CFA7" w:rsidR="00E71615" w:rsidRPr="005A1511" w:rsidRDefault="00C75FA5" w:rsidP="00C75FA5">
      <w:pPr>
        <w:rPr>
          <w:rFonts w:ascii="Arial" w:hAnsi="Arial" w:cs="Arial"/>
          <w:color w:val="C00000"/>
        </w:rPr>
      </w:pPr>
      <w:r w:rsidRPr="005A1511">
        <w:rPr>
          <w:rFonts w:ascii="Arial" w:hAnsi="Arial" w:cs="Arial"/>
          <w:color w:val="auto"/>
        </w:rPr>
        <w:t xml:space="preserve">The </w:t>
      </w:r>
      <w:r w:rsidR="004155E4" w:rsidRPr="005A1511">
        <w:rPr>
          <w:rFonts w:ascii="Arial" w:hAnsi="Arial" w:cs="Arial"/>
          <w:color w:val="auto"/>
        </w:rPr>
        <w:t>comparator</w:t>
      </w:r>
      <w:r w:rsidRPr="005A1511">
        <w:rPr>
          <w:rFonts w:ascii="Arial" w:hAnsi="Arial" w:cs="Arial"/>
          <w:color w:val="auto"/>
        </w:rPr>
        <w:t>s are available on ePACT2 (NHS controlled access</w:t>
      </w:r>
      <w:r w:rsidR="000B455B" w:rsidRPr="005A1511">
        <w:rPr>
          <w:rFonts w:ascii="Arial" w:hAnsi="Arial" w:cs="Arial"/>
          <w:color w:val="auto"/>
        </w:rPr>
        <w:t xml:space="preserve">), and </w:t>
      </w:r>
      <w:r w:rsidRPr="005A1511">
        <w:rPr>
          <w:rFonts w:ascii="Arial" w:hAnsi="Arial" w:cs="Arial"/>
          <w:color w:val="auto"/>
        </w:rPr>
        <w:t xml:space="preserve">include </w:t>
      </w:r>
      <w:r w:rsidR="00E96BBC" w:rsidRPr="005A1511">
        <w:rPr>
          <w:rFonts w:ascii="Arial" w:hAnsi="Arial" w:cs="Arial"/>
          <w:color w:val="auto"/>
        </w:rPr>
        <w:t>n</w:t>
      </w:r>
      <w:r w:rsidRPr="005A1511">
        <w:rPr>
          <w:rFonts w:ascii="Arial" w:hAnsi="Arial" w:cs="Arial"/>
          <w:color w:val="auto"/>
        </w:rPr>
        <w:t xml:space="preserve">ational, </w:t>
      </w:r>
      <w:r w:rsidR="00E96BBC" w:rsidRPr="005A1511">
        <w:rPr>
          <w:rFonts w:ascii="Arial" w:hAnsi="Arial" w:cs="Arial"/>
          <w:color w:val="auto"/>
        </w:rPr>
        <w:t>NSH r</w:t>
      </w:r>
      <w:r w:rsidRPr="005A1511">
        <w:rPr>
          <w:rFonts w:ascii="Arial" w:hAnsi="Arial" w:cs="Arial"/>
          <w:color w:val="auto"/>
        </w:rPr>
        <w:t>egion</w:t>
      </w:r>
      <w:r w:rsidR="00385CC3" w:rsidRPr="005A1511">
        <w:rPr>
          <w:rFonts w:ascii="Arial" w:hAnsi="Arial" w:cs="Arial"/>
          <w:color w:val="auto"/>
        </w:rPr>
        <w:t>, ICB</w:t>
      </w:r>
      <w:r w:rsidR="00823E71" w:rsidRPr="005A1511">
        <w:rPr>
          <w:rFonts w:ascii="Arial" w:hAnsi="Arial" w:cs="Arial"/>
          <w:color w:val="auto"/>
        </w:rPr>
        <w:t xml:space="preserve"> and </w:t>
      </w:r>
      <w:r w:rsidR="00E96BBC" w:rsidRPr="005A1511">
        <w:rPr>
          <w:rFonts w:ascii="Arial" w:hAnsi="Arial" w:cs="Arial"/>
          <w:color w:val="auto"/>
        </w:rPr>
        <w:t>c</w:t>
      </w:r>
      <w:r w:rsidR="00823E71" w:rsidRPr="005A1511">
        <w:rPr>
          <w:rFonts w:ascii="Arial" w:hAnsi="Arial" w:cs="Arial"/>
          <w:color w:val="auto"/>
        </w:rPr>
        <w:t xml:space="preserve">ommunity </w:t>
      </w:r>
      <w:r w:rsidR="00E96BBC" w:rsidRPr="005A1511">
        <w:rPr>
          <w:rFonts w:ascii="Arial" w:hAnsi="Arial" w:cs="Arial"/>
          <w:color w:val="auto"/>
        </w:rPr>
        <w:t>p</w:t>
      </w:r>
      <w:r w:rsidR="00823E71" w:rsidRPr="005A1511">
        <w:rPr>
          <w:rFonts w:ascii="Arial" w:hAnsi="Arial" w:cs="Arial"/>
          <w:color w:val="auto"/>
        </w:rPr>
        <w:t xml:space="preserve">harmacy level </w:t>
      </w:r>
      <w:r w:rsidR="00C531EB" w:rsidRPr="005A1511">
        <w:rPr>
          <w:rFonts w:ascii="Arial" w:hAnsi="Arial" w:cs="Arial"/>
          <w:color w:val="auto"/>
        </w:rPr>
        <w:t>data</w:t>
      </w:r>
      <w:r w:rsidR="00450D0C" w:rsidRPr="005A1511">
        <w:rPr>
          <w:rFonts w:ascii="Arial" w:hAnsi="Arial" w:cs="Arial"/>
          <w:color w:val="auto"/>
        </w:rPr>
        <w:t xml:space="preserve">.  No data is publicly available, and as the data is presented either at </w:t>
      </w:r>
      <w:r w:rsidR="00D93E67" w:rsidRPr="005A1511">
        <w:rPr>
          <w:rFonts w:ascii="Arial" w:hAnsi="Arial" w:cs="Arial"/>
          <w:color w:val="auto"/>
        </w:rPr>
        <w:t>higher levels of</w:t>
      </w:r>
      <w:r w:rsidR="00450D0C" w:rsidRPr="005A1511">
        <w:rPr>
          <w:rFonts w:ascii="Arial" w:hAnsi="Arial" w:cs="Arial"/>
          <w:color w:val="auto"/>
        </w:rPr>
        <w:t xml:space="preserve"> geographical aggregation or, in the case of </w:t>
      </w:r>
      <w:r w:rsidR="00E96BBC" w:rsidRPr="005A1511">
        <w:rPr>
          <w:rFonts w:ascii="Arial" w:hAnsi="Arial" w:cs="Arial"/>
          <w:color w:val="auto"/>
        </w:rPr>
        <w:t>c</w:t>
      </w:r>
      <w:r w:rsidR="00450D0C" w:rsidRPr="005A1511">
        <w:rPr>
          <w:rFonts w:ascii="Arial" w:hAnsi="Arial" w:cs="Arial"/>
          <w:color w:val="auto"/>
        </w:rPr>
        <w:t xml:space="preserve">ommunity </w:t>
      </w:r>
      <w:r w:rsidR="00E96BBC" w:rsidRPr="005A1511">
        <w:rPr>
          <w:rFonts w:ascii="Arial" w:hAnsi="Arial" w:cs="Arial"/>
          <w:color w:val="auto"/>
        </w:rPr>
        <w:t>p</w:t>
      </w:r>
      <w:r w:rsidR="00450D0C" w:rsidRPr="005A1511">
        <w:rPr>
          <w:rFonts w:ascii="Arial" w:hAnsi="Arial" w:cs="Arial"/>
          <w:color w:val="auto"/>
        </w:rPr>
        <w:t>harmacy</w:t>
      </w:r>
      <w:r w:rsidR="00E96BBC" w:rsidRPr="005A1511">
        <w:rPr>
          <w:rFonts w:ascii="Arial" w:hAnsi="Arial" w:cs="Arial"/>
          <w:color w:val="auto"/>
        </w:rPr>
        <w:t xml:space="preserve"> level</w:t>
      </w:r>
      <w:r w:rsidR="00450D0C" w:rsidRPr="005A1511">
        <w:rPr>
          <w:rFonts w:ascii="Arial" w:hAnsi="Arial" w:cs="Arial"/>
          <w:color w:val="auto"/>
        </w:rPr>
        <w:t xml:space="preserve"> datasets</w:t>
      </w:r>
      <w:r w:rsidR="00B36FA3" w:rsidRPr="005A1511">
        <w:rPr>
          <w:rFonts w:ascii="Arial" w:hAnsi="Arial" w:cs="Arial"/>
          <w:color w:val="auto"/>
        </w:rPr>
        <w:t xml:space="preserve">, no correlation can be made between a person and any pharmacy they might visit, no </w:t>
      </w:r>
      <w:r w:rsidR="00B267F4" w:rsidRPr="005A1511">
        <w:rPr>
          <w:rFonts w:ascii="Arial" w:hAnsi="Arial" w:cs="Arial"/>
          <w:color w:val="auto"/>
        </w:rPr>
        <w:t>statistical disclosure controls have been applied to this dashboard.</w:t>
      </w:r>
      <w:r w:rsidR="00B36FA3" w:rsidRPr="005A1511">
        <w:rPr>
          <w:rFonts w:ascii="Arial" w:hAnsi="Arial" w:cs="Arial"/>
          <w:color w:val="auto"/>
        </w:rPr>
        <w:t xml:space="preserve"> </w:t>
      </w:r>
      <w:r w:rsidR="00E71615" w:rsidRPr="005A1511">
        <w:rPr>
          <w:rFonts w:ascii="Arial" w:hAnsi="Arial" w:cs="Arial"/>
          <w:color w:val="auto"/>
        </w:rPr>
        <w:t xml:space="preserve"> </w:t>
      </w:r>
    </w:p>
    <w:p w14:paraId="0E8E8C59" w14:textId="7423F9E0" w:rsidR="00810077" w:rsidRPr="005A1511" w:rsidRDefault="00855C24" w:rsidP="00971788">
      <w:pPr>
        <w:pStyle w:val="Heading1"/>
        <w:spacing w:before="0"/>
      </w:pPr>
      <w:bookmarkStart w:id="22" w:name="_Toc189144433"/>
      <w:bookmarkEnd w:id="1"/>
      <w:r w:rsidRPr="005A1511">
        <w:t>Data Source</w:t>
      </w:r>
      <w:bookmarkEnd w:id="22"/>
      <w:r w:rsidRPr="005A1511">
        <w:t xml:space="preserve"> </w:t>
      </w:r>
    </w:p>
    <w:p w14:paraId="57E791AF" w14:textId="3C4C944A" w:rsidR="000718AD" w:rsidRPr="005A1511" w:rsidRDefault="000718AD" w:rsidP="000718AD">
      <w:pPr>
        <w:spacing w:before="240"/>
        <w:rPr>
          <w:rFonts w:ascii="Arial" w:hAnsi="Arial" w:cs="Arial"/>
          <w:color w:val="auto"/>
        </w:rPr>
      </w:pPr>
      <w:r w:rsidRPr="005A1511">
        <w:rPr>
          <w:rFonts w:ascii="Arial" w:hAnsi="Arial" w:cs="Arial"/>
          <w:color w:val="auto"/>
        </w:rPr>
        <w:t>This data product is provided by NHS Business Services Authority.  The information contained herein is based on data from the NHSBSA</w:t>
      </w:r>
      <w:r w:rsidR="005333E0" w:rsidRPr="005A1511">
        <w:rPr>
          <w:rFonts w:ascii="Arial" w:hAnsi="Arial" w:cs="Arial"/>
          <w:color w:val="auto"/>
        </w:rPr>
        <w:t>’</w:t>
      </w:r>
      <w:r w:rsidRPr="005A1511">
        <w:rPr>
          <w:rFonts w:ascii="Arial" w:hAnsi="Arial" w:cs="Arial"/>
          <w:color w:val="auto"/>
        </w:rPr>
        <w:t xml:space="preserve">s data warehouse system which contains </w:t>
      </w:r>
      <w:r w:rsidR="00932492" w:rsidRPr="005A1511">
        <w:rPr>
          <w:rFonts w:ascii="Arial" w:hAnsi="Arial" w:cs="Arial"/>
          <w:color w:val="auto"/>
        </w:rPr>
        <w:t xml:space="preserve">data on all Pharmacy First </w:t>
      </w:r>
      <w:r w:rsidR="00331215" w:rsidRPr="005A1511">
        <w:rPr>
          <w:rFonts w:ascii="Arial" w:hAnsi="Arial" w:cs="Arial"/>
          <w:color w:val="auto"/>
        </w:rPr>
        <w:t>consultation</w:t>
      </w:r>
      <w:r w:rsidR="00932492" w:rsidRPr="005A1511">
        <w:rPr>
          <w:rFonts w:ascii="Arial" w:hAnsi="Arial" w:cs="Arial"/>
          <w:color w:val="auto"/>
        </w:rPr>
        <w:t xml:space="preserve"> activity, </w:t>
      </w:r>
      <w:r w:rsidR="00103EE6" w:rsidRPr="005A1511">
        <w:rPr>
          <w:rFonts w:ascii="Arial" w:hAnsi="Arial" w:cs="Arial"/>
          <w:color w:val="auto"/>
        </w:rPr>
        <w:t xml:space="preserve">and </w:t>
      </w:r>
      <w:r w:rsidRPr="005A1511">
        <w:rPr>
          <w:rFonts w:ascii="Arial" w:hAnsi="Arial" w:cs="Arial"/>
          <w:color w:val="auto"/>
        </w:rPr>
        <w:t>all NHS prescription data, with the exception of prescriptions which are dispensed in prisons, hospitals and private prescriptions.</w:t>
      </w:r>
    </w:p>
    <w:p w14:paraId="0DAAE74F" w14:textId="77777777" w:rsidR="00810077" w:rsidRPr="005A1511" w:rsidRDefault="00810077">
      <w:pPr>
        <w:spacing w:after="0"/>
        <w:rPr>
          <w:rFonts w:ascii="Arial" w:eastAsia="Arial" w:hAnsi="Arial" w:cs="Arial"/>
          <w:color w:val="auto"/>
          <w:sz w:val="24"/>
          <w:szCs w:val="24"/>
        </w:rPr>
      </w:pPr>
      <w:bookmarkStart w:id="23" w:name="_2s8eyo1" w:colFirst="0" w:colLast="0"/>
      <w:bookmarkEnd w:id="23"/>
    </w:p>
    <w:p w14:paraId="1D69B6F1" w14:textId="3E456E4D" w:rsidR="00971788" w:rsidRPr="005A1511" w:rsidRDefault="00855C24" w:rsidP="00971788">
      <w:pPr>
        <w:pStyle w:val="Heading1"/>
        <w:spacing w:before="0"/>
        <w:rPr>
          <w:color w:val="auto"/>
        </w:rPr>
      </w:pPr>
      <w:bookmarkStart w:id="24" w:name="_17dp8vu" w:colFirst="0" w:colLast="0"/>
      <w:bookmarkStart w:id="25" w:name="_Toc189144434"/>
      <w:bookmarkEnd w:id="24"/>
      <w:r w:rsidRPr="005A1511">
        <w:rPr>
          <w:color w:val="auto"/>
        </w:rPr>
        <w:t>Data owner &amp; contact details</w:t>
      </w:r>
      <w:bookmarkEnd w:id="25"/>
      <w:r w:rsidRPr="005A1511">
        <w:rPr>
          <w:color w:val="auto"/>
        </w:rPr>
        <w:t xml:space="preserve"> </w:t>
      </w:r>
    </w:p>
    <w:p w14:paraId="6FA9837E" w14:textId="77777777" w:rsidR="00F2453A" w:rsidRPr="005A1511" w:rsidRDefault="0093557C">
      <w:pPr>
        <w:spacing w:after="0"/>
        <w:rPr>
          <w:rFonts w:ascii="Arial" w:hAnsi="Arial" w:cs="Arial"/>
          <w:color w:val="auto"/>
        </w:rPr>
      </w:pPr>
      <w:r w:rsidRPr="005A1511">
        <w:rPr>
          <w:rFonts w:ascii="Arial" w:hAnsi="Arial" w:cs="Arial"/>
          <w:color w:val="auto"/>
        </w:rPr>
        <w:t xml:space="preserve">This data product is managed by </w:t>
      </w:r>
      <w:r w:rsidR="00971788" w:rsidRPr="005A1511">
        <w:rPr>
          <w:rFonts w:ascii="Arial" w:hAnsi="Arial" w:cs="Arial"/>
          <w:color w:val="auto"/>
        </w:rPr>
        <w:t>NHS Business Services Authority Information Services</w:t>
      </w:r>
      <w:r w:rsidR="00F2453A" w:rsidRPr="005A1511">
        <w:rPr>
          <w:rFonts w:ascii="Arial" w:hAnsi="Arial" w:cs="Arial"/>
          <w:color w:val="auto"/>
        </w:rPr>
        <w:t xml:space="preserve">. </w:t>
      </w:r>
    </w:p>
    <w:p w14:paraId="3F2FC9AD" w14:textId="77777777" w:rsidR="00F2453A" w:rsidRPr="005A1511" w:rsidRDefault="00F2453A">
      <w:pPr>
        <w:spacing w:after="0"/>
        <w:rPr>
          <w:rFonts w:ascii="Arial" w:hAnsi="Arial" w:cs="Arial"/>
          <w:color w:val="auto"/>
        </w:rPr>
      </w:pPr>
    </w:p>
    <w:p w14:paraId="6E3CB1DE" w14:textId="552673A8" w:rsidR="00971788" w:rsidRPr="005A1511" w:rsidRDefault="00F2453A">
      <w:pPr>
        <w:spacing w:after="0"/>
        <w:rPr>
          <w:rFonts w:ascii="Arial" w:hAnsi="Arial" w:cs="Arial"/>
          <w:color w:val="auto"/>
        </w:rPr>
      </w:pPr>
      <w:r w:rsidRPr="005A1511">
        <w:rPr>
          <w:rFonts w:ascii="Arial" w:hAnsi="Arial" w:cs="Arial"/>
          <w:color w:val="auto"/>
        </w:rPr>
        <w:t>For any queries</w:t>
      </w:r>
      <w:r w:rsidR="00971788" w:rsidRPr="005A1511">
        <w:rPr>
          <w:rFonts w:ascii="Arial" w:hAnsi="Arial" w:cs="Arial"/>
          <w:color w:val="auto"/>
        </w:rPr>
        <w:t xml:space="preserve"> email </w:t>
      </w:r>
      <w:hyperlink r:id="rId17" w:history="1">
        <w:r w:rsidRPr="005A1511">
          <w:rPr>
            <w:rStyle w:val="Hyperlink"/>
            <w:rFonts w:ascii="Arial" w:hAnsi="Arial" w:cs="Arial"/>
            <w:color w:val="0070C0"/>
          </w:rPr>
          <w:t>DataServicesSupport@nhsbsa.nhs.uk</w:t>
        </w:r>
      </w:hyperlink>
      <w:r w:rsidRPr="005A1511">
        <w:rPr>
          <w:rFonts w:ascii="Arial" w:hAnsi="Arial" w:cs="Arial"/>
          <w:color w:val="auto"/>
        </w:rPr>
        <w:t>.</w:t>
      </w:r>
    </w:p>
    <w:p w14:paraId="4F274121" w14:textId="77777777" w:rsidR="00F2453A" w:rsidRPr="005A1511" w:rsidRDefault="00F2453A">
      <w:pPr>
        <w:spacing w:after="0"/>
        <w:rPr>
          <w:rFonts w:ascii="Arial" w:eastAsia="Arial" w:hAnsi="Arial" w:cs="Arial"/>
          <w:b/>
          <w:sz w:val="24"/>
          <w:szCs w:val="24"/>
        </w:rPr>
      </w:pPr>
    </w:p>
    <w:p w14:paraId="4A033747" w14:textId="4A5A2744" w:rsidR="0058687D" w:rsidRPr="005A1511" w:rsidRDefault="0058687D" w:rsidP="00971788">
      <w:pPr>
        <w:pStyle w:val="Heading1"/>
        <w:spacing w:before="0"/>
      </w:pPr>
      <w:bookmarkStart w:id="26" w:name="_Toc189144435"/>
      <w:r w:rsidRPr="005A1511">
        <w:t>Frequency of updates</w:t>
      </w:r>
      <w:bookmarkEnd w:id="26"/>
    </w:p>
    <w:p w14:paraId="5A9E1537" w14:textId="7421C3DC" w:rsidR="00810077" w:rsidRPr="005A1511" w:rsidRDefault="00971788" w:rsidP="0058687D">
      <w:pPr>
        <w:rPr>
          <w:rFonts w:ascii="Arial" w:hAnsi="Arial" w:cs="Arial"/>
          <w:color w:val="auto"/>
        </w:rPr>
      </w:pPr>
      <w:r w:rsidRPr="005A1511">
        <w:rPr>
          <w:rFonts w:ascii="Arial" w:hAnsi="Arial" w:cs="Arial"/>
          <w:color w:val="auto"/>
        </w:rPr>
        <w:t xml:space="preserve">The data </w:t>
      </w:r>
      <w:r w:rsidR="0058687D" w:rsidRPr="005A1511">
        <w:rPr>
          <w:rFonts w:ascii="Arial" w:hAnsi="Arial" w:cs="Arial"/>
          <w:color w:val="auto"/>
        </w:rPr>
        <w:t xml:space="preserve">for this dashboard </w:t>
      </w:r>
      <w:r w:rsidRPr="005A1511">
        <w:rPr>
          <w:rFonts w:ascii="Arial" w:hAnsi="Arial" w:cs="Arial"/>
          <w:color w:val="auto"/>
        </w:rPr>
        <w:t>is r</w:t>
      </w:r>
      <w:r w:rsidR="00855C24" w:rsidRPr="005A1511">
        <w:rPr>
          <w:rFonts w:ascii="Arial" w:hAnsi="Arial" w:cs="Arial"/>
          <w:color w:val="auto"/>
        </w:rPr>
        <w:t xml:space="preserve">efreshed </w:t>
      </w:r>
      <w:r w:rsidR="00F2453A" w:rsidRPr="005A1511">
        <w:rPr>
          <w:rFonts w:ascii="Arial" w:hAnsi="Arial" w:cs="Arial"/>
          <w:color w:val="auto"/>
        </w:rPr>
        <w:t>monthly</w:t>
      </w:r>
      <w:r w:rsidRPr="005A1511">
        <w:rPr>
          <w:rFonts w:ascii="Arial" w:hAnsi="Arial" w:cs="Arial"/>
          <w:color w:val="auto"/>
        </w:rPr>
        <w:t>.</w:t>
      </w:r>
    </w:p>
    <w:p w14:paraId="60ACAAE2" w14:textId="54F4459F" w:rsidR="008055BE" w:rsidRPr="005A1511" w:rsidRDefault="004155E4" w:rsidP="00F96B0E">
      <w:pPr>
        <w:pStyle w:val="Heading1"/>
      </w:pPr>
      <w:bookmarkStart w:id="27" w:name="_3rdcrjn" w:colFirst="0" w:colLast="0"/>
      <w:bookmarkStart w:id="28" w:name="_yh3frtob5kmq" w:colFirst="0" w:colLast="0"/>
      <w:bookmarkStart w:id="29" w:name="_Toc26514182"/>
      <w:bookmarkStart w:id="30" w:name="_Toc189144436"/>
      <w:bookmarkEnd w:id="27"/>
      <w:bookmarkEnd w:id="28"/>
      <w:r w:rsidRPr="005A1511">
        <w:lastRenderedPageBreak/>
        <w:t>Comparator</w:t>
      </w:r>
      <w:r w:rsidR="00855C24" w:rsidRPr="005A1511">
        <w:t xml:space="preserve"> Specifications</w:t>
      </w:r>
      <w:bookmarkEnd w:id="29"/>
      <w:bookmarkEnd w:id="30"/>
    </w:p>
    <w:p w14:paraId="2AD8C1BC" w14:textId="06763F8A" w:rsidR="00A067ED" w:rsidRPr="005A1511" w:rsidRDefault="00AA147D" w:rsidP="00CC56ED">
      <w:pPr>
        <w:pStyle w:val="Heading2"/>
      </w:pPr>
      <w:bookmarkStart w:id="31" w:name="_Comparator:_Population_Access"/>
      <w:bookmarkStart w:id="32" w:name="_Toc189144437"/>
      <w:bookmarkEnd w:id="31"/>
      <w:r w:rsidRPr="005A1511">
        <w:t xml:space="preserve">Comparator: </w:t>
      </w:r>
      <w:r w:rsidR="00103EE6" w:rsidRPr="005A1511">
        <w:t>Population Access</w:t>
      </w:r>
      <w:bookmarkEnd w:id="32"/>
    </w:p>
    <w:p w14:paraId="6C554367" w14:textId="77777777" w:rsidR="00971788" w:rsidRPr="005A1511" w:rsidRDefault="00971788" w:rsidP="00A067ED">
      <w:pPr>
        <w:rPr>
          <w:rFonts w:ascii="Arial" w:hAnsi="Arial" w:cs="Arial"/>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0917B7" w:rsidRPr="005A1511" w14:paraId="46AF10B3" w14:textId="77777777" w:rsidTr="007044A0">
        <w:tc>
          <w:tcPr>
            <w:tcW w:w="9889" w:type="dxa"/>
            <w:gridSpan w:val="3"/>
            <w:shd w:val="clear" w:color="auto" w:fill="D9D9D9"/>
          </w:tcPr>
          <w:p w14:paraId="77C47450" w14:textId="1E78A49F" w:rsidR="000917B7" w:rsidRPr="005A1511" w:rsidRDefault="000917B7" w:rsidP="007044A0">
            <w:pPr>
              <w:spacing w:line="240" w:lineRule="auto"/>
              <w:rPr>
                <w:rFonts w:ascii="Arial" w:eastAsia="Arial" w:hAnsi="Arial" w:cs="Arial"/>
                <w:color w:val="auto"/>
                <w:sz w:val="18"/>
                <w:szCs w:val="18"/>
              </w:rPr>
            </w:pPr>
            <w:r w:rsidRPr="005A1511">
              <w:rPr>
                <w:rFonts w:ascii="Arial" w:eastAsia="Arial" w:hAnsi="Arial" w:cs="Arial"/>
                <w:b/>
                <w:color w:val="auto"/>
                <w:sz w:val="18"/>
                <w:szCs w:val="18"/>
              </w:rPr>
              <w:t>Section 1: Introduction / Over</w:t>
            </w:r>
            <w:r w:rsidR="009832CA" w:rsidRPr="005A1511">
              <w:rPr>
                <w:rFonts w:ascii="Arial" w:eastAsia="Arial" w:hAnsi="Arial" w:cs="Arial"/>
                <w:b/>
                <w:color w:val="auto"/>
                <w:sz w:val="18"/>
                <w:szCs w:val="18"/>
              </w:rPr>
              <w:t>view</w:t>
            </w:r>
          </w:p>
        </w:tc>
      </w:tr>
      <w:tr w:rsidR="000917B7" w:rsidRPr="005A1511" w14:paraId="749781FB" w14:textId="77777777" w:rsidTr="007044A0">
        <w:trPr>
          <w:trHeight w:val="220"/>
        </w:trPr>
        <w:tc>
          <w:tcPr>
            <w:tcW w:w="534" w:type="dxa"/>
            <w:shd w:val="clear" w:color="auto" w:fill="auto"/>
          </w:tcPr>
          <w:p w14:paraId="45208290" w14:textId="77777777" w:rsidR="000917B7" w:rsidRPr="005A1511" w:rsidRDefault="000917B7"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1.1</w:t>
            </w:r>
          </w:p>
          <w:p w14:paraId="0B3D987F" w14:textId="77777777" w:rsidR="000917B7" w:rsidRPr="005A1511" w:rsidRDefault="000917B7" w:rsidP="007044A0">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550FECDE" w14:textId="77777777" w:rsidR="000917B7" w:rsidRPr="005A1511" w:rsidRDefault="000917B7"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Title</w:t>
            </w:r>
          </w:p>
        </w:tc>
        <w:tc>
          <w:tcPr>
            <w:tcW w:w="7938" w:type="dxa"/>
          </w:tcPr>
          <w:p w14:paraId="5EFEEB58" w14:textId="2C8BF4A9" w:rsidR="000917B7" w:rsidRPr="005A1511" w:rsidRDefault="00103EE6"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Population Access</w:t>
            </w:r>
          </w:p>
        </w:tc>
      </w:tr>
      <w:tr w:rsidR="000917B7" w:rsidRPr="005A1511" w14:paraId="4548DB80" w14:textId="77777777" w:rsidTr="007044A0">
        <w:tc>
          <w:tcPr>
            <w:tcW w:w="534" w:type="dxa"/>
            <w:shd w:val="clear" w:color="auto" w:fill="auto"/>
          </w:tcPr>
          <w:p w14:paraId="7362736A" w14:textId="77777777" w:rsidR="000917B7" w:rsidRPr="005A1511" w:rsidRDefault="000917B7"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22F2A5D1" w14:textId="77777777" w:rsidR="000917B7" w:rsidRPr="005A1511" w:rsidRDefault="000917B7"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Definition</w:t>
            </w:r>
          </w:p>
        </w:tc>
        <w:tc>
          <w:tcPr>
            <w:tcW w:w="7938" w:type="dxa"/>
          </w:tcPr>
          <w:p w14:paraId="24021976" w14:textId="13265DFB" w:rsidR="00723D37" w:rsidRPr="005A1511" w:rsidRDefault="00723D37" w:rsidP="00723D37">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This comparator reports the number of people who have a Pharmacy First consultation for the selected clinical pathway, organisation and month as a rate per 100,000 population based on list size of the population in scope for the selected clinical pathway.</w:t>
            </w:r>
          </w:p>
          <w:p w14:paraId="2CB089F3" w14:textId="77777777" w:rsidR="0003648B" w:rsidRPr="005A1511" w:rsidRDefault="0003648B" w:rsidP="007044A0">
            <w:pPr>
              <w:spacing w:after="0" w:line="240" w:lineRule="auto"/>
              <w:rPr>
                <w:rFonts w:ascii="Arial" w:hAnsi="Arial" w:cs="Arial"/>
                <w:color w:val="auto"/>
                <w:sz w:val="18"/>
                <w:szCs w:val="21"/>
                <w:shd w:val="clear" w:color="auto" w:fill="FFFFFF"/>
              </w:rPr>
            </w:pPr>
          </w:p>
          <w:p w14:paraId="27C59FAE" w14:textId="77777777" w:rsidR="000917B7" w:rsidRPr="005A1511" w:rsidRDefault="00135A53" w:rsidP="00135A53">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This data is available at ICB, NHS region and national (England) organisational levels.</w:t>
            </w:r>
          </w:p>
          <w:p w14:paraId="34268854" w14:textId="0D423EB4" w:rsidR="00135A53" w:rsidRPr="005A1511" w:rsidRDefault="00135A53" w:rsidP="00135A53">
            <w:pPr>
              <w:spacing w:after="0" w:line="240" w:lineRule="auto"/>
              <w:rPr>
                <w:rFonts w:ascii="Arial" w:eastAsia="Arial" w:hAnsi="Arial" w:cs="Arial"/>
                <w:color w:val="auto"/>
                <w:sz w:val="18"/>
                <w:szCs w:val="18"/>
              </w:rPr>
            </w:pPr>
          </w:p>
        </w:tc>
      </w:tr>
      <w:tr w:rsidR="000917B7" w:rsidRPr="005A1511" w14:paraId="571CE37D" w14:textId="77777777" w:rsidTr="007044A0">
        <w:trPr>
          <w:trHeight w:val="620"/>
        </w:trPr>
        <w:tc>
          <w:tcPr>
            <w:tcW w:w="534" w:type="dxa"/>
            <w:shd w:val="clear" w:color="auto" w:fill="auto"/>
          </w:tcPr>
          <w:p w14:paraId="1719A74D" w14:textId="77777777" w:rsidR="000917B7" w:rsidRPr="005A1511" w:rsidRDefault="000917B7"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4E33FABB" w14:textId="1648A45D" w:rsidR="000917B7" w:rsidRPr="005A1511" w:rsidRDefault="000917B7"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 xml:space="preserve">Reporting </w:t>
            </w:r>
            <w:r w:rsidR="00501F78" w:rsidRPr="005A1511">
              <w:rPr>
                <w:rFonts w:ascii="Arial" w:eastAsia="Arial" w:hAnsi="Arial" w:cs="Arial"/>
                <w:b/>
                <w:color w:val="auto"/>
                <w:sz w:val="18"/>
                <w:szCs w:val="18"/>
              </w:rPr>
              <w:t>Details</w:t>
            </w:r>
          </w:p>
        </w:tc>
        <w:tc>
          <w:tcPr>
            <w:tcW w:w="7938" w:type="dxa"/>
          </w:tcPr>
          <w:p w14:paraId="78830AA3" w14:textId="4B3EC721" w:rsidR="001429FC" w:rsidRPr="005A1511" w:rsidRDefault="001429FC" w:rsidP="001429FC">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This comparator reports the count of people accessing a Pharmacy First consultation and the proportion</w:t>
            </w:r>
            <w:r w:rsidR="0043158F" w:rsidRPr="005A1511">
              <w:rPr>
                <w:rFonts w:ascii="Arial" w:eastAsia="Arial" w:hAnsi="Arial" w:cs="Arial"/>
                <w:color w:val="auto"/>
                <w:sz w:val="18"/>
                <w:szCs w:val="18"/>
              </w:rPr>
              <w:t xml:space="preserve"> of</w:t>
            </w:r>
            <w:r w:rsidRPr="005A1511">
              <w:rPr>
                <w:rFonts w:ascii="Arial" w:eastAsia="Arial" w:hAnsi="Arial" w:cs="Arial"/>
                <w:color w:val="auto"/>
                <w:sz w:val="18"/>
                <w:szCs w:val="18"/>
              </w:rPr>
              <w:t xml:space="preserve"> the population in scope for each clinical pathway. The population in scope for each clinical pathway is defined in the Pharmacy First service specification.</w:t>
            </w:r>
          </w:p>
          <w:p w14:paraId="563C0719" w14:textId="77777777" w:rsidR="001429FC" w:rsidRPr="005A1511" w:rsidRDefault="001429FC" w:rsidP="001429FC">
            <w:pPr>
              <w:spacing w:after="0" w:line="240" w:lineRule="auto"/>
              <w:rPr>
                <w:rFonts w:ascii="Arial" w:eastAsia="Arial" w:hAnsi="Arial" w:cs="Arial"/>
                <w:color w:val="auto"/>
                <w:sz w:val="18"/>
                <w:szCs w:val="18"/>
              </w:rPr>
            </w:pPr>
          </w:p>
          <w:p w14:paraId="57E93BE6" w14:textId="77777777" w:rsidR="001429FC" w:rsidRPr="005A1511" w:rsidRDefault="001429FC" w:rsidP="001429FC">
            <w:pPr>
              <w:pStyle w:val="ListParagraph"/>
              <w:numPr>
                <w:ilvl w:val="0"/>
                <w:numId w:val="19"/>
              </w:numPr>
              <w:spacing w:after="0" w:line="240" w:lineRule="auto"/>
              <w:rPr>
                <w:rFonts w:ascii="Arial" w:eastAsia="Arial" w:hAnsi="Arial" w:cs="Arial"/>
                <w:sz w:val="18"/>
                <w:szCs w:val="18"/>
              </w:rPr>
            </w:pPr>
            <w:r w:rsidRPr="005A1511">
              <w:rPr>
                <w:rFonts w:ascii="Arial" w:eastAsia="Arial" w:hAnsi="Arial" w:cs="Arial"/>
                <w:sz w:val="18"/>
                <w:szCs w:val="18"/>
              </w:rPr>
              <w:t>Acute Otitis Media: patients aged 0-4 to 15-19</w:t>
            </w:r>
          </w:p>
          <w:p w14:paraId="29ABBD06" w14:textId="77777777" w:rsidR="001429FC" w:rsidRPr="005A1511" w:rsidRDefault="001429FC" w:rsidP="001429FC">
            <w:pPr>
              <w:pStyle w:val="ListParagraph"/>
              <w:numPr>
                <w:ilvl w:val="0"/>
                <w:numId w:val="19"/>
              </w:numPr>
              <w:spacing w:after="0" w:line="240" w:lineRule="auto"/>
              <w:rPr>
                <w:rFonts w:ascii="Arial" w:eastAsia="Arial" w:hAnsi="Arial" w:cs="Arial"/>
                <w:sz w:val="18"/>
                <w:szCs w:val="18"/>
              </w:rPr>
            </w:pPr>
            <w:r w:rsidRPr="005A1511">
              <w:rPr>
                <w:rFonts w:ascii="Arial" w:eastAsia="Arial" w:hAnsi="Arial" w:cs="Arial"/>
                <w:sz w:val="18"/>
                <w:szCs w:val="18"/>
              </w:rPr>
              <w:t>Acute Sore Throat: patients aged 5-9 to 110+</w:t>
            </w:r>
          </w:p>
          <w:p w14:paraId="3C7F5A2F" w14:textId="77777777" w:rsidR="001429FC" w:rsidRPr="005A1511" w:rsidRDefault="001429FC" w:rsidP="001429FC">
            <w:pPr>
              <w:pStyle w:val="ListParagraph"/>
              <w:numPr>
                <w:ilvl w:val="0"/>
                <w:numId w:val="19"/>
              </w:numPr>
              <w:spacing w:after="0" w:line="240" w:lineRule="auto"/>
              <w:rPr>
                <w:rFonts w:ascii="Arial" w:eastAsia="Arial" w:hAnsi="Arial" w:cs="Arial"/>
                <w:sz w:val="18"/>
                <w:szCs w:val="18"/>
              </w:rPr>
            </w:pPr>
            <w:r w:rsidRPr="005A1511">
              <w:rPr>
                <w:rFonts w:ascii="Arial" w:eastAsia="Arial" w:hAnsi="Arial" w:cs="Arial"/>
                <w:sz w:val="18"/>
                <w:szCs w:val="18"/>
              </w:rPr>
              <w:t>Impetigo: patients aged 0-4 to 110+</w:t>
            </w:r>
          </w:p>
          <w:p w14:paraId="7CB39017" w14:textId="77777777" w:rsidR="001429FC" w:rsidRPr="005A1511" w:rsidRDefault="001429FC" w:rsidP="001429FC">
            <w:pPr>
              <w:pStyle w:val="ListParagraph"/>
              <w:numPr>
                <w:ilvl w:val="0"/>
                <w:numId w:val="19"/>
              </w:numPr>
              <w:spacing w:after="0" w:line="240" w:lineRule="auto"/>
              <w:rPr>
                <w:rFonts w:ascii="Arial" w:eastAsia="Arial" w:hAnsi="Arial" w:cs="Arial"/>
                <w:sz w:val="18"/>
                <w:szCs w:val="18"/>
              </w:rPr>
            </w:pPr>
            <w:r w:rsidRPr="005A1511">
              <w:rPr>
                <w:rFonts w:ascii="Arial" w:eastAsia="Arial" w:hAnsi="Arial" w:cs="Arial"/>
                <w:sz w:val="18"/>
                <w:szCs w:val="18"/>
              </w:rPr>
              <w:t>Infected Insect Bites: patients aged 0-4 to 110+</w:t>
            </w:r>
          </w:p>
          <w:p w14:paraId="0FABCC74" w14:textId="77777777" w:rsidR="001429FC" w:rsidRPr="005A1511" w:rsidRDefault="001429FC" w:rsidP="001429FC">
            <w:pPr>
              <w:pStyle w:val="ListParagraph"/>
              <w:numPr>
                <w:ilvl w:val="0"/>
                <w:numId w:val="19"/>
              </w:numPr>
              <w:spacing w:after="0" w:line="240" w:lineRule="auto"/>
              <w:rPr>
                <w:rFonts w:ascii="Arial" w:eastAsia="Arial" w:hAnsi="Arial" w:cs="Arial"/>
                <w:sz w:val="18"/>
                <w:szCs w:val="18"/>
              </w:rPr>
            </w:pPr>
            <w:r w:rsidRPr="005A1511">
              <w:rPr>
                <w:rFonts w:ascii="Arial" w:eastAsia="Arial" w:hAnsi="Arial" w:cs="Arial"/>
                <w:sz w:val="18"/>
                <w:szCs w:val="18"/>
              </w:rPr>
              <w:t>Shingles: patients aged 15-19 to 110+</w:t>
            </w:r>
          </w:p>
          <w:p w14:paraId="4CCF28A0" w14:textId="77777777" w:rsidR="001429FC" w:rsidRPr="005A1511" w:rsidRDefault="001429FC" w:rsidP="001429FC">
            <w:pPr>
              <w:pStyle w:val="ListParagraph"/>
              <w:numPr>
                <w:ilvl w:val="0"/>
                <w:numId w:val="19"/>
              </w:numPr>
              <w:spacing w:after="0" w:line="240" w:lineRule="auto"/>
              <w:rPr>
                <w:rFonts w:ascii="Arial" w:eastAsia="Arial" w:hAnsi="Arial" w:cs="Arial"/>
                <w:sz w:val="18"/>
                <w:szCs w:val="18"/>
              </w:rPr>
            </w:pPr>
            <w:r w:rsidRPr="005A1511">
              <w:rPr>
                <w:rFonts w:ascii="Arial" w:eastAsia="Arial" w:hAnsi="Arial" w:cs="Arial"/>
                <w:sz w:val="18"/>
                <w:szCs w:val="18"/>
              </w:rPr>
              <w:t>Sinusitis: patients aged 10-14 to 110+</w:t>
            </w:r>
          </w:p>
          <w:p w14:paraId="42565B97" w14:textId="77777777" w:rsidR="001429FC" w:rsidRPr="005A1511" w:rsidRDefault="001429FC" w:rsidP="001429FC">
            <w:pPr>
              <w:pStyle w:val="ListParagraph"/>
              <w:numPr>
                <w:ilvl w:val="0"/>
                <w:numId w:val="19"/>
              </w:numPr>
              <w:spacing w:after="0" w:line="240" w:lineRule="auto"/>
              <w:rPr>
                <w:rFonts w:ascii="Arial" w:eastAsia="Arial" w:hAnsi="Arial" w:cs="Arial"/>
                <w:sz w:val="18"/>
                <w:szCs w:val="18"/>
              </w:rPr>
            </w:pPr>
            <w:r w:rsidRPr="005A1511">
              <w:rPr>
                <w:rFonts w:ascii="Arial" w:eastAsia="Arial" w:hAnsi="Arial" w:cs="Arial"/>
                <w:sz w:val="18"/>
                <w:szCs w:val="18"/>
              </w:rPr>
              <w:t>Uncomplicated UTI: patients aged 15-19 to 60-64, with recorded gender Female</w:t>
            </w:r>
          </w:p>
          <w:p w14:paraId="0604850E" w14:textId="77777777" w:rsidR="001429FC" w:rsidRPr="005A1511" w:rsidRDefault="001429FC" w:rsidP="001429FC">
            <w:pPr>
              <w:spacing w:after="0" w:line="240" w:lineRule="auto"/>
              <w:rPr>
                <w:rFonts w:ascii="Arial" w:eastAsia="Arial" w:hAnsi="Arial" w:cs="Arial"/>
                <w:color w:val="auto"/>
                <w:sz w:val="18"/>
                <w:szCs w:val="18"/>
              </w:rPr>
            </w:pPr>
          </w:p>
          <w:p w14:paraId="76710B5A" w14:textId="77777777" w:rsidR="001429FC" w:rsidRPr="005A1511" w:rsidRDefault="001429FC" w:rsidP="001429FC">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The age ranges used in the dashboard comparator may be broader than those specified in the Pharmacy First clinical pathway specification. This is due to the NHSBSA use of population denominator values which are calculated by 5-year age bands. </w:t>
            </w:r>
          </w:p>
          <w:p w14:paraId="69CD6E69" w14:textId="77777777" w:rsidR="001429FC" w:rsidRPr="005A1511" w:rsidRDefault="001429FC" w:rsidP="001429FC">
            <w:pPr>
              <w:spacing w:after="0" w:line="240" w:lineRule="auto"/>
              <w:rPr>
                <w:rFonts w:ascii="Arial" w:eastAsia="Arial" w:hAnsi="Arial" w:cs="Arial"/>
                <w:color w:val="auto"/>
                <w:sz w:val="18"/>
                <w:szCs w:val="18"/>
              </w:rPr>
            </w:pPr>
          </w:p>
          <w:p w14:paraId="09118F95" w14:textId="77777777" w:rsidR="001429FC" w:rsidRPr="005A1511" w:rsidRDefault="001429FC" w:rsidP="001429FC">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Consultation data has been attributed to the ICB with which the patient was registered with a General Practice, based on the General Practice ODS code as reported in the Pharmacy First consultation data set. </w:t>
            </w:r>
          </w:p>
          <w:p w14:paraId="3B26B5E5" w14:textId="0B4CE5C7" w:rsidR="005B4BFD" w:rsidRPr="005A1511" w:rsidRDefault="005B4BFD" w:rsidP="007044A0">
            <w:pPr>
              <w:spacing w:after="0" w:line="240" w:lineRule="auto"/>
              <w:rPr>
                <w:rFonts w:ascii="Arial" w:eastAsia="Arial" w:hAnsi="Arial" w:cs="Arial"/>
                <w:color w:val="auto"/>
                <w:sz w:val="18"/>
                <w:szCs w:val="18"/>
              </w:rPr>
            </w:pPr>
          </w:p>
        </w:tc>
      </w:tr>
      <w:tr w:rsidR="000917B7" w:rsidRPr="005A1511" w14:paraId="3348512A" w14:textId="77777777" w:rsidTr="007044A0">
        <w:trPr>
          <w:trHeight w:val="566"/>
        </w:trPr>
        <w:tc>
          <w:tcPr>
            <w:tcW w:w="534" w:type="dxa"/>
            <w:shd w:val="clear" w:color="auto" w:fill="auto"/>
          </w:tcPr>
          <w:p w14:paraId="0A500F53" w14:textId="77777777" w:rsidR="000917B7" w:rsidRPr="005A1511" w:rsidRDefault="000917B7"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3C689F9F" w14:textId="77777777" w:rsidR="000917B7" w:rsidRPr="005A1511" w:rsidRDefault="000917B7"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Numerator</w:t>
            </w:r>
          </w:p>
        </w:tc>
        <w:tc>
          <w:tcPr>
            <w:tcW w:w="7938" w:type="dxa"/>
          </w:tcPr>
          <w:p w14:paraId="14C060A5" w14:textId="568BD322" w:rsidR="000917B7" w:rsidRPr="005A1511" w:rsidRDefault="00E4307C"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The number of unique patients consulting the Pharmacy First service by selected clinical pathway, selected month, and selected organisation</w:t>
            </w:r>
          </w:p>
        </w:tc>
      </w:tr>
      <w:tr w:rsidR="000917B7" w:rsidRPr="005A1511" w14:paraId="4BCE8060" w14:textId="77777777" w:rsidTr="007044A0">
        <w:trPr>
          <w:trHeight w:val="580"/>
        </w:trPr>
        <w:tc>
          <w:tcPr>
            <w:tcW w:w="534" w:type="dxa"/>
            <w:shd w:val="clear" w:color="auto" w:fill="auto"/>
          </w:tcPr>
          <w:p w14:paraId="785E8D13" w14:textId="77777777" w:rsidR="000917B7" w:rsidRPr="005A1511" w:rsidRDefault="000917B7" w:rsidP="007044A0">
            <w:pPr>
              <w:spacing w:after="0" w:line="240" w:lineRule="auto"/>
              <w:rPr>
                <w:rFonts w:ascii="Arial" w:eastAsia="Arial" w:hAnsi="Arial" w:cs="Arial"/>
                <w:color w:val="auto"/>
                <w:sz w:val="18"/>
                <w:szCs w:val="18"/>
              </w:rPr>
            </w:pPr>
            <w:r w:rsidRPr="005A1511">
              <w:rPr>
                <w:rFonts w:ascii="Arial" w:hAnsi="Arial" w:cs="Arial"/>
                <w:color w:val="auto"/>
              </w:rPr>
              <w:br w:type="page"/>
            </w:r>
            <w:r w:rsidRPr="005A1511">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5E57036B" w14:textId="77777777" w:rsidR="000917B7" w:rsidRPr="005A1511" w:rsidRDefault="000917B7"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Denominator</w:t>
            </w:r>
          </w:p>
        </w:tc>
        <w:tc>
          <w:tcPr>
            <w:tcW w:w="7938" w:type="dxa"/>
          </w:tcPr>
          <w:p w14:paraId="4B2B00E7" w14:textId="7FC47D51" w:rsidR="00312E87" w:rsidRPr="005A1511" w:rsidRDefault="00842E64"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The General Practice population list size for the selected age band and gender appropriate to the specific clinical pathway and aggregated to the selected organisation </w:t>
            </w:r>
          </w:p>
        </w:tc>
      </w:tr>
      <w:tr w:rsidR="000917B7" w:rsidRPr="005A1511" w14:paraId="5CAD15D8" w14:textId="77777777" w:rsidTr="007044A0">
        <w:tc>
          <w:tcPr>
            <w:tcW w:w="534" w:type="dxa"/>
            <w:shd w:val="clear" w:color="auto" w:fill="auto"/>
          </w:tcPr>
          <w:p w14:paraId="4C1FB047" w14:textId="77777777" w:rsidR="000917B7" w:rsidRPr="005A1511" w:rsidRDefault="000917B7"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1.6</w:t>
            </w:r>
          </w:p>
        </w:tc>
        <w:tc>
          <w:tcPr>
            <w:tcW w:w="1417" w:type="dxa"/>
            <w:tcBorders>
              <w:top w:val="single" w:sz="4" w:space="0" w:color="000000"/>
            </w:tcBorders>
            <w:shd w:val="clear" w:color="auto" w:fill="D9D9D9"/>
          </w:tcPr>
          <w:p w14:paraId="76BA5F9E" w14:textId="77777777" w:rsidR="000917B7" w:rsidRPr="005A1511" w:rsidRDefault="000917B7"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Methodology</w:t>
            </w:r>
          </w:p>
        </w:tc>
        <w:tc>
          <w:tcPr>
            <w:tcW w:w="7938" w:type="dxa"/>
          </w:tcPr>
          <w:p w14:paraId="66F329B5" w14:textId="3A712C01" w:rsidR="000917B7" w:rsidRPr="005A1511" w:rsidRDefault="000917B7"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Numerator divided by denominator, expressed per 1</w:t>
            </w:r>
            <w:r w:rsidR="00AA147D" w:rsidRPr="005A1511">
              <w:rPr>
                <w:rFonts w:ascii="Arial" w:eastAsia="Arial" w:hAnsi="Arial" w:cs="Arial"/>
                <w:color w:val="auto"/>
                <w:sz w:val="18"/>
                <w:szCs w:val="18"/>
              </w:rPr>
              <w:t>00</w:t>
            </w:r>
            <w:r w:rsidRPr="005A1511">
              <w:rPr>
                <w:rFonts w:ascii="Arial" w:eastAsia="Arial" w:hAnsi="Arial" w:cs="Arial"/>
                <w:color w:val="auto"/>
                <w:sz w:val="18"/>
                <w:szCs w:val="18"/>
              </w:rPr>
              <w:t xml:space="preserve">,000 </w:t>
            </w:r>
            <w:r w:rsidR="00842E64" w:rsidRPr="005A1511">
              <w:rPr>
                <w:rFonts w:ascii="Arial" w:eastAsia="Arial" w:hAnsi="Arial" w:cs="Arial"/>
                <w:color w:val="auto"/>
                <w:sz w:val="18"/>
                <w:szCs w:val="18"/>
              </w:rPr>
              <w:t>population</w:t>
            </w:r>
            <w:r w:rsidRPr="005A1511">
              <w:rPr>
                <w:rFonts w:ascii="Arial" w:eastAsia="Arial" w:hAnsi="Arial" w:cs="Arial"/>
                <w:color w:val="auto"/>
                <w:sz w:val="18"/>
                <w:szCs w:val="18"/>
              </w:rPr>
              <w:t>.</w:t>
            </w:r>
          </w:p>
          <w:p w14:paraId="1993E198" w14:textId="77777777" w:rsidR="000917B7" w:rsidRPr="005A1511" w:rsidRDefault="000917B7" w:rsidP="007044A0">
            <w:pPr>
              <w:spacing w:after="0" w:line="240" w:lineRule="auto"/>
              <w:rPr>
                <w:rFonts w:ascii="Arial" w:eastAsia="Arial" w:hAnsi="Arial" w:cs="Arial"/>
                <w:color w:val="auto"/>
                <w:sz w:val="18"/>
                <w:szCs w:val="18"/>
              </w:rPr>
            </w:pPr>
          </w:p>
          <w:p w14:paraId="594239B7" w14:textId="77777777" w:rsidR="000917B7" w:rsidRPr="005A1511" w:rsidRDefault="000917B7" w:rsidP="007044A0">
            <w:pPr>
              <w:spacing w:after="0" w:line="240" w:lineRule="auto"/>
              <w:rPr>
                <w:rFonts w:ascii="Arial" w:eastAsia="Arial" w:hAnsi="Arial" w:cs="Arial"/>
                <w:color w:val="auto"/>
                <w:sz w:val="18"/>
                <w:szCs w:val="18"/>
              </w:rPr>
            </w:pPr>
          </w:p>
        </w:tc>
      </w:tr>
      <w:tr w:rsidR="000917B7" w:rsidRPr="005A1511" w14:paraId="68EBB661" w14:textId="77777777" w:rsidTr="007044A0">
        <w:tc>
          <w:tcPr>
            <w:tcW w:w="534" w:type="dxa"/>
            <w:shd w:val="clear" w:color="auto" w:fill="auto"/>
          </w:tcPr>
          <w:p w14:paraId="772BDCAD" w14:textId="77777777" w:rsidR="000917B7" w:rsidRPr="005A1511" w:rsidRDefault="000917B7"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1.7</w:t>
            </w:r>
          </w:p>
        </w:tc>
        <w:tc>
          <w:tcPr>
            <w:tcW w:w="1417" w:type="dxa"/>
            <w:tcBorders>
              <w:top w:val="single" w:sz="4" w:space="0" w:color="000000"/>
            </w:tcBorders>
            <w:shd w:val="clear" w:color="auto" w:fill="D9D9D9"/>
          </w:tcPr>
          <w:p w14:paraId="68BDD78D" w14:textId="77777777" w:rsidR="000917B7" w:rsidRPr="005A1511" w:rsidRDefault="000917B7" w:rsidP="007044A0">
            <w:pPr>
              <w:spacing w:after="0" w:line="240" w:lineRule="auto"/>
              <w:rPr>
                <w:rFonts w:ascii="Arial" w:eastAsia="Arial" w:hAnsi="Arial" w:cs="Arial"/>
                <w:b/>
                <w:color w:val="auto"/>
                <w:sz w:val="18"/>
                <w:szCs w:val="18"/>
              </w:rPr>
            </w:pPr>
            <w:r w:rsidRPr="005A1511">
              <w:rPr>
                <w:rFonts w:ascii="Arial" w:eastAsia="Arial" w:hAnsi="Arial" w:cs="Arial"/>
                <w:b/>
                <w:color w:val="auto"/>
                <w:sz w:val="18"/>
                <w:szCs w:val="18"/>
              </w:rPr>
              <w:t>Medicines</w:t>
            </w:r>
          </w:p>
        </w:tc>
        <w:tc>
          <w:tcPr>
            <w:tcW w:w="7938" w:type="dxa"/>
          </w:tcPr>
          <w:p w14:paraId="40D93C51" w14:textId="7E447AC0" w:rsidR="00DE1365" w:rsidRPr="005A1511" w:rsidRDefault="00D243FC" w:rsidP="00DE1365">
            <w:pPr>
              <w:spacing w:after="0" w:line="240" w:lineRule="auto"/>
              <w:rPr>
                <w:rFonts w:ascii="Arial" w:eastAsia="Arial" w:hAnsi="Arial" w:cs="Arial"/>
                <w:sz w:val="18"/>
                <w:szCs w:val="18"/>
              </w:rPr>
            </w:pPr>
            <w:r w:rsidRPr="005A1511">
              <w:rPr>
                <w:rFonts w:ascii="Arial" w:eastAsia="Arial" w:hAnsi="Arial" w:cs="Arial"/>
                <w:sz w:val="18"/>
                <w:szCs w:val="18"/>
              </w:rPr>
              <w:t xml:space="preserve">Please refer to the Patient Group Directions for the relevant clinical pathway, </w:t>
            </w:r>
            <w:r w:rsidR="00DE1365" w:rsidRPr="005A1511">
              <w:rPr>
                <w:rFonts w:ascii="Arial" w:eastAsia="Arial" w:hAnsi="Arial" w:cs="Arial"/>
                <w:sz w:val="18"/>
                <w:szCs w:val="18"/>
              </w:rPr>
              <w:t xml:space="preserve">which can be found at </w:t>
            </w:r>
            <w:hyperlink r:id="rId18" w:history="1">
              <w:r w:rsidR="00DE1365" w:rsidRPr="005A1511">
                <w:rPr>
                  <w:rStyle w:val="Hyperlink"/>
                  <w:rFonts w:ascii="Arial" w:eastAsia="Arial" w:hAnsi="Arial" w:cs="Arial"/>
                  <w:sz w:val="18"/>
                  <w:szCs w:val="18"/>
                </w:rPr>
                <w:t>https://www.england.nhs.uk/publication/community-pharmacy-advanced-service-specification-nhs-pharmacy-first-service/</w:t>
              </w:r>
            </w:hyperlink>
            <w:r w:rsidR="00DE1365" w:rsidRPr="005A1511">
              <w:rPr>
                <w:rFonts w:ascii="Arial" w:eastAsia="Arial" w:hAnsi="Arial" w:cs="Arial"/>
                <w:sz w:val="18"/>
                <w:szCs w:val="18"/>
              </w:rPr>
              <w:t xml:space="preserve"> </w:t>
            </w:r>
          </w:p>
        </w:tc>
      </w:tr>
      <w:tr w:rsidR="000917B7" w:rsidRPr="005A1511" w14:paraId="3AF88AD1" w14:textId="77777777" w:rsidTr="007044A0">
        <w:tc>
          <w:tcPr>
            <w:tcW w:w="9889" w:type="dxa"/>
            <w:gridSpan w:val="3"/>
            <w:shd w:val="clear" w:color="auto" w:fill="D9D9D9"/>
          </w:tcPr>
          <w:p w14:paraId="35C0A7F7" w14:textId="77777777" w:rsidR="000917B7" w:rsidRPr="005A1511" w:rsidRDefault="000917B7"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Section 2: Rationale</w:t>
            </w:r>
          </w:p>
        </w:tc>
      </w:tr>
      <w:tr w:rsidR="000917B7" w:rsidRPr="005A1511" w14:paraId="493BDD67" w14:textId="77777777" w:rsidTr="007044A0">
        <w:trPr>
          <w:trHeight w:val="1012"/>
        </w:trPr>
        <w:tc>
          <w:tcPr>
            <w:tcW w:w="534" w:type="dxa"/>
            <w:shd w:val="clear" w:color="auto" w:fill="auto"/>
          </w:tcPr>
          <w:p w14:paraId="6BF256D4" w14:textId="77777777" w:rsidR="000917B7" w:rsidRPr="005A1511" w:rsidRDefault="000917B7"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2.1</w:t>
            </w:r>
          </w:p>
          <w:p w14:paraId="4AF9FA3A" w14:textId="77777777" w:rsidR="000917B7" w:rsidRPr="005A1511" w:rsidRDefault="000917B7" w:rsidP="007044A0">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73015C9B" w14:textId="77777777" w:rsidR="000917B7" w:rsidRPr="005A1511" w:rsidRDefault="000917B7"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Purpose and Limitations</w:t>
            </w:r>
          </w:p>
        </w:tc>
        <w:tc>
          <w:tcPr>
            <w:tcW w:w="7938" w:type="dxa"/>
          </w:tcPr>
          <w:p w14:paraId="75868AD7" w14:textId="77777777" w:rsidR="000E3AC4" w:rsidRPr="005A1511" w:rsidRDefault="00767054" w:rsidP="00767054">
            <w:pPr>
              <w:spacing w:after="0" w:line="240" w:lineRule="auto"/>
              <w:rPr>
                <w:rFonts w:ascii="Arial" w:eastAsia="Times New Roman" w:hAnsi="Arial" w:cs="Arial"/>
                <w:color w:val="auto"/>
                <w:sz w:val="18"/>
                <w:szCs w:val="18"/>
              </w:rPr>
            </w:pPr>
            <w:r w:rsidRPr="005A1511">
              <w:rPr>
                <w:rFonts w:ascii="Arial" w:eastAsia="Times New Roman" w:hAnsi="Arial" w:cs="Arial"/>
                <w:color w:val="auto"/>
                <w:sz w:val="18"/>
                <w:szCs w:val="18"/>
              </w:rPr>
              <w:t xml:space="preserve">The purpose of this dashboard is to </w:t>
            </w:r>
            <w:r w:rsidR="000E3AC4" w:rsidRPr="005A1511">
              <w:rPr>
                <w:rFonts w:ascii="Arial" w:eastAsia="Times New Roman" w:hAnsi="Arial" w:cs="Arial"/>
                <w:color w:val="auto"/>
                <w:sz w:val="18"/>
                <w:szCs w:val="18"/>
              </w:rPr>
              <w:t xml:space="preserve">help </w:t>
            </w:r>
            <w:r w:rsidRPr="005A1511">
              <w:rPr>
                <w:rFonts w:ascii="Arial" w:eastAsia="Times New Roman" w:hAnsi="Arial" w:cs="Arial"/>
                <w:color w:val="auto"/>
                <w:sz w:val="18"/>
                <w:szCs w:val="18"/>
              </w:rPr>
              <w:t xml:space="preserve">support clinicians and </w:t>
            </w:r>
            <w:r w:rsidR="000E3AC4" w:rsidRPr="005A1511">
              <w:rPr>
                <w:rFonts w:ascii="Arial" w:eastAsia="Times New Roman" w:hAnsi="Arial" w:cs="Arial"/>
                <w:color w:val="auto"/>
                <w:sz w:val="18"/>
                <w:szCs w:val="18"/>
              </w:rPr>
              <w:t>ICBs</w:t>
            </w:r>
            <w:r w:rsidRPr="005A1511">
              <w:rPr>
                <w:rFonts w:ascii="Arial" w:eastAsia="Times New Roman" w:hAnsi="Arial" w:cs="Arial"/>
                <w:color w:val="auto"/>
                <w:sz w:val="18"/>
                <w:szCs w:val="18"/>
              </w:rPr>
              <w:t xml:space="preserve"> monitor access to infection pathways</w:t>
            </w:r>
            <w:r w:rsidR="000E3AC4" w:rsidRPr="005A1511">
              <w:rPr>
                <w:rFonts w:ascii="Arial" w:eastAsia="Times New Roman" w:hAnsi="Arial" w:cs="Arial"/>
                <w:color w:val="auto"/>
                <w:sz w:val="18"/>
                <w:szCs w:val="18"/>
              </w:rPr>
              <w:t>,</w:t>
            </w:r>
            <w:r w:rsidRPr="005A1511">
              <w:rPr>
                <w:rFonts w:ascii="Arial" w:eastAsia="Times New Roman" w:hAnsi="Arial" w:cs="Arial"/>
                <w:color w:val="auto"/>
                <w:sz w:val="18"/>
                <w:szCs w:val="18"/>
              </w:rPr>
              <w:t xml:space="preserve"> and</w:t>
            </w:r>
            <w:r w:rsidR="000E3AC4" w:rsidRPr="005A1511">
              <w:rPr>
                <w:rFonts w:ascii="Arial" w:eastAsia="Times New Roman" w:hAnsi="Arial" w:cs="Arial"/>
                <w:color w:val="auto"/>
                <w:sz w:val="18"/>
                <w:szCs w:val="18"/>
              </w:rPr>
              <w:t xml:space="preserve"> to</w:t>
            </w:r>
            <w:r w:rsidRPr="005A1511">
              <w:rPr>
                <w:rFonts w:ascii="Arial" w:eastAsia="Times New Roman" w:hAnsi="Arial" w:cs="Arial"/>
                <w:color w:val="auto"/>
                <w:sz w:val="18"/>
                <w:szCs w:val="18"/>
              </w:rPr>
              <w:t xml:space="preserve"> monitor exposure to medicines including antimicrobials for defined populations.</w:t>
            </w:r>
          </w:p>
          <w:p w14:paraId="21591148" w14:textId="77777777" w:rsidR="000E3AC4" w:rsidRPr="005A1511" w:rsidRDefault="000E3AC4" w:rsidP="00767054">
            <w:pPr>
              <w:spacing w:after="0" w:line="240" w:lineRule="auto"/>
              <w:rPr>
                <w:rFonts w:ascii="Arial" w:eastAsia="Arial" w:hAnsi="Arial" w:cs="Arial"/>
                <w:color w:val="auto"/>
                <w:sz w:val="18"/>
                <w:szCs w:val="18"/>
              </w:rPr>
            </w:pPr>
          </w:p>
          <w:p w14:paraId="10515C0B" w14:textId="300BF8AE" w:rsidR="00767054" w:rsidRPr="005A1511" w:rsidRDefault="00767054" w:rsidP="00767054">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To </w:t>
            </w:r>
            <w:r w:rsidR="000E3AC4" w:rsidRPr="005A1511">
              <w:rPr>
                <w:rFonts w:ascii="Arial" w:eastAsia="Arial" w:hAnsi="Arial" w:cs="Arial"/>
                <w:color w:val="auto"/>
                <w:sz w:val="18"/>
                <w:szCs w:val="18"/>
              </w:rPr>
              <w:t>enable</w:t>
            </w:r>
            <w:r w:rsidRPr="005A1511">
              <w:rPr>
                <w:rFonts w:ascii="Arial" w:eastAsia="Arial" w:hAnsi="Arial" w:cs="Arial"/>
                <w:color w:val="auto"/>
                <w:sz w:val="18"/>
                <w:szCs w:val="18"/>
              </w:rPr>
              <w:t xml:space="preserve"> this, patient consultation data has been attributed to the ICB with which the patient is currently registered at a General Practice, based on the General Practice ODS code as reported in the Pharmacy First consultation data set. </w:t>
            </w:r>
          </w:p>
          <w:p w14:paraId="1C44CB2B" w14:textId="77777777" w:rsidR="00767054" w:rsidRPr="005A1511" w:rsidRDefault="00767054" w:rsidP="00767054">
            <w:pPr>
              <w:spacing w:after="0" w:line="240" w:lineRule="auto"/>
              <w:rPr>
                <w:rFonts w:ascii="Arial" w:eastAsia="Arial" w:hAnsi="Arial" w:cs="Arial"/>
                <w:color w:val="auto"/>
                <w:sz w:val="18"/>
                <w:szCs w:val="18"/>
              </w:rPr>
            </w:pPr>
          </w:p>
          <w:p w14:paraId="1632FACE" w14:textId="1FDF20AA" w:rsidR="00767054" w:rsidRPr="005A1511" w:rsidRDefault="00767054" w:rsidP="00767054">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This comparator allows </w:t>
            </w:r>
            <w:r w:rsidR="000428E7" w:rsidRPr="005A1511">
              <w:rPr>
                <w:rFonts w:ascii="Arial" w:eastAsia="Arial" w:hAnsi="Arial" w:cs="Arial"/>
                <w:color w:val="auto"/>
                <w:sz w:val="18"/>
                <w:szCs w:val="18"/>
              </w:rPr>
              <w:t>ICBs</w:t>
            </w:r>
            <w:r w:rsidRPr="005A1511">
              <w:rPr>
                <w:rFonts w:ascii="Arial" w:eastAsia="Arial" w:hAnsi="Arial" w:cs="Arial"/>
                <w:color w:val="auto"/>
                <w:sz w:val="18"/>
                <w:szCs w:val="18"/>
              </w:rPr>
              <w:t xml:space="preserve"> to identify population access to the 7 clinical pathways provided by the Pharmacy First service and identify variation in access both between </w:t>
            </w:r>
            <w:r w:rsidR="000428E7" w:rsidRPr="005A1511">
              <w:rPr>
                <w:rFonts w:ascii="Arial" w:eastAsia="Arial" w:hAnsi="Arial" w:cs="Arial"/>
                <w:color w:val="auto"/>
                <w:sz w:val="18"/>
                <w:szCs w:val="18"/>
              </w:rPr>
              <w:t xml:space="preserve">ICBs </w:t>
            </w:r>
            <w:r w:rsidRPr="005A1511">
              <w:rPr>
                <w:rFonts w:ascii="Arial" w:eastAsia="Arial" w:hAnsi="Arial" w:cs="Arial"/>
                <w:color w:val="auto"/>
                <w:sz w:val="18"/>
                <w:szCs w:val="18"/>
              </w:rPr>
              <w:t xml:space="preserve">for a selected clinical pathway, and within individual </w:t>
            </w:r>
            <w:r w:rsidR="000428E7" w:rsidRPr="005A1511">
              <w:rPr>
                <w:rFonts w:ascii="Arial" w:eastAsia="Arial" w:hAnsi="Arial" w:cs="Arial"/>
                <w:color w:val="auto"/>
                <w:sz w:val="18"/>
                <w:szCs w:val="18"/>
              </w:rPr>
              <w:t>ICBs</w:t>
            </w:r>
            <w:r w:rsidRPr="005A1511">
              <w:rPr>
                <w:rFonts w:ascii="Arial" w:eastAsia="Arial" w:hAnsi="Arial" w:cs="Arial"/>
                <w:color w:val="auto"/>
                <w:sz w:val="18"/>
                <w:szCs w:val="18"/>
              </w:rPr>
              <w:t xml:space="preserve"> across all 7 clinical pathways. </w:t>
            </w:r>
          </w:p>
          <w:p w14:paraId="3CCC5D92" w14:textId="77777777" w:rsidR="00767054" w:rsidRPr="005A1511" w:rsidRDefault="00767054" w:rsidP="00767054">
            <w:pPr>
              <w:spacing w:after="0" w:line="240" w:lineRule="auto"/>
              <w:rPr>
                <w:rFonts w:ascii="Arial" w:eastAsia="Arial" w:hAnsi="Arial" w:cs="Arial"/>
                <w:color w:val="auto"/>
                <w:sz w:val="18"/>
                <w:szCs w:val="18"/>
              </w:rPr>
            </w:pPr>
          </w:p>
          <w:p w14:paraId="072E6E61" w14:textId="77777777" w:rsidR="00767054" w:rsidRPr="005A1511" w:rsidRDefault="00767054" w:rsidP="00767054">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The comparator is also reported as a monthly trend for each clinical pathway to allow access over time to be identified for the selected organisation.</w:t>
            </w:r>
          </w:p>
          <w:p w14:paraId="164AA8D6" w14:textId="79C4DCA3" w:rsidR="00E447DA" w:rsidRPr="005A1511" w:rsidRDefault="00E447DA" w:rsidP="007044A0">
            <w:pPr>
              <w:spacing w:after="0" w:line="240" w:lineRule="auto"/>
              <w:rPr>
                <w:rFonts w:ascii="Arial" w:eastAsia="Arial" w:hAnsi="Arial" w:cs="Arial"/>
                <w:color w:val="auto"/>
                <w:sz w:val="18"/>
                <w:szCs w:val="18"/>
              </w:rPr>
            </w:pPr>
          </w:p>
        </w:tc>
      </w:tr>
    </w:tbl>
    <w:p w14:paraId="75CA8D82" w14:textId="76A3AD15" w:rsidR="00767054" w:rsidRPr="005A1511" w:rsidRDefault="00767054">
      <w:pPr>
        <w:rPr>
          <w:rFonts w:ascii="Arial" w:eastAsia="Arial" w:hAnsi="Arial" w:cs="Arial"/>
          <w:b/>
          <w:sz w:val="20"/>
          <w:szCs w:val="20"/>
        </w:rPr>
      </w:pPr>
    </w:p>
    <w:p w14:paraId="0233AB3A" w14:textId="4DF4DBC5" w:rsidR="00956E6C" w:rsidRPr="005A1511" w:rsidRDefault="005618B8" w:rsidP="00CC56ED">
      <w:pPr>
        <w:pStyle w:val="Heading2"/>
      </w:pPr>
      <w:bookmarkStart w:id="33" w:name="_Comparator:_Pathway_by"/>
      <w:bookmarkStart w:id="34" w:name="_Toc189144438"/>
      <w:bookmarkEnd w:id="33"/>
      <w:r w:rsidRPr="005A1511">
        <w:t>Comparator: Pathway by Consultation Outcome</w:t>
      </w:r>
      <w:bookmarkEnd w:id="34"/>
    </w:p>
    <w:p w14:paraId="735DC75B" w14:textId="77777777" w:rsidR="008D5FD6" w:rsidRPr="005A1511" w:rsidRDefault="008D5FD6" w:rsidP="008D5FD6">
      <w:pPr>
        <w:rPr>
          <w:rFonts w:ascii="Arial" w:hAnsi="Arial" w:cs="Arial"/>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D1135D" w:rsidRPr="005A1511" w14:paraId="5C001692" w14:textId="77777777" w:rsidTr="007044A0">
        <w:tc>
          <w:tcPr>
            <w:tcW w:w="9889" w:type="dxa"/>
            <w:gridSpan w:val="3"/>
            <w:shd w:val="clear" w:color="auto" w:fill="D9D9D9"/>
          </w:tcPr>
          <w:p w14:paraId="5209C60F" w14:textId="11828A94" w:rsidR="00D1135D" w:rsidRPr="005A1511" w:rsidRDefault="00D1135D" w:rsidP="007044A0">
            <w:pPr>
              <w:spacing w:line="240" w:lineRule="auto"/>
              <w:rPr>
                <w:rFonts w:ascii="Arial" w:eastAsia="Arial" w:hAnsi="Arial" w:cs="Arial"/>
                <w:color w:val="auto"/>
                <w:sz w:val="18"/>
                <w:szCs w:val="18"/>
              </w:rPr>
            </w:pPr>
            <w:r w:rsidRPr="005A1511">
              <w:rPr>
                <w:rFonts w:ascii="Arial" w:eastAsia="Arial" w:hAnsi="Arial" w:cs="Arial"/>
                <w:b/>
                <w:color w:val="auto"/>
                <w:sz w:val="18"/>
                <w:szCs w:val="18"/>
              </w:rPr>
              <w:lastRenderedPageBreak/>
              <w:t xml:space="preserve">Section 1: </w:t>
            </w:r>
            <w:r w:rsidR="009832CA" w:rsidRPr="005A1511">
              <w:rPr>
                <w:rFonts w:ascii="Arial" w:eastAsia="Arial" w:hAnsi="Arial" w:cs="Arial"/>
                <w:b/>
                <w:color w:val="auto"/>
                <w:sz w:val="18"/>
                <w:szCs w:val="18"/>
              </w:rPr>
              <w:t>Introduction / Overview</w:t>
            </w:r>
          </w:p>
        </w:tc>
      </w:tr>
      <w:tr w:rsidR="00D1135D" w:rsidRPr="005A1511" w14:paraId="05B4A764" w14:textId="77777777" w:rsidTr="007044A0">
        <w:trPr>
          <w:trHeight w:val="312"/>
        </w:trPr>
        <w:tc>
          <w:tcPr>
            <w:tcW w:w="534" w:type="dxa"/>
            <w:shd w:val="clear" w:color="auto" w:fill="auto"/>
          </w:tcPr>
          <w:p w14:paraId="0A6ED92D" w14:textId="77777777" w:rsidR="00D1135D" w:rsidRPr="005A1511" w:rsidRDefault="00D1135D"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1.1</w:t>
            </w:r>
          </w:p>
        </w:tc>
        <w:tc>
          <w:tcPr>
            <w:tcW w:w="1417" w:type="dxa"/>
            <w:tcBorders>
              <w:bottom w:val="single" w:sz="4" w:space="0" w:color="000000"/>
            </w:tcBorders>
            <w:shd w:val="clear" w:color="auto" w:fill="D9D9D9"/>
          </w:tcPr>
          <w:p w14:paraId="598E49AB" w14:textId="77777777" w:rsidR="00D1135D" w:rsidRPr="005A1511" w:rsidRDefault="00D1135D"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Title</w:t>
            </w:r>
          </w:p>
        </w:tc>
        <w:tc>
          <w:tcPr>
            <w:tcW w:w="7938" w:type="dxa"/>
          </w:tcPr>
          <w:p w14:paraId="42AD1969" w14:textId="512C639F" w:rsidR="00D1135D" w:rsidRPr="005A1511" w:rsidRDefault="005618B8"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Pathway by Consultation Outcome</w:t>
            </w:r>
          </w:p>
        </w:tc>
      </w:tr>
      <w:tr w:rsidR="004F58B3" w:rsidRPr="005A1511" w14:paraId="61912EAE" w14:textId="77777777" w:rsidTr="007044A0">
        <w:trPr>
          <w:trHeight w:val="544"/>
        </w:trPr>
        <w:tc>
          <w:tcPr>
            <w:tcW w:w="534" w:type="dxa"/>
            <w:shd w:val="clear" w:color="auto" w:fill="auto"/>
          </w:tcPr>
          <w:p w14:paraId="7E865D6C"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03BAFDFC"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Definition</w:t>
            </w:r>
          </w:p>
        </w:tc>
        <w:tc>
          <w:tcPr>
            <w:tcW w:w="7938" w:type="dxa"/>
          </w:tcPr>
          <w:p w14:paraId="04E73E77" w14:textId="7A4A3003" w:rsidR="004F58B3" w:rsidRPr="005A1511" w:rsidRDefault="004F58B3" w:rsidP="004F58B3">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This comparator reports consultation activity by defined mutually exclusive outcome categories. It reports the number and proportion of consultations for a selected clinical pathway, by selected organisation and month. It reports as a count of consultations and count of patients (patient counts</w:t>
            </w:r>
            <w:r w:rsidR="005F1632" w:rsidRPr="005A1511">
              <w:rPr>
                <w:rFonts w:ascii="Arial" w:hAnsi="Arial" w:cs="Arial"/>
                <w:color w:val="auto"/>
                <w:sz w:val="18"/>
                <w:szCs w:val="21"/>
                <w:shd w:val="clear" w:color="auto" w:fill="FFFFFF"/>
              </w:rPr>
              <w:t xml:space="preserve"> are</w:t>
            </w:r>
            <w:r w:rsidRPr="005A1511">
              <w:rPr>
                <w:rFonts w:ascii="Arial" w:hAnsi="Arial" w:cs="Arial"/>
                <w:color w:val="auto"/>
                <w:sz w:val="18"/>
                <w:szCs w:val="21"/>
                <w:shd w:val="clear" w:color="auto" w:fill="FFFFFF"/>
              </w:rPr>
              <w:t xml:space="preserve"> available in the Table view only) as well as a proportion of consultations for the selected clinical pathway.</w:t>
            </w:r>
          </w:p>
          <w:p w14:paraId="36541A9F" w14:textId="77777777" w:rsidR="004F58B3" w:rsidRPr="005A1511" w:rsidRDefault="004F58B3" w:rsidP="004F58B3">
            <w:pPr>
              <w:spacing w:after="0" w:line="240" w:lineRule="auto"/>
              <w:rPr>
                <w:rFonts w:ascii="Arial" w:hAnsi="Arial" w:cs="Arial"/>
                <w:color w:val="auto"/>
                <w:sz w:val="18"/>
                <w:szCs w:val="21"/>
                <w:shd w:val="clear" w:color="auto" w:fill="FFFFFF"/>
              </w:rPr>
            </w:pPr>
          </w:p>
          <w:p w14:paraId="4B6B292D" w14:textId="77777777" w:rsidR="00F55660" w:rsidRPr="005A1511" w:rsidRDefault="00F55660" w:rsidP="00F55660">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 xml:space="preserve">This data is available at ICB, NHS region and national (England) organisational levels. A red </w:t>
            </w:r>
            <w:r w:rsidRPr="005A1511">
              <w:rPr>
                <w:rFonts w:ascii="Arial" w:hAnsi="Arial" w:cs="Arial"/>
                <w:color w:val="FF0000"/>
                <w:sz w:val="18"/>
                <w:szCs w:val="21"/>
                <w:shd w:val="clear" w:color="auto" w:fill="FFFFFF"/>
              </w:rPr>
              <w:t xml:space="preserve">V </w:t>
            </w:r>
            <w:r w:rsidRPr="005A1511">
              <w:rPr>
                <w:rFonts w:ascii="Arial" w:hAnsi="Arial" w:cs="Arial"/>
                <w:color w:val="auto"/>
                <w:sz w:val="18"/>
                <w:szCs w:val="21"/>
                <w:shd w:val="clear" w:color="auto" w:fill="FFFFFF"/>
              </w:rPr>
              <w:t>marker identifies the selected organisation (NHS region and ICB) in the dashboard graphs.</w:t>
            </w:r>
          </w:p>
          <w:p w14:paraId="0C767E9B" w14:textId="77777777" w:rsidR="004F58B3" w:rsidRPr="005A1511" w:rsidRDefault="004F58B3" w:rsidP="004F58B3">
            <w:pPr>
              <w:spacing w:after="0" w:line="240" w:lineRule="auto"/>
              <w:rPr>
                <w:rFonts w:ascii="Arial" w:hAnsi="Arial" w:cs="Arial"/>
                <w:color w:val="auto"/>
                <w:sz w:val="18"/>
                <w:szCs w:val="21"/>
                <w:shd w:val="clear" w:color="auto" w:fill="FFFFFF"/>
              </w:rPr>
            </w:pPr>
          </w:p>
          <w:p w14:paraId="38E3BD60" w14:textId="3BA1A189" w:rsidR="004F58B3" w:rsidRPr="005A1511" w:rsidRDefault="004F58B3" w:rsidP="004F58B3">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It is also available at Community Pharmacy organisation level, by selected</w:t>
            </w:r>
            <w:r w:rsidR="00F55660" w:rsidRPr="005A1511">
              <w:rPr>
                <w:rFonts w:ascii="Arial" w:hAnsi="Arial" w:cs="Arial"/>
                <w:color w:val="auto"/>
                <w:sz w:val="18"/>
                <w:szCs w:val="21"/>
                <w:shd w:val="clear" w:color="auto" w:fill="FFFFFF"/>
              </w:rPr>
              <w:t xml:space="preserve"> ICB</w:t>
            </w:r>
            <w:r w:rsidRPr="005A1511">
              <w:rPr>
                <w:rFonts w:ascii="Arial" w:hAnsi="Arial" w:cs="Arial"/>
                <w:color w:val="auto"/>
                <w:sz w:val="18"/>
                <w:szCs w:val="21"/>
                <w:shd w:val="clear" w:color="auto" w:fill="FFFFFF"/>
              </w:rPr>
              <w:t>.</w:t>
            </w:r>
          </w:p>
          <w:p w14:paraId="38F9C898" w14:textId="77777777" w:rsidR="004F58B3" w:rsidRPr="005A1511" w:rsidRDefault="004F58B3" w:rsidP="004F58B3">
            <w:pPr>
              <w:spacing w:after="0" w:line="240" w:lineRule="auto"/>
              <w:jc w:val="both"/>
              <w:rPr>
                <w:rFonts w:ascii="Arial" w:eastAsia="Arial" w:hAnsi="Arial" w:cs="Arial"/>
                <w:color w:val="FF0000"/>
                <w:sz w:val="18"/>
                <w:szCs w:val="18"/>
              </w:rPr>
            </w:pPr>
          </w:p>
        </w:tc>
      </w:tr>
      <w:tr w:rsidR="004F58B3" w:rsidRPr="005A1511" w14:paraId="308DDB0F" w14:textId="77777777" w:rsidTr="007044A0">
        <w:trPr>
          <w:trHeight w:val="566"/>
        </w:trPr>
        <w:tc>
          <w:tcPr>
            <w:tcW w:w="534" w:type="dxa"/>
            <w:shd w:val="clear" w:color="auto" w:fill="auto"/>
          </w:tcPr>
          <w:p w14:paraId="19B8C3A5"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7B19DE18" w14:textId="47EBA1B1" w:rsidR="004F58B3" w:rsidRPr="005A1511" w:rsidRDefault="004F58B3" w:rsidP="004F58B3">
            <w:pPr>
              <w:spacing w:after="0" w:line="240" w:lineRule="auto"/>
              <w:rPr>
                <w:rFonts w:ascii="Arial" w:eastAsia="Arial" w:hAnsi="Arial" w:cs="Arial"/>
                <w:b/>
                <w:color w:val="auto"/>
                <w:sz w:val="18"/>
                <w:szCs w:val="18"/>
              </w:rPr>
            </w:pPr>
            <w:r w:rsidRPr="005A1511">
              <w:rPr>
                <w:rFonts w:ascii="Arial" w:eastAsia="Arial" w:hAnsi="Arial" w:cs="Arial"/>
                <w:b/>
                <w:color w:val="auto"/>
                <w:sz w:val="18"/>
                <w:szCs w:val="18"/>
              </w:rPr>
              <w:t>Reporting Details</w:t>
            </w:r>
          </w:p>
          <w:p w14:paraId="60366323" w14:textId="4AC317A7" w:rsidR="004F58B3" w:rsidRPr="005A1511" w:rsidRDefault="004F58B3" w:rsidP="004F58B3">
            <w:pPr>
              <w:spacing w:after="0" w:line="240" w:lineRule="auto"/>
              <w:rPr>
                <w:rFonts w:ascii="Arial" w:eastAsia="Arial" w:hAnsi="Arial" w:cs="Arial"/>
                <w:color w:val="auto"/>
                <w:sz w:val="18"/>
                <w:szCs w:val="18"/>
              </w:rPr>
            </w:pPr>
          </w:p>
        </w:tc>
        <w:tc>
          <w:tcPr>
            <w:tcW w:w="7938" w:type="dxa"/>
          </w:tcPr>
          <w:p w14:paraId="54C6E0A6"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This comparator reports the single consultation outcome for all 7 clinical pathways by defined mutually exclusive outcome categories:</w:t>
            </w:r>
          </w:p>
          <w:p w14:paraId="6CA534F7" w14:textId="77777777" w:rsidR="004F58B3" w:rsidRPr="005A1511" w:rsidRDefault="004F58B3" w:rsidP="004F58B3">
            <w:pPr>
              <w:spacing w:after="0" w:line="240" w:lineRule="auto"/>
              <w:rPr>
                <w:rFonts w:ascii="Arial" w:eastAsia="Arial" w:hAnsi="Arial" w:cs="Arial"/>
                <w:color w:val="auto"/>
                <w:sz w:val="18"/>
                <w:szCs w:val="18"/>
              </w:rPr>
            </w:pPr>
          </w:p>
          <w:p w14:paraId="18EDE0D1" w14:textId="5AB4FDC1" w:rsidR="004F58B3" w:rsidRPr="005A1511" w:rsidRDefault="004F58B3" w:rsidP="004F58B3">
            <w:pPr>
              <w:pStyle w:val="ListParagraph"/>
              <w:numPr>
                <w:ilvl w:val="0"/>
                <w:numId w:val="32"/>
              </w:numPr>
              <w:spacing w:after="0" w:line="240" w:lineRule="auto"/>
              <w:rPr>
                <w:rFonts w:ascii="Arial" w:eastAsia="Arial" w:hAnsi="Arial" w:cs="Arial"/>
                <w:sz w:val="18"/>
                <w:szCs w:val="18"/>
              </w:rPr>
            </w:pPr>
            <w:r w:rsidRPr="005A1511">
              <w:rPr>
                <w:rFonts w:ascii="Arial" w:eastAsia="Arial" w:hAnsi="Arial" w:cs="Arial"/>
                <w:sz w:val="18"/>
                <w:szCs w:val="18"/>
              </w:rPr>
              <w:t>Medicines supply/ non-supply</w:t>
            </w:r>
            <w:r w:rsidR="0007737C" w:rsidRPr="005A1511">
              <w:rPr>
                <w:rFonts w:ascii="Arial" w:eastAsia="Arial" w:hAnsi="Arial" w:cs="Arial"/>
                <w:sz w:val="18"/>
                <w:szCs w:val="18"/>
              </w:rPr>
              <w:t xml:space="preserve"> (please refer to </w:t>
            </w:r>
            <w:hyperlink w:anchor="_Naming_convention_of" w:history="1">
              <w:r w:rsidR="0007737C" w:rsidRPr="005A1511">
                <w:rPr>
                  <w:rStyle w:val="Hyperlink"/>
                  <w:rFonts w:ascii="Arial" w:eastAsia="Arial" w:hAnsi="Arial" w:cs="Arial"/>
                  <w:sz w:val="18"/>
                  <w:szCs w:val="18"/>
                </w:rPr>
                <w:t>Naming convention of consultation outcomes</w:t>
              </w:r>
            </w:hyperlink>
            <w:r w:rsidR="0007737C" w:rsidRPr="005A1511">
              <w:rPr>
                <w:rFonts w:ascii="Arial" w:eastAsia="Arial" w:hAnsi="Arial" w:cs="Arial"/>
                <w:sz w:val="18"/>
                <w:szCs w:val="18"/>
              </w:rPr>
              <w:t xml:space="preserve"> for information on </w:t>
            </w:r>
            <w:r w:rsidR="00F646CC" w:rsidRPr="005A1511">
              <w:rPr>
                <w:rFonts w:ascii="Arial" w:eastAsia="Arial" w:hAnsi="Arial" w:cs="Arial"/>
                <w:sz w:val="18"/>
                <w:szCs w:val="18"/>
              </w:rPr>
              <w:t>this naming convention)</w:t>
            </w:r>
          </w:p>
          <w:p w14:paraId="78D679C7" w14:textId="3D420273" w:rsidR="004F58B3" w:rsidRPr="005A1511" w:rsidRDefault="004F58B3" w:rsidP="004F58B3">
            <w:pPr>
              <w:pStyle w:val="ListParagraph"/>
              <w:numPr>
                <w:ilvl w:val="0"/>
                <w:numId w:val="32"/>
              </w:numPr>
              <w:spacing w:after="0" w:line="240" w:lineRule="auto"/>
              <w:rPr>
                <w:rFonts w:ascii="Arial" w:eastAsia="Arial" w:hAnsi="Arial" w:cs="Arial"/>
                <w:sz w:val="18"/>
                <w:szCs w:val="18"/>
              </w:rPr>
            </w:pPr>
            <w:r w:rsidRPr="005A1511">
              <w:rPr>
                <w:rFonts w:ascii="Arial" w:eastAsia="Arial" w:hAnsi="Arial" w:cs="Arial"/>
                <w:sz w:val="18"/>
                <w:szCs w:val="18"/>
              </w:rPr>
              <w:t xml:space="preserve">Referral into an appropriate locally commissioned NHS service, such as a patient group direction </w:t>
            </w:r>
            <w:r w:rsidR="00F646CC" w:rsidRPr="005A1511">
              <w:rPr>
                <w:rFonts w:ascii="Arial" w:eastAsia="Arial" w:hAnsi="Arial" w:cs="Arial"/>
                <w:sz w:val="18"/>
                <w:szCs w:val="18"/>
              </w:rPr>
              <w:t xml:space="preserve">(refer to </w:t>
            </w:r>
            <w:hyperlink w:anchor="_Incorrect_categorisation_of" w:history="1">
              <w:r w:rsidR="00F646CC" w:rsidRPr="005A1511">
                <w:rPr>
                  <w:rStyle w:val="Hyperlink"/>
                  <w:rFonts w:ascii="Arial" w:eastAsia="Arial" w:hAnsi="Arial" w:cs="Arial"/>
                  <w:sz w:val="18"/>
                  <w:szCs w:val="18"/>
                </w:rPr>
                <w:t>Incorrect categorisation of consultation outcomes for Sonar pharmacy sites</w:t>
              </w:r>
            </w:hyperlink>
            <w:r w:rsidR="00F646CC" w:rsidRPr="005A1511">
              <w:rPr>
                <w:rFonts w:ascii="Arial" w:eastAsia="Arial" w:hAnsi="Arial" w:cs="Arial"/>
                <w:sz w:val="18"/>
                <w:szCs w:val="18"/>
              </w:rPr>
              <w:t xml:space="preserve"> for information on data limitations with this consultation outcome)</w:t>
            </w:r>
          </w:p>
          <w:p w14:paraId="570ACEE9" w14:textId="77777777" w:rsidR="004F58B3" w:rsidRPr="005A1511" w:rsidRDefault="004F58B3" w:rsidP="004F58B3">
            <w:pPr>
              <w:pStyle w:val="ListParagraph"/>
              <w:numPr>
                <w:ilvl w:val="0"/>
                <w:numId w:val="32"/>
              </w:numPr>
              <w:spacing w:after="0" w:line="240" w:lineRule="auto"/>
              <w:rPr>
                <w:rFonts w:ascii="Arial" w:eastAsia="Arial" w:hAnsi="Arial" w:cs="Arial"/>
                <w:sz w:val="18"/>
                <w:szCs w:val="18"/>
              </w:rPr>
            </w:pPr>
            <w:r w:rsidRPr="005A1511">
              <w:rPr>
                <w:rFonts w:ascii="Arial" w:eastAsia="Arial" w:hAnsi="Arial" w:cs="Arial"/>
                <w:sz w:val="18"/>
                <w:szCs w:val="18"/>
              </w:rPr>
              <w:t>Advice given only</w:t>
            </w:r>
          </w:p>
          <w:p w14:paraId="54B0B827" w14:textId="77777777" w:rsidR="004F58B3" w:rsidRPr="005A1511" w:rsidRDefault="004F58B3" w:rsidP="004F58B3">
            <w:pPr>
              <w:pStyle w:val="ListParagraph"/>
              <w:numPr>
                <w:ilvl w:val="0"/>
                <w:numId w:val="32"/>
              </w:numPr>
              <w:spacing w:after="0" w:line="240" w:lineRule="auto"/>
              <w:rPr>
                <w:rFonts w:ascii="Arial" w:eastAsia="Arial" w:hAnsi="Arial" w:cs="Arial"/>
                <w:sz w:val="18"/>
                <w:szCs w:val="18"/>
              </w:rPr>
            </w:pPr>
            <w:r w:rsidRPr="005A1511">
              <w:rPr>
                <w:rFonts w:ascii="Arial" w:eastAsia="Arial" w:hAnsi="Arial" w:cs="Arial"/>
                <w:sz w:val="18"/>
                <w:szCs w:val="18"/>
              </w:rPr>
              <w:t>Non-urgent signposting to another service</w:t>
            </w:r>
          </w:p>
          <w:p w14:paraId="1A95A582" w14:textId="77777777" w:rsidR="004F58B3" w:rsidRPr="005A1511" w:rsidRDefault="004F58B3" w:rsidP="004F58B3">
            <w:pPr>
              <w:pStyle w:val="ListParagraph"/>
              <w:numPr>
                <w:ilvl w:val="0"/>
                <w:numId w:val="32"/>
              </w:numPr>
              <w:spacing w:after="0" w:line="240" w:lineRule="auto"/>
              <w:rPr>
                <w:rFonts w:ascii="Arial" w:eastAsia="Arial" w:hAnsi="Arial" w:cs="Arial"/>
                <w:sz w:val="18"/>
                <w:szCs w:val="18"/>
              </w:rPr>
            </w:pPr>
            <w:r w:rsidRPr="005A1511">
              <w:rPr>
                <w:rFonts w:ascii="Arial" w:eastAsia="Arial" w:hAnsi="Arial" w:cs="Arial"/>
                <w:sz w:val="18"/>
                <w:szCs w:val="18"/>
              </w:rPr>
              <w:t>Urgent escalation to another service</w:t>
            </w:r>
          </w:p>
          <w:p w14:paraId="79FB30EF" w14:textId="77777777" w:rsidR="004F58B3" w:rsidRPr="005A1511" w:rsidRDefault="004F58B3" w:rsidP="004F58B3">
            <w:pPr>
              <w:pStyle w:val="ListParagraph"/>
              <w:numPr>
                <w:ilvl w:val="0"/>
                <w:numId w:val="32"/>
              </w:numPr>
              <w:spacing w:after="0" w:line="240" w:lineRule="auto"/>
              <w:rPr>
                <w:rFonts w:ascii="Arial" w:eastAsia="Arial" w:hAnsi="Arial" w:cs="Arial"/>
                <w:sz w:val="18"/>
                <w:szCs w:val="18"/>
              </w:rPr>
            </w:pPr>
            <w:r w:rsidRPr="005A1511">
              <w:rPr>
                <w:rFonts w:ascii="Arial" w:eastAsia="Arial" w:hAnsi="Arial" w:cs="Arial"/>
                <w:sz w:val="18"/>
                <w:szCs w:val="18"/>
              </w:rPr>
              <w:t xml:space="preserve">Other </w:t>
            </w:r>
          </w:p>
          <w:p w14:paraId="34913052" w14:textId="77777777" w:rsidR="004F58B3" w:rsidRPr="005A1511" w:rsidRDefault="004F58B3" w:rsidP="004F58B3">
            <w:pPr>
              <w:pStyle w:val="ListParagraph"/>
              <w:numPr>
                <w:ilvl w:val="0"/>
                <w:numId w:val="32"/>
              </w:numPr>
              <w:spacing w:after="0" w:line="240" w:lineRule="auto"/>
              <w:rPr>
                <w:rFonts w:ascii="Arial" w:eastAsia="Arial" w:hAnsi="Arial" w:cs="Arial"/>
                <w:sz w:val="18"/>
                <w:szCs w:val="18"/>
              </w:rPr>
            </w:pPr>
            <w:r w:rsidRPr="005A1511">
              <w:rPr>
                <w:rFonts w:ascii="Arial" w:eastAsia="Arial" w:hAnsi="Arial" w:cs="Arial"/>
                <w:sz w:val="18"/>
                <w:szCs w:val="18"/>
              </w:rPr>
              <w:t>Sale of an Over the Counter (OTC) medicine</w:t>
            </w:r>
          </w:p>
          <w:p w14:paraId="40F7780E" w14:textId="77777777" w:rsidR="004F58B3" w:rsidRPr="005A1511" w:rsidRDefault="004F58B3" w:rsidP="004F58B3">
            <w:pPr>
              <w:spacing w:after="0" w:line="240" w:lineRule="auto"/>
              <w:rPr>
                <w:rFonts w:ascii="Arial" w:eastAsia="Arial" w:hAnsi="Arial" w:cs="Arial"/>
                <w:color w:val="auto"/>
                <w:sz w:val="18"/>
                <w:szCs w:val="18"/>
              </w:rPr>
            </w:pPr>
          </w:p>
          <w:p w14:paraId="70C588C0"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It reports as a stacked proportion of consultation outcome categories, and as a stacked count of consultation outcome categories which allows comparison with other organisations and within the selected organisation over time.</w:t>
            </w:r>
          </w:p>
          <w:p w14:paraId="651C1B85" w14:textId="77777777" w:rsidR="004F58B3" w:rsidRPr="005A1511" w:rsidRDefault="004F58B3" w:rsidP="004F58B3">
            <w:pPr>
              <w:spacing w:after="0" w:line="240" w:lineRule="auto"/>
              <w:rPr>
                <w:rFonts w:ascii="Arial" w:eastAsia="Arial" w:hAnsi="Arial" w:cs="Arial"/>
                <w:color w:val="auto"/>
                <w:sz w:val="18"/>
                <w:szCs w:val="18"/>
              </w:rPr>
            </w:pPr>
          </w:p>
          <w:p w14:paraId="02589B35" w14:textId="255B8B53"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The graphs show, for</w:t>
            </w:r>
            <w:r w:rsidRPr="005A1511">
              <w:rPr>
                <w:rFonts w:ascii="Arial" w:hAnsi="Arial" w:cs="Arial"/>
              </w:rPr>
              <w:t xml:space="preserve"> </w:t>
            </w:r>
            <w:r w:rsidRPr="005A1511">
              <w:rPr>
                <w:rFonts w:ascii="Arial" w:hAnsi="Arial" w:cs="Arial"/>
                <w:sz w:val="18"/>
                <w:szCs w:val="18"/>
              </w:rPr>
              <w:t xml:space="preserve">the </w:t>
            </w:r>
            <w:r w:rsidRPr="005A1511">
              <w:rPr>
                <w:rFonts w:ascii="Arial" w:eastAsia="Arial" w:hAnsi="Arial" w:cs="Arial"/>
                <w:color w:val="auto"/>
                <w:sz w:val="18"/>
                <w:szCs w:val="18"/>
              </w:rPr>
              <w:t xml:space="preserve">month in which </w:t>
            </w:r>
            <w:r w:rsidR="00732498" w:rsidRPr="005A1511">
              <w:rPr>
                <w:rFonts w:ascii="Arial" w:eastAsia="Arial" w:hAnsi="Arial" w:cs="Arial"/>
                <w:color w:val="auto"/>
                <w:sz w:val="18"/>
                <w:szCs w:val="18"/>
              </w:rPr>
              <w:t xml:space="preserve">the </w:t>
            </w:r>
            <w:r w:rsidRPr="005A1511">
              <w:rPr>
                <w:rFonts w:ascii="Arial" w:eastAsia="Arial" w:hAnsi="Arial" w:cs="Arial"/>
                <w:color w:val="auto"/>
                <w:sz w:val="18"/>
                <w:szCs w:val="18"/>
              </w:rPr>
              <w:t>consultation claim was submitted, selected organisation</w:t>
            </w:r>
            <w:r w:rsidR="00735466" w:rsidRPr="005A1511">
              <w:rPr>
                <w:rFonts w:ascii="Arial" w:eastAsia="Arial" w:hAnsi="Arial" w:cs="Arial"/>
                <w:color w:val="auto"/>
                <w:sz w:val="18"/>
                <w:szCs w:val="18"/>
              </w:rPr>
              <w:t>,</w:t>
            </w:r>
            <w:r w:rsidRPr="005A1511">
              <w:rPr>
                <w:rFonts w:ascii="Arial" w:eastAsia="Arial" w:hAnsi="Arial" w:cs="Arial"/>
                <w:color w:val="auto"/>
                <w:sz w:val="18"/>
                <w:szCs w:val="18"/>
              </w:rPr>
              <w:t xml:space="preserve"> and clinical pathway:</w:t>
            </w:r>
          </w:p>
          <w:p w14:paraId="1C46E439" w14:textId="77777777" w:rsidR="004F58B3" w:rsidRPr="005A1511" w:rsidRDefault="004F58B3" w:rsidP="004F58B3">
            <w:pPr>
              <w:spacing w:after="0" w:line="240" w:lineRule="auto"/>
              <w:rPr>
                <w:rFonts w:ascii="Arial" w:eastAsia="Arial" w:hAnsi="Arial" w:cs="Arial"/>
                <w:color w:val="auto"/>
                <w:sz w:val="18"/>
                <w:szCs w:val="18"/>
              </w:rPr>
            </w:pPr>
          </w:p>
          <w:p w14:paraId="66AE1960" w14:textId="7523A844" w:rsidR="004F58B3" w:rsidRPr="005A1511" w:rsidRDefault="003E4FBA" w:rsidP="004F58B3">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The</w:t>
            </w:r>
            <w:r w:rsidR="004F58B3" w:rsidRPr="005A1511">
              <w:rPr>
                <w:rFonts w:ascii="Arial" w:eastAsia="Arial" w:hAnsi="Arial" w:cs="Arial"/>
                <w:sz w:val="18"/>
                <w:szCs w:val="18"/>
              </w:rPr>
              <w:t xml:space="preserve"> proportion of consultations by outcome category</w:t>
            </w:r>
          </w:p>
          <w:p w14:paraId="40107156" w14:textId="77777777" w:rsidR="004F58B3" w:rsidRPr="005A1511" w:rsidRDefault="004F58B3" w:rsidP="004F58B3">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Count of the number of consultations by outcome category</w:t>
            </w:r>
          </w:p>
          <w:p w14:paraId="51D8B493" w14:textId="77777777" w:rsidR="004F58B3" w:rsidRPr="005A1511" w:rsidRDefault="004F58B3" w:rsidP="004F58B3">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Count of the number of patients consulting by outcome category (Table view only)</w:t>
            </w:r>
          </w:p>
          <w:p w14:paraId="5D834FC3" w14:textId="569E1B70" w:rsidR="00844006" w:rsidRPr="005A1511" w:rsidRDefault="00844006" w:rsidP="004F58B3">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 xml:space="preserve">Count of the number of </w:t>
            </w:r>
            <w:r w:rsidR="00277E3B" w:rsidRPr="005A1511">
              <w:rPr>
                <w:rFonts w:ascii="Arial" w:eastAsia="Arial" w:hAnsi="Arial" w:cs="Arial"/>
                <w:sz w:val="18"/>
                <w:szCs w:val="18"/>
              </w:rPr>
              <w:t>items supplied by outcome category (Table view only)</w:t>
            </w:r>
          </w:p>
          <w:p w14:paraId="01945E6C" w14:textId="0B0AEAE0" w:rsidR="004F58B3" w:rsidRPr="005A1511" w:rsidRDefault="004F58B3" w:rsidP="004F58B3">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 xml:space="preserve">Monthly trend of the </w:t>
            </w:r>
            <w:r w:rsidR="00B0758B" w:rsidRPr="005A1511">
              <w:rPr>
                <w:rFonts w:ascii="Arial" w:eastAsia="Arial" w:hAnsi="Arial" w:cs="Arial"/>
                <w:sz w:val="18"/>
                <w:szCs w:val="18"/>
              </w:rPr>
              <w:t>above</w:t>
            </w:r>
            <w:r w:rsidRPr="005A1511">
              <w:rPr>
                <w:rFonts w:ascii="Arial" w:eastAsia="Arial" w:hAnsi="Arial" w:cs="Arial"/>
                <w:sz w:val="18"/>
                <w:szCs w:val="18"/>
              </w:rPr>
              <w:t>, from Feb 2024.</w:t>
            </w:r>
          </w:p>
          <w:p w14:paraId="2A4A88B3" w14:textId="77777777" w:rsidR="0008094B" w:rsidRPr="005A1511" w:rsidRDefault="0008094B" w:rsidP="0008094B">
            <w:pPr>
              <w:spacing w:after="0" w:line="240" w:lineRule="auto"/>
              <w:rPr>
                <w:rFonts w:ascii="Arial" w:eastAsia="Arial" w:hAnsi="Arial" w:cs="Arial"/>
                <w:sz w:val="18"/>
                <w:szCs w:val="18"/>
              </w:rPr>
            </w:pPr>
          </w:p>
          <w:p w14:paraId="6D71B1E9" w14:textId="63547A0E" w:rsidR="0008094B" w:rsidRPr="005A1511" w:rsidRDefault="00B43C71" w:rsidP="0008094B">
            <w:pPr>
              <w:spacing w:after="0" w:line="240" w:lineRule="auto"/>
              <w:rPr>
                <w:rFonts w:ascii="Arial" w:eastAsia="Arial" w:hAnsi="Arial" w:cs="Arial"/>
                <w:sz w:val="18"/>
                <w:szCs w:val="18"/>
              </w:rPr>
            </w:pPr>
            <w:r w:rsidRPr="005A1511">
              <w:rPr>
                <w:rFonts w:ascii="Arial" w:eastAsia="Arial" w:hAnsi="Arial" w:cs="Arial"/>
                <w:sz w:val="18"/>
                <w:szCs w:val="18"/>
              </w:rPr>
              <w:t xml:space="preserve">The </w:t>
            </w:r>
            <w:r w:rsidR="0008094B" w:rsidRPr="005A1511">
              <w:rPr>
                <w:rFonts w:ascii="Arial" w:eastAsia="Arial" w:hAnsi="Arial" w:cs="Arial"/>
                <w:sz w:val="18"/>
                <w:szCs w:val="18"/>
              </w:rPr>
              <w:t>National level view</w:t>
            </w:r>
            <w:r w:rsidRPr="005A1511">
              <w:rPr>
                <w:rFonts w:ascii="Arial" w:eastAsia="Arial" w:hAnsi="Arial" w:cs="Arial"/>
                <w:sz w:val="18"/>
                <w:szCs w:val="18"/>
              </w:rPr>
              <w:t>s</w:t>
            </w:r>
            <w:r w:rsidR="0008094B" w:rsidRPr="005A1511">
              <w:rPr>
                <w:rFonts w:ascii="Arial" w:eastAsia="Arial" w:hAnsi="Arial" w:cs="Arial"/>
                <w:sz w:val="18"/>
                <w:szCs w:val="18"/>
              </w:rPr>
              <w:t xml:space="preserve"> display</w:t>
            </w:r>
            <w:r w:rsidRPr="005A1511">
              <w:rPr>
                <w:rFonts w:ascii="Arial" w:eastAsia="Arial" w:hAnsi="Arial" w:cs="Arial"/>
                <w:sz w:val="18"/>
                <w:szCs w:val="18"/>
              </w:rPr>
              <w:t>s</w:t>
            </w:r>
            <w:r w:rsidR="0008094B" w:rsidRPr="005A1511">
              <w:rPr>
                <w:rFonts w:ascii="Arial" w:eastAsia="Arial" w:hAnsi="Arial" w:cs="Arial"/>
                <w:sz w:val="18"/>
                <w:szCs w:val="18"/>
              </w:rPr>
              <w:t xml:space="preserve"> </w:t>
            </w:r>
            <w:r w:rsidRPr="005A1511">
              <w:rPr>
                <w:rFonts w:ascii="Arial" w:eastAsia="Arial" w:hAnsi="Arial" w:cs="Arial"/>
                <w:sz w:val="18"/>
                <w:szCs w:val="18"/>
              </w:rPr>
              <w:t>the trend graph only.</w:t>
            </w:r>
          </w:p>
          <w:p w14:paraId="33F701BE" w14:textId="77777777" w:rsidR="004F58B3" w:rsidRPr="005A1511" w:rsidRDefault="004F58B3" w:rsidP="004F58B3">
            <w:pPr>
              <w:spacing w:after="0" w:line="240" w:lineRule="auto"/>
              <w:rPr>
                <w:rFonts w:ascii="Arial" w:eastAsia="Arial" w:hAnsi="Arial" w:cs="Arial"/>
                <w:sz w:val="18"/>
                <w:szCs w:val="18"/>
              </w:rPr>
            </w:pPr>
          </w:p>
          <w:p w14:paraId="260AABD2" w14:textId="03229F37" w:rsidR="004F58B3" w:rsidRPr="005A1511" w:rsidRDefault="004F58B3" w:rsidP="004F58B3">
            <w:pPr>
              <w:spacing w:after="0" w:line="240" w:lineRule="auto"/>
              <w:rPr>
                <w:rFonts w:ascii="Arial" w:eastAsia="Arial" w:hAnsi="Arial" w:cs="Arial"/>
                <w:sz w:val="18"/>
                <w:szCs w:val="18"/>
              </w:rPr>
            </w:pPr>
            <w:r w:rsidRPr="005A1511">
              <w:rPr>
                <w:rFonts w:ascii="Arial" w:eastAsia="Arial" w:hAnsi="Arial" w:cs="Arial"/>
                <w:sz w:val="18"/>
                <w:szCs w:val="18"/>
              </w:rPr>
              <w:t xml:space="preserve">This comparator also reports the </w:t>
            </w:r>
            <w:r w:rsidR="00AD3726" w:rsidRPr="005A1511">
              <w:rPr>
                <w:rFonts w:ascii="Arial" w:eastAsia="Arial" w:hAnsi="Arial" w:cs="Arial"/>
                <w:sz w:val="18"/>
                <w:szCs w:val="18"/>
              </w:rPr>
              <w:t>q</w:t>
            </w:r>
            <w:r w:rsidRPr="005A1511">
              <w:rPr>
                <w:rFonts w:ascii="Arial" w:eastAsia="Arial" w:hAnsi="Arial" w:cs="Arial"/>
                <w:sz w:val="18"/>
                <w:szCs w:val="18"/>
              </w:rPr>
              <w:t>uartile ICB ranking value for the selected ICB for each of the consultation outcome categories (not available in NHS Region, National or Community Pharmacy views).</w:t>
            </w:r>
          </w:p>
          <w:p w14:paraId="026E5572" w14:textId="77777777" w:rsidR="004F58B3" w:rsidRPr="005A1511" w:rsidRDefault="004F58B3" w:rsidP="004F58B3">
            <w:pPr>
              <w:spacing w:after="0" w:line="240" w:lineRule="auto"/>
              <w:rPr>
                <w:rFonts w:ascii="Arial" w:eastAsia="Arial" w:hAnsi="Arial" w:cs="Arial"/>
                <w:color w:val="auto"/>
                <w:sz w:val="18"/>
                <w:szCs w:val="18"/>
              </w:rPr>
            </w:pPr>
          </w:p>
          <w:p w14:paraId="5DD0B072"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Consultation data has been attributed to the ICB with which the patient was registered with a General Practice, based on the General Practice ODS code as reported in the Pharmacy First consultation data set. The exception to this is when this comparator is reported by Community Pharmacy organisation.</w:t>
            </w:r>
          </w:p>
          <w:p w14:paraId="21861986" w14:textId="28B1AF62" w:rsidR="004F58B3" w:rsidRPr="005A1511" w:rsidRDefault="004F58B3" w:rsidP="004F58B3">
            <w:pPr>
              <w:spacing w:after="0" w:line="240" w:lineRule="auto"/>
              <w:rPr>
                <w:rFonts w:ascii="Arial" w:eastAsia="Arial" w:hAnsi="Arial" w:cs="Arial"/>
                <w:color w:val="FF0000"/>
                <w:sz w:val="18"/>
                <w:szCs w:val="18"/>
              </w:rPr>
            </w:pPr>
          </w:p>
        </w:tc>
      </w:tr>
      <w:tr w:rsidR="004F58B3" w:rsidRPr="005A1511" w14:paraId="7CE11CD3" w14:textId="77777777" w:rsidTr="007044A0">
        <w:trPr>
          <w:trHeight w:hRule="exact" w:val="774"/>
        </w:trPr>
        <w:tc>
          <w:tcPr>
            <w:tcW w:w="534" w:type="dxa"/>
            <w:shd w:val="clear" w:color="auto" w:fill="auto"/>
          </w:tcPr>
          <w:p w14:paraId="4D199CD3"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6AA22457"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Numerator</w:t>
            </w:r>
          </w:p>
        </w:tc>
        <w:tc>
          <w:tcPr>
            <w:tcW w:w="7938" w:type="dxa"/>
          </w:tcPr>
          <w:p w14:paraId="17896606" w14:textId="5E9A27A9" w:rsidR="004F58B3" w:rsidRPr="005A1511" w:rsidRDefault="004F58B3" w:rsidP="004F58B3">
            <w:pPr>
              <w:spacing w:after="0" w:line="240" w:lineRule="auto"/>
              <w:rPr>
                <w:rFonts w:ascii="Arial" w:eastAsia="Arial" w:hAnsi="Arial" w:cs="Arial"/>
                <w:color w:val="FF0000"/>
                <w:sz w:val="18"/>
                <w:szCs w:val="18"/>
              </w:rPr>
            </w:pPr>
            <w:r w:rsidRPr="005A1511">
              <w:rPr>
                <w:rFonts w:ascii="Arial" w:hAnsi="Arial" w:cs="Arial"/>
                <w:color w:val="auto"/>
                <w:sz w:val="18"/>
                <w:szCs w:val="21"/>
                <w:shd w:val="clear" w:color="auto" w:fill="FFFFFF"/>
              </w:rPr>
              <w:t>The total number of Pharmacy First consultations by consultation outcome, for the selected organisational unit, month and clinical pathway.</w:t>
            </w:r>
          </w:p>
          <w:p w14:paraId="17CF79D1" w14:textId="77777777" w:rsidR="004F58B3" w:rsidRPr="005A1511" w:rsidRDefault="004F58B3" w:rsidP="004F58B3">
            <w:pPr>
              <w:spacing w:after="0" w:line="240" w:lineRule="auto"/>
              <w:rPr>
                <w:rFonts w:ascii="Arial" w:eastAsia="Arial" w:hAnsi="Arial" w:cs="Arial"/>
                <w:color w:val="FF0000"/>
                <w:sz w:val="18"/>
                <w:szCs w:val="18"/>
              </w:rPr>
            </w:pPr>
          </w:p>
          <w:p w14:paraId="0D1BC1A9" w14:textId="77777777" w:rsidR="004F58B3" w:rsidRPr="005A1511" w:rsidRDefault="004F58B3" w:rsidP="004F58B3">
            <w:pPr>
              <w:spacing w:after="0" w:line="240" w:lineRule="auto"/>
              <w:rPr>
                <w:rFonts w:ascii="Arial" w:eastAsia="Arial" w:hAnsi="Arial" w:cs="Arial"/>
                <w:color w:val="FF0000"/>
                <w:sz w:val="18"/>
                <w:szCs w:val="18"/>
              </w:rPr>
            </w:pPr>
          </w:p>
        </w:tc>
      </w:tr>
      <w:tr w:rsidR="004F58B3" w:rsidRPr="005A1511" w14:paraId="0DE23C13" w14:textId="77777777" w:rsidTr="007044A0">
        <w:trPr>
          <w:trHeight w:val="460"/>
        </w:trPr>
        <w:tc>
          <w:tcPr>
            <w:tcW w:w="534" w:type="dxa"/>
            <w:shd w:val="clear" w:color="auto" w:fill="auto"/>
          </w:tcPr>
          <w:p w14:paraId="631BBFD7"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3A9B783E"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Denominator</w:t>
            </w:r>
          </w:p>
        </w:tc>
        <w:tc>
          <w:tcPr>
            <w:tcW w:w="7938" w:type="dxa"/>
          </w:tcPr>
          <w:p w14:paraId="1199FAE2" w14:textId="5660CED3" w:rsidR="004F58B3" w:rsidRPr="005A1511" w:rsidRDefault="004F58B3" w:rsidP="004F58B3">
            <w:pPr>
              <w:spacing w:after="0" w:line="240" w:lineRule="auto"/>
              <w:rPr>
                <w:rFonts w:ascii="Arial" w:eastAsia="Arial" w:hAnsi="Arial" w:cs="Arial"/>
                <w:color w:val="FF0000"/>
                <w:sz w:val="18"/>
                <w:szCs w:val="18"/>
              </w:rPr>
            </w:pPr>
            <w:r w:rsidRPr="005A1511">
              <w:rPr>
                <w:rFonts w:ascii="Arial" w:hAnsi="Arial" w:cs="Arial"/>
                <w:color w:val="auto"/>
                <w:sz w:val="18"/>
                <w:szCs w:val="21"/>
                <w:shd w:val="clear" w:color="auto" w:fill="FFFFFF"/>
              </w:rPr>
              <w:t>The total number of Pharmacy First consultations for all consultation outcomes, for the selected organisational unit, month and clinical pathway.</w:t>
            </w:r>
          </w:p>
          <w:p w14:paraId="7960B3E4" w14:textId="762C03C8" w:rsidR="004F58B3" w:rsidRPr="005A1511" w:rsidRDefault="004F58B3" w:rsidP="004F58B3">
            <w:pPr>
              <w:spacing w:after="0" w:line="240" w:lineRule="auto"/>
              <w:rPr>
                <w:rFonts w:ascii="Arial" w:eastAsia="Arial" w:hAnsi="Arial" w:cs="Arial"/>
                <w:color w:val="FF0000"/>
                <w:sz w:val="18"/>
                <w:szCs w:val="18"/>
              </w:rPr>
            </w:pPr>
          </w:p>
        </w:tc>
      </w:tr>
      <w:tr w:rsidR="004F58B3" w:rsidRPr="005A1511" w14:paraId="4A1CE31D" w14:textId="77777777" w:rsidTr="007044A0">
        <w:tc>
          <w:tcPr>
            <w:tcW w:w="534" w:type="dxa"/>
            <w:shd w:val="clear" w:color="auto" w:fill="auto"/>
          </w:tcPr>
          <w:p w14:paraId="3B275D53"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1.6</w:t>
            </w:r>
          </w:p>
        </w:tc>
        <w:tc>
          <w:tcPr>
            <w:tcW w:w="1417" w:type="dxa"/>
            <w:tcBorders>
              <w:top w:val="single" w:sz="4" w:space="0" w:color="000000"/>
            </w:tcBorders>
            <w:shd w:val="clear" w:color="auto" w:fill="D9D9D9"/>
          </w:tcPr>
          <w:p w14:paraId="70340A5F"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Methodology</w:t>
            </w:r>
          </w:p>
        </w:tc>
        <w:tc>
          <w:tcPr>
            <w:tcW w:w="7938" w:type="dxa"/>
          </w:tcPr>
          <w:p w14:paraId="177EDAD2" w14:textId="113DA8CD"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Numerator divided by denominator, expressed as a percentage. Consultation counts are also shown as an integer in the visualisation tooltip (hover), as well as in the Table and Graph (Values) views. </w:t>
            </w:r>
          </w:p>
          <w:p w14:paraId="789D6AF3" w14:textId="77777777" w:rsidR="004F58B3" w:rsidRPr="005A1511" w:rsidRDefault="004F58B3" w:rsidP="004F58B3">
            <w:pPr>
              <w:spacing w:after="0" w:line="240" w:lineRule="auto"/>
              <w:rPr>
                <w:rFonts w:ascii="Arial" w:eastAsia="Arial" w:hAnsi="Arial" w:cs="Arial"/>
                <w:color w:val="auto"/>
                <w:sz w:val="18"/>
                <w:szCs w:val="18"/>
              </w:rPr>
            </w:pPr>
          </w:p>
        </w:tc>
      </w:tr>
      <w:tr w:rsidR="004F58B3" w:rsidRPr="005A1511" w14:paraId="32AEBF7F" w14:textId="77777777" w:rsidTr="007044A0">
        <w:tc>
          <w:tcPr>
            <w:tcW w:w="534" w:type="dxa"/>
            <w:shd w:val="clear" w:color="auto" w:fill="auto"/>
          </w:tcPr>
          <w:p w14:paraId="5141ACAC"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1.7</w:t>
            </w:r>
          </w:p>
        </w:tc>
        <w:tc>
          <w:tcPr>
            <w:tcW w:w="1417" w:type="dxa"/>
            <w:tcBorders>
              <w:top w:val="single" w:sz="4" w:space="0" w:color="000000"/>
            </w:tcBorders>
            <w:shd w:val="clear" w:color="auto" w:fill="D9D9D9"/>
          </w:tcPr>
          <w:p w14:paraId="5F8A13DB" w14:textId="77777777" w:rsidR="004F58B3" w:rsidRPr="005A1511" w:rsidRDefault="004F58B3" w:rsidP="004F58B3">
            <w:pPr>
              <w:spacing w:after="0" w:line="240" w:lineRule="auto"/>
              <w:rPr>
                <w:rFonts w:ascii="Arial" w:eastAsia="Arial" w:hAnsi="Arial" w:cs="Arial"/>
                <w:b/>
                <w:color w:val="auto"/>
                <w:sz w:val="18"/>
                <w:szCs w:val="18"/>
              </w:rPr>
            </w:pPr>
            <w:r w:rsidRPr="005A1511">
              <w:rPr>
                <w:rFonts w:ascii="Arial" w:eastAsia="Arial" w:hAnsi="Arial" w:cs="Arial"/>
                <w:b/>
                <w:color w:val="auto"/>
                <w:sz w:val="18"/>
                <w:szCs w:val="18"/>
              </w:rPr>
              <w:t>Medicines</w:t>
            </w:r>
          </w:p>
        </w:tc>
        <w:tc>
          <w:tcPr>
            <w:tcW w:w="7938" w:type="dxa"/>
          </w:tcPr>
          <w:p w14:paraId="7DC9682F" w14:textId="203BBB40"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sz w:val="18"/>
                <w:szCs w:val="18"/>
              </w:rPr>
              <w:t xml:space="preserve">Please refer to the Patient Group Directions for the relevant clinical pathway, which can be found at </w:t>
            </w:r>
            <w:hyperlink r:id="rId19" w:history="1">
              <w:r w:rsidRPr="005A1511">
                <w:rPr>
                  <w:rStyle w:val="Hyperlink"/>
                  <w:rFonts w:ascii="Arial" w:eastAsia="Arial" w:hAnsi="Arial" w:cs="Arial"/>
                  <w:sz w:val="18"/>
                  <w:szCs w:val="18"/>
                </w:rPr>
                <w:t>https://www.england.nhs.uk/publication/community-pharmacy-advanced-service-specification-nhs-pharmacy-first-service/</w:t>
              </w:r>
            </w:hyperlink>
            <w:r w:rsidRPr="005A1511">
              <w:rPr>
                <w:rFonts w:ascii="Arial" w:eastAsia="Arial" w:hAnsi="Arial" w:cs="Arial"/>
                <w:sz w:val="18"/>
                <w:szCs w:val="18"/>
              </w:rPr>
              <w:t xml:space="preserve"> </w:t>
            </w:r>
          </w:p>
        </w:tc>
      </w:tr>
      <w:tr w:rsidR="004F58B3" w:rsidRPr="005A1511" w14:paraId="7F72875A" w14:textId="77777777" w:rsidTr="007044A0">
        <w:tc>
          <w:tcPr>
            <w:tcW w:w="9889" w:type="dxa"/>
            <w:gridSpan w:val="3"/>
            <w:shd w:val="clear" w:color="auto" w:fill="D9D9D9"/>
          </w:tcPr>
          <w:p w14:paraId="74F53EAE"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Section 2: Rationale</w:t>
            </w:r>
          </w:p>
        </w:tc>
      </w:tr>
      <w:tr w:rsidR="004F58B3" w:rsidRPr="005A1511" w14:paraId="1FA09B8F" w14:textId="77777777" w:rsidTr="007044A0">
        <w:trPr>
          <w:trHeight w:val="1220"/>
        </w:trPr>
        <w:tc>
          <w:tcPr>
            <w:tcW w:w="534" w:type="dxa"/>
            <w:shd w:val="clear" w:color="auto" w:fill="auto"/>
          </w:tcPr>
          <w:p w14:paraId="67BF887F"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lastRenderedPageBreak/>
              <w:t>2.1</w:t>
            </w:r>
          </w:p>
          <w:p w14:paraId="39E45344" w14:textId="77777777" w:rsidR="004F58B3" w:rsidRPr="005A1511" w:rsidRDefault="004F58B3" w:rsidP="004F58B3">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075B3D76"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Purpose and Limitations</w:t>
            </w:r>
          </w:p>
        </w:tc>
        <w:tc>
          <w:tcPr>
            <w:tcW w:w="7938" w:type="dxa"/>
          </w:tcPr>
          <w:p w14:paraId="4A64DFED" w14:textId="77777777" w:rsidR="00A724E4" w:rsidRPr="005A1511" w:rsidRDefault="004F58B3" w:rsidP="004F58B3">
            <w:pPr>
              <w:spacing w:after="0" w:line="240" w:lineRule="auto"/>
              <w:rPr>
                <w:rFonts w:ascii="Arial" w:eastAsia="Times New Roman" w:hAnsi="Arial" w:cs="Arial"/>
                <w:color w:val="auto"/>
                <w:sz w:val="18"/>
                <w:szCs w:val="18"/>
              </w:rPr>
            </w:pPr>
            <w:r w:rsidRPr="005A1511">
              <w:rPr>
                <w:rFonts w:ascii="Arial" w:eastAsia="Times New Roman" w:hAnsi="Arial" w:cs="Arial"/>
                <w:color w:val="auto"/>
                <w:sz w:val="18"/>
                <w:szCs w:val="18"/>
              </w:rPr>
              <w:t xml:space="preserve">The purpose of this dashboard is to </w:t>
            </w:r>
            <w:r w:rsidR="00A724E4" w:rsidRPr="005A1511">
              <w:rPr>
                <w:rFonts w:ascii="Arial" w:eastAsia="Times New Roman" w:hAnsi="Arial" w:cs="Arial"/>
                <w:color w:val="auto"/>
                <w:sz w:val="18"/>
                <w:szCs w:val="18"/>
              </w:rPr>
              <w:t xml:space="preserve">help </w:t>
            </w:r>
            <w:r w:rsidRPr="005A1511">
              <w:rPr>
                <w:rFonts w:ascii="Arial" w:eastAsia="Times New Roman" w:hAnsi="Arial" w:cs="Arial"/>
                <w:color w:val="auto"/>
                <w:sz w:val="18"/>
                <w:szCs w:val="18"/>
              </w:rPr>
              <w:t xml:space="preserve">support clinicians and </w:t>
            </w:r>
            <w:r w:rsidR="00A724E4" w:rsidRPr="005A1511">
              <w:rPr>
                <w:rFonts w:ascii="Arial" w:eastAsia="Times New Roman" w:hAnsi="Arial" w:cs="Arial"/>
                <w:color w:val="auto"/>
                <w:sz w:val="18"/>
                <w:szCs w:val="18"/>
              </w:rPr>
              <w:t>ICBs</w:t>
            </w:r>
            <w:r w:rsidRPr="005A1511">
              <w:rPr>
                <w:rFonts w:ascii="Arial" w:eastAsia="Times New Roman" w:hAnsi="Arial" w:cs="Arial"/>
                <w:color w:val="auto"/>
                <w:sz w:val="18"/>
                <w:szCs w:val="18"/>
              </w:rPr>
              <w:t xml:space="preserve"> monitor access to infection pathways and monitor exposure to medicines including antimicrobials for defined populations. </w:t>
            </w:r>
          </w:p>
          <w:p w14:paraId="6BB470E0" w14:textId="77777777" w:rsidR="00A724E4" w:rsidRPr="005A1511" w:rsidRDefault="00A724E4" w:rsidP="004F58B3">
            <w:pPr>
              <w:spacing w:after="0" w:line="240" w:lineRule="auto"/>
              <w:rPr>
                <w:rFonts w:ascii="Arial" w:eastAsia="Times New Roman" w:hAnsi="Arial" w:cs="Arial"/>
                <w:color w:val="auto"/>
                <w:sz w:val="18"/>
                <w:szCs w:val="18"/>
              </w:rPr>
            </w:pPr>
          </w:p>
          <w:p w14:paraId="6A3DFF28" w14:textId="10B8648C"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To </w:t>
            </w:r>
            <w:r w:rsidR="00A724E4" w:rsidRPr="005A1511">
              <w:rPr>
                <w:rFonts w:ascii="Arial" w:eastAsia="Arial" w:hAnsi="Arial" w:cs="Arial"/>
                <w:color w:val="auto"/>
                <w:sz w:val="18"/>
                <w:szCs w:val="18"/>
              </w:rPr>
              <w:t xml:space="preserve">enable </w:t>
            </w:r>
            <w:r w:rsidRPr="005A1511">
              <w:rPr>
                <w:rFonts w:ascii="Arial" w:eastAsia="Arial" w:hAnsi="Arial" w:cs="Arial"/>
                <w:color w:val="auto"/>
                <w:sz w:val="18"/>
                <w:szCs w:val="18"/>
              </w:rPr>
              <w:t xml:space="preserve">this, patient consultation data has been attributed to the ICB with which the patient is currently registered at a General Practice, based on the General Practice ODS code as reported in the Pharmacy First consultation data set. </w:t>
            </w:r>
          </w:p>
          <w:p w14:paraId="6772827D" w14:textId="77777777" w:rsidR="004F58B3" w:rsidRPr="005A1511" w:rsidRDefault="004F58B3" w:rsidP="004F58B3">
            <w:pPr>
              <w:spacing w:after="0" w:line="240" w:lineRule="auto"/>
              <w:rPr>
                <w:rFonts w:ascii="Arial" w:eastAsia="Arial" w:hAnsi="Arial" w:cs="Arial"/>
                <w:color w:val="auto"/>
                <w:sz w:val="18"/>
                <w:szCs w:val="18"/>
              </w:rPr>
            </w:pPr>
          </w:p>
          <w:p w14:paraId="2F04D0E6" w14:textId="3CD50F3B"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This comparator allows </w:t>
            </w:r>
            <w:r w:rsidR="00A724E4" w:rsidRPr="005A1511">
              <w:rPr>
                <w:rFonts w:ascii="Arial" w:eastAsia="Arial" w:hAnsi="Arial" w:cs="Arial"/>
                <w:color w:val="auto"/>
                <w:sz w:val="18"/>
                <w:szCs w:val="18"/>
              </w:rPr>
              <w:t>ICBs</w:t>
            </w:r>
            <w:r w:rsidRPr="005A1511">
              <w:rPr>
                <w:rFonts w:ascii="Arial" w:eastAsia="Arial" w:hAnsi="Arial" w:cs="Arial"/>
                <w:color w:val="auto"/>
                <w:sz w:val="18"/>
                <w:szCs w:val="18"/>
              </w:rPr>
              <w:t xml:space="preserve"> to identify the outcome of Pharmacy First consultations for the population of their integrated care system by selected clinical pathway. It also identifies variation in consultation outcome between </w:t>
            </w:r>
            <w:r w:rsidR="00A724E4" w:rsidRPr="005A1511">
              <w:rPr>
                <w:rFonts w:ascii="Arial" w:eastAsia="Arial" w:hAnsi="Arial" w:cs="Arial"/>
                <w:color w:val="auto"/>
                <w:sz w:val="18"/>
                <w:szCs w:val="18"/>
              </w:rPr>
              <w:t xml:space="preserve">ICBs </w:t>
            </w:r>
            <w:r w:rsidRPr="005A1511">
              <w:rPr>
                <w:rFonts w:ascii="Arial" w:eastAsia="Arial" w:hAnsi="Arial" w:cs="Arial"/>
                <w:color w:val="auto"/>
                <w:sz w:val="18"/>
                <w:szCs w:val="18"/>
              </w:rPr>
              <w:t xml:space="preserve">for a selected clinical pathway, and within individual </w:t>
            </w:r>
            <w:r w:rsidR="00A724E4" w:rsidRPr="005A1511">
              <w:rPr>
                <w:rFonts w:ascii="Arial" w:eastAsia="Arial" w:hAnsi="Arial" w:cs="Arial"/>
                <w:color w:val="auto"/>
                <w:sz w:val="18"/>
                <w:szCs w:val="18"/>
              </w:rPr>
              <w:t xml:space="preserve">ICBs </w:t>
            </w:r>
            <w:r w:rsidRPr="005A1511">
              <w:rPr>
                <w:rFonts w:ascii="Arial" w:eastAsia="Arial" w:hAnsi="Arial" w:cs="Arial"/>
                <w:color w:val="auto"/>
                <w:sz w:val="18"/>
                <w:szCs w:val="18"/>
              </w:rPr>
              <w:t xml:space="preserve">across all 7 clinical pathways, using the Monthly Summary comparator. </w:t>
            </w:r>
          </w:p>
          <w:p w14:paraId="66CED913" w14:textId="77777777" w:rsidR="004F58B3" w:rsidRPr="005A1511" w:rsidRDefault="004F58B3" w:rsidP="004F58B3">
            <w:pPr>
              <w:spacing w:after="0" w:line="240" w:lineRule="auto"/>
              <w:rPr>
                <w:rFonts w:ascii="Arial" w:eastAsia="Arial" w:hAnsi="Arial" w:cs="Arial"/>
                <w:color w:val="auto"/>
                <w:sz w:val="18"/>
                <w:szCs w:val="18"/>
              </w:rPr>
            </w:pPr>
          </w:p>
          <w:p w14:paraId="286A9FB8" w14:textId="5CD93DE5" w:rsidR="004F58B3" w:rsidRPr="005A1511" w:rsidRDefault="00A724E4" w:rsidP="004F58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Q</w:t>
            </w:r>
            <w:r w:rsidR="004F58B3" w:rsidRPr="005A1511">
              <w:rPr>
                <w:rFonts w:ascii="Arial" w:eastAsia="Arial" w:hAnsi="Arial" w:cs="Arial"/>
                <w:color w:val="auto"/>
                <w:sz w:val="18"/>
                <w:szCs w:val="18"/>
              </w:rPr>
              <w:t xml:space="preserve">uartile ranking </w:t>
            </w:r>
            <w:r w:rsidRPr="005A1511">
              <w:rPr>
                <w:rFonts w:ascii="Arial" w:eastAsia="Arial" w:hAnsi="Arial" w:cs="Arial"/>
                <w:color w:val="auto"/>
                <w:sz w:val="18"/>
                <w:szCs w:val="18"/>
              </w:rPr>
              <w:t xml:space="preserve">of </w:t>
            </w:r>
            <w:r w:rsidRPr="005A1511">
              <w:rPr>
                <w:rFonts w:ascii="Arial" w:eastAsia="Arial" w:hAnsi="Arial" w:cs="Arial"/>
                <w:color w:val="auto"/>
                <w:sz w:val="18"/>
                <w:szCs w:val="18"/>
              </w:rPr>
              <w:t xml:space="preserve">ICBs </w:t>
            </w:r>
            <w:r w:rsidR="004F58B3" w:rsidRPr="005A1511">
              <w:rPr>
                <w:rFonts w:ascii="Arial" w:eastAsia="Arial" w:hAnsi="Arial" w:cs="Arial"/>
                <w:color w:val="auto"/>
                <w:sz w:val="18"/>
                <w:szCs w:val="18"/>
              </w:rPr>
              <w:t>by consultation outcome categories supports the identification of issues that may warrant further investigation such as high/low urgent escalation outcomes for uncomplicated UTI consultations.</w:t>
            </w:r>
          </w:p>
          <w:p w14:paraId="1D7E2C50" w14:textId="77777777" w:rsidR="004F58B3" w:rsidRPr="005A1511" w:rsidRDefault="004F58B3" w:rsidP="004F58B3">
            <w:pPr>
              <w:spacing w:after="0" w:line="240" w:lineRule="auto"/>
              <w:rPr>
                <w:rFonts w:ascii="Arial" w:eastAsia="Arial" w:hAnsi="Arial" w:cs="Arial"/>
                <w:color w:val="auto"/>
                <w:sz w:val="18"/>
                <w:szCs w:val="18"/>
              </w:rPr>
            </w:pPr>
          </w:p>
          <w:p w14:paraId="0C76C412" w14:textId="77777777" w:rsidR="004F58B3" w:rsidRPr="005A1511" w:rsidRDefault="004F58B3" w:rsidP="004F58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The comparator is also reported as a monthly trend for each clinical pathway to allow access over time to be identified for the selected organisation.</w:t>
            </w:r>
          </w:p>
          <w:p w14:paraId="490A3577" w14:textId="77777777" w:rsidR="00320581" w:rsidRPr="005A1511" w:rsidRDefault="00320581" w:rsidP="004F58B3">
            <w:pPr>
              <w:spacing w:after="0" w:line="240" w:lineRule="auto"/>
              <w:rPr>
                <w:rFonts w:ascii="Arial" w:eastAsia="Arial" w:hAnsi="Arial" w:cs="Arial"/>
                <w:color w:val="auto"/>
                <w:sz w:val="18"/>
                <w:szCs w:val="18"/>
              </w:rPr>
            </w:pPr>
          </w:p>
          <w:p w14:paraId="5503538F" w14:textId="77777777" w:rsidR="004F58B3" w:rsidRPr="005A1511" w:rsidRDefault="00320581" w:rsidP="00320581">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Please note there is a known data issue with consultation outcome categories for pharmacies using the Sonar IT system – see </w:t>
            </w:r>
            <w:hyperlink w:anchor="_Incorrect_categorisation_of_1" w:history="1">
              <w:r w:rsidRPr="005A1511">
                <w:rPr>
                  <w:rStyle w:val="Hyperlink"/>
                  <w:rFonts w:ascii="Arial" w:eastAsia="Arial" w:hAnsi="Arial" w:cs="Arial"/>
                  <w:sz w:val="18"/>
                  <w:szCs w:val="18"/>
                </w:rPr>
                <w:t>Incorrect categorisation of consultation outcomes for Sonar pharmacy sites</w:t>
              </w:r>
            </w:hyperlink>
            <w:r w:rsidRPr="005A1511">
              <w:rPr>
                <w:rFonts w:ascii="Arial" w:eastAsia="Arial" w:hAnsi="Arial" w:cs="Arial"/>
                <w:color w:val="auto"/>
                <w:sz w:val="18"/>
                <w:szCs w:val="18"/>
              </w:rPr>
              <w:t xml:space="preserve"> for more information.</w:t>
            </w:r>
          </w:p>
          <w:p w14:paraId="1B72D6A1" w14:textId="27510852" w:rsidR="00320581" w:rsidRPr="005A1511" w:rsidRDefault="00320581" w:rsidP="00320581">
            <w:pPr>
              <w:spacing w:after="0" w:line="240" w:lineRule="auto"/>
              <w:rPr>
                <w:rFonts w:ascii="Arial" w:eastAsia="Arial" w:hAnsi="Arial" w:cs="Arial"/>
                <w:color w:val="auto"/>
                <w:sz w:val="18"/>
                <w:szCs w:val="18"/>
              </w:rPr>
            </w:pPr>
          </w:p>
        </w:tc>
      </w:tr>
    </w:tbl>
    <w:p w14:paraId="56FEEC5A" w14:textId="77777777" w:rsidR="00C80CB6" w:rsidRPr="005A1511" w:rsidRDefault="00C80CB6" w:rsidP="00956E6C">
      <w:pPr>
        <w:rPr>
          <w:rFonts w:ascii="Arial" w:hAnsi="Arial" w:cs="Arial"/>
        </w:rPr>
      </w:pPr>
    </w:p>
    <w:p w14:paraId="02974ECA" w14:textId="77777777" w:rsidR="003C251E" w:rsidRPr="005A1511" w:rsidRDefault="003C251E" w:rsidP="00956E6C">
      <w:pPr>
        <w:rPr>
          <w:rFonts w:ascii="Arial" w:hAnsi="Arial" w:cs="Arial"/>
        </w:rPr>
      </w:pPr>
      <w:bookmarkStart w:id="35" w:name="_35nkun2" w:colFirst="0" w:colLast="0"/>
      <w:bookmarkEnd w:id="35"/>
    </w:p>
    <w:p w14:paraId="46C8D669" w14:textId="77777777" w:rsidR="00C521FF" w:rsidRPr="005A1511" w:rsidRDefault="00C521FF">
      <w:pPr>
        <w:rPr>
          <w:rFonts w:ascii="Arial" w:eastAsia="Arial" w:hAnsi="Arial" w:cs="Arial"/>
          <w:b/>
          <w:sz w:val="20"/>
          <w:szCs w:val="20"/>
        </w:rPr>
      </w:pPr>
      <w:r w:rsidRPr="005A1511">
        <w:rPr>
          <w:rFonts w:ascii="Arial" w:hAnsi="Arial" w:cs="Arial"/>
        </w:rPr>
        <w:br w:type="page"/>
      </w:r>
    </w:p>
    <w:p w14:paraId="531C0836" w14:textId="76C068E9" w:rsidR="00545C0A" w:rsidRPr="005A1511" w:rsidRDefault="00C521FF" w:rsidP="00CC56ED">
      <w:pPr>
        <w:pStyle w:val="Heading2"/>
      </w:pPr>
      <w:bookmarkStart w:id="36" w:name="_Toc189144439"/>
      <w:r w:rsidRPr="005A1511">
        <w:lastRenderedPageBreak/>
        <w:t>Comparator: Pathway by Medicine Selected</w:t>
      </w:r>
      <w:bookmarkEnd w:id="36"/>
    </w:p>
    <w:p w14:paraId="699A5E5A" w14:textId="77777777" w:rsidR="008D5FD6" w:rsidRPr="005A1511" w:rsidRDefault="008D5FD6" w:rsidP="008D5FD6">
      <w:pPr>
        <w:rPr>
          <w:rFonts w:ascii="Arial" w:hAnsi="Arial" w:cs="Arial"/>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40431B" w:rsidRPr="005A1511" w14:paraId="6DA666A1" w14:textId="77777777" w:rsidTr="007044A0">
        <w:tc>
          <w:tcPr>
            <w:tcW w:w="9889" w:type="dxa"/>
            <w:gridSpan w:val="3"/>
            <w:shd w:val="clear" w:color="auto" w:fill="D9D9D9"/>
          </w:tcPr>
          <w:p w14:paraId="79A5EDF2" w14:textId="3A96670A" w:rsidR="0040431B" w:rsidRPr="005A1511" w:rsidRDefault="0040431B" w:rsidP="007044A0">
            <w:pPr>
              <w:spacing w:line="240" w:lineRule="auto"/>
              <w:rPr>
                <w:rFonts w:ascii="Arial" w:eastAsia="Arial" w:hAnsi="Arial" w:cs="Arial"/>
                <w:color w:val="auto"/>
                <w:sz w:val="18"/>
                <w:szCs w:val="18"/>
              </w:rPr>
            </w:pPr>
            <w:r w:rsidRPr="005A1511">
              <w:rPr>
                <w:rFonts w:ascii="Arial" w:eastAsia="Arial" w:hAnsi="Arial" w:cs="Arial"/>
                <w:b/>
                <w:color w:val="auto"/>
                <w:sz w:val="18"/>
                <w:szCs w:val="18"/>
              </w:rPr>
              <w:t xml:space="preserve">Section 1: </w:t>
            </w:r>
            <w:r w:rsidR="009832CA" w:rsidRPr="005A1511">
              <w:rPr>
                <w:rFonts w:ascii="Arial" w:eastAsia="Arial" w:hAnsi="Arial" w:cs="Arial"/>
                <w:b/>
                <w:color w:val="auto"/>
                <w:sz w:val="18"/>
                <w:szCs w:val="18"/>
              </w:rPr>
              <w:t>Introduction / Overview</w:t>
            </w:r>
          </w:p>
        </w:tc>
      </w:tr>
      <w:tr w:rsidR="0040431B" w:rsidRPr="005A1511" w14:paraId="706F61D6" w14:textId="77777777" w:rsidTr="007044A0">
        <w:tc>
          <w:tcPr>
            <w:tcW w:w="534" w:type="dxa"/>
            <w:shd w:val="clear" w:color="auto" w:fill="auto"/>
          </w:tcPr>
          <w:p w14:paraId="23BC294C" w14:textId="77777777" w:rsidR="0040431B" w:rsidRPr="005A1511" w:rsidRDefault="0040431B"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1.1</w:t>
            </w:r>
          </w:p>
          <w:p w14:paraId="0489175D" w14:textId="77777777" w:rsidR="0040431B" w:rsidRPr="005A1511" w:rsidRDefault="0040431B" w:rsidP="007044A0">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1A51FA98" w14:textId="77777777" w:rsidR="0040431B" w:rsidRPr="005A1511" w:rsidRDefault="0040431B"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Title</w:t>
            </w:r>
          </w:p>
        </w:tc>
        <w:tc>
          <w:tcPr>
            <w:tcW w:w="7938" w:type="dxa"/>
          </w:tcPr>
          <w:p w14:paraId="56074859" w14:textId="04ACBC2C" w:rsidR="0040431B" w:rsidRPr="005A1511" w:rsidRDefault="00C521FF"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Pathway by Medicine Selected</w:t>
            </w:r>
          </w:p>
        </w:tc>
      </w:tr>
      <w:tr w:rsidR="0040431B" w:rsidRPr="005A1511" w14:paraId="403356EA" w14:textId="77777777" w:rsidTr="007044A0">
        <w:tc>
          <w:tcPr>
            <w:tcW w:w="534" w:type="dxa"/>
            <w:shd w:val="clear" w:color="auto" w:fill="auto"/>
          </w:tcPr>
          <w:p w14:paraId="7C0930F8" w14:textId="77777777" w:rsidR="0040431B" w:rsidRPr="005A1511" w:rsidRDefault="0040431B"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07A89F65" w14:textId="77777777" w:rsidR="0040431B" w:rsidRPr="005A1511" w:rsidRDefault="0040431B"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Definition</w:t>
            </w:r>
          </w:p>
        </w:tc>
        <w:tc>
          <w:tcPr>
            <w:tcW w:w="7938" w:type="dxa"/>
          </w:tcPr>
          <w:p w14:paraId="3091965A" w14:textId="08706DCF" w:rsidR="00CB41E5" w:rsidRPr="005A1511" w:rsidRDefault="00CB41E5" w:rsidP="00CB41E5">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 xml:space="preserve">This comparator reports the number of and proportion of Pharmacy First consultations where a medicine has been supplied </w:t>
            </w:r>
            <w:r w:rsidR="00320581" w:rsidRPr="005A1511">
              <w:rPr>
                <w:rFonts w:ascii="Arial" w:hAnsi="Arial" w:cs="Arial"/>
                <w:color w:val="auto"/>
                <w:sz w:val="18"/>
                <w:szCs w:val="21"/>
                <w:shd w:val="clear" w:color="auto" w:fill="FFFFFF"/>
              </w:rPr>
              <w:t>under the</w:t>
            </w:r>
            <w:r w:rsidRPr="005A1511">
              <w:rPr>
                <w:rFonts w:ascii="Arial" w:hAnsi="Arial" w:cs="Arial"/>
                <w:color w:val="auto"/>
                <w:sz w:val="18"/>
                <w:szCs w:val="21"/>
                <w:shd w:val="clear" w:color="auto" w:fill="FFFFFF"/>
              </w:rPr>
              <w:t xml:space="preserve"> Patient Group Direction, and reports details of the type of medicine supplied for a selected clinical pathway, by organisation and month.</w:t>
            </w:r>
          </w:p>
          <w:p w14:paraId="5C41C061" w14:textId="77777777" w:rsidR="00CB41E5" w:rsidRPr="005A1511" w:rsidRDefault="00CB41E5" w:rsidP="00CB41E5">
            <w:pPr>
              <w:spacing w:after="0" w:line="240" w:lineRule="auto"/>
              <w:rPr>
                <w:rFonts w:ascii="Arial" w:hAnsi="Arial" w:cs="Arial"/>
                <w:color w:val="auto"/>
                <w:sz w:val="18"/>
                <w:szCs w:val="21"/>
                <w:shd w:val="clear" w:color="auto" w:fill="FFFFFF"/>
              </w:rPr>
            </w:pPr>
          </w:p>
          <w:p w14:paraId="617E203A" w14:textId="43E7AB2B" w:rsidR="00CB41E5" w:rsidRPr="005A1511" w:rsidRDefault="00CB41E5" w:rsidP="00CB41E5">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 xml:space="preserve">This data is available at </w:t>
            </w:r>
            <w:r w:rsidR="00823837" w:rsidRPr="005A1511">
              <w:rPr>
                <w:rFonts w:ascii="Arial" w:hAnsi="Arial" w:cs="Arial"/>
                <w:color w:val="auto"/>
                <w:sz w:val="18"/>
                <w:szCs w:val="21"/>
                <w:shd w:val="clear" w:color="auto" w:fill="FFFFFF"/>
              </w:rPr>
              <w:t>ICB</w:t>
            </w:r>
            <w:r w:rsidRPr="005A1511">
              <w:rPr>
                <w:rFonts w:ascii="Arial" w:hAnsi="Arial" w:cs="Arial"/>
                <w:color w:val="auto"/>
                <w:sz w:val="18"/>
                <w:szCs w:val="21"/>
                <w:shd w:val="clear" w:color="auto" w:fill="FFFFFF"/>
              </w:rPr>
              <w:t xml:space="preserve">, NHS </w:t>
            </w:r>
            <w:r w:rsidR="00823837" w:rsidRPr="005A1511">
              <w:rPr>
                <w:rFonts w:ascii="Arial" w:hAnsi="Arial" w:cs="Arial"/>
                <w:color w:val="auto"/>
                <w:sz w:val="18"/>
                <w:szCs w:val="21"/>
                <w:shd w:val="clear" w:color="auto" w:fill="FFFFFF"/>
              </w:rPr>
              <w:t>r</w:t>
            </w:r>
            <w:r w:rsidRPr="005A1511">
              <w:rPr>
                <w:rFonts w:ascii="Arial" w:hAnsi="Arial" w:cs="Arial"/>
                <w:color w:val="auto"/>
                <w:sz w:val="18"/>
                <w:szCs w:val="21"/>
                <w:shd w:val="clear" w:color="auto" w:fill="FFFFFF"/>
              </w:rPr>
              <w:t xml:space="preserve">egion and national </w:t>
            </w:r>
            <w:r w:rsidR="00F55660" w:rsidRPr="005A1511">
              <w:rPr>
                <w:rFonts w:ascii="Arial" w:hAnsi="Arial" w:cs="Arial"/>
                <w:color w:val="auto"/>
                <w:sz w:val="18"/>
                <w:szCs w:val="21"/>
                <w:shd w:val="clear" w:color="auto" w:fill="FFFFFF"/>
              </w:rPr>
              <w:t>(</w:t>
            </w:r>
            <w:r w:rsidRPr="005A1511">
              <w:rPr>
                <w:rFonts w:ascii="Arial" w:hAnsi="Arial" w:cs="Arial"/>
                <w:color w:val="auto"/>
                <w:sz w:val="18"/>
                <w:szCs w:val="21"/>
                <w:shd w:val="clear" w:color="auto" w:fill="FFFFFF"/>
              </w:rPr>
              <w:t>England</w:t>
            </w:r>
            <w:r w:rsidR="00F55660" w:rsidRPr="005A1511">
              <w:rPr>
                <w:rFonts w:ascii="Arial" w:hAnsi="Arial" w:cs="Arial"/>
                <w:color w:val="auto"/>
                <w:sz w:val="18"/>
                <w:szCs w:val="21"/>
                <w:shd w:val="clear" w:color="auto" w:fill="FFFFFF"/>
              </w:rPr>
              <w:t>)</w:t>
            </w:r>
            <w:r w:rsidRPr="005A1511">
              <w:rPr>
                <w:rFonts w:ascii="Arial" w:hAnsi="Arial" w:cs="Arial"/>
                <w:color w:val="auto"/>
                <w:sz w:val="18"/>
                <w:szCs w:val="21"/>
                <w:shd w:val="clear" w:color="auto" w:fill="FFFFFF"/>
              </w:rPr>
              <w:t xml:space="preserve"> organisational level</w:t>
            </w:r>
            <w:r w:rsidR="00F55660" w:rsidRPr="005A1511">
              <w:rPr>
                <w:rFonts w:ascii="Arial" w:hAnsi="Arial" w:cs="Arial"/>
                <w:color w:val="auto"/>
                <w:sz w:val="18"/>
                <w:szCs w:val="21"/>
                <w:shd w:val="clear" w:color="auto" w:fill="FFFFFF"/>
              </w:rPr>
              <w:t>s</w:t>
            </w:r>
            <w:r w:rsidRPr="005A1511">
              <w:rPr>
                <w:rFonts w:ascii="Arial" w:hAnsi="Arial" w:cs="Arial"/>
                <w:color w:val="auto"/>
                <w:sz w:val="18"/>
                <w:szCs w:val="21"/>
                <w:shd w:val="clear" w:color="auto" w:fill="FFFFFF"/>
              </w:rPr>
              <w:t xml:space="preserve">. </w:t>
            </w:r>
            <w:r w:rsidR="00B928C5" w:rsidRPr="005A1511">
              <w:rPr>
                <w:rFonts w:ascii="Arial" w:hAnsi="Arial" w:cs="Arial"/>
                <w:color w:val="auto"/>
                <w:sz w:val="18"/>
                <w:szCs w:val="21"/>
                <w:shd w:val="clear" w:color="auto" w:fill="FFFFFF"/>
              </w:rPr>
              <w:t xml:space="preserve">A red </w:t>
            </w:r>
            <w:r w:rsidR="00B928C5" w:rsidRPr="005A1511">
              <w:rPr>
                <w:rFonts w:ascii="Arial" w:hAnsi="Arial" w:cs="Arial"/>
                <w:color w:val="FF0000"/>
                <w:sz w:val="18"/>
                <w:szCs w:val="21"/>
                <w:shd w:val="clear" w:color="auto" w:fill="FFFFFF"/>
              </w:rPr>
              <w:t xml:space="preserve">V </w:t>
            </w:r>
            <w:r w:rsidR="00B928C5" w:rsidRPr="005A1511">
              <w:rPr>
                <w:rFonts w:ascii="Arial" w:hAnsi="Arial" w:cs="Arial"/>
                <w:color w:val="auto"/>
                <w:sz w:val="18"/>
                <w:szCs w:val="21"/>
                <w:shd w:val="clear" w:color="auto" w:fill="FFFFFF"/>
              </w:rPr>
              <w:t>marker identifies</w:t>
            </w:r>
            <w:r w:rsidRPr="005A1511">
              <w:rPr>
                <w:rFonts w:ascii="Arial" w:hAnsi="Arial" w:cs="Arial"/>
                <w:color w:val="auto"/>
                <w:sz w:val="18"/>
                <w:szCs w:val="21"/>
                <w:shd w:val="clear" w:color="auto" w:fill="FFFFFF"/>
              </w:rPr>
              <w:t xml:space="preserve"> the selected organisation (NHS </w:t>
            </w:r>
            <w:r w:rsidR="00F55660" w:rsidRPr="005A1511">
              <w:rPr>
                <w:rFonts w:ascii="Arial" w:hAnsi="Arial" w:cs="Arial"/>
                <w:color w:val="auto"/>
                <w:sz w:val="18"/>
                <w:szCs w:val="21"/>
                <w:shd w:val="clear" w:color="auto" w:fill="FFFFFF"/>
              </w:rPr>
              <w:t>r</w:t>
            </w:r>
            <w:r w:rsidRPr="005A1511">
              <w:rPr>
                <w:rFonts w:ascii="Arial" w:hAnsi="Arial" w:cs="Arial"/>
                <w:color w:val="auto"/>
                <w:sz w:val="18"/>
                <w:szCs w:val="21"/>
                <w:shd w:val="clear" w:color="auto" w:fill="FFFFFF"/>
              </w:rPr>
              <w:t xml:space="preserve">egion and </w:t>
            </w:r>
            <w:r w:rsidR="00F55660" w:rsidRPr="005A1511">
              <w:rPr>
                <w:rFonts w:ascii="Arial" w:hAnsi="Arial" w:cs="Arial"/>
                <w:color w:val="auto"/>
                <w:sz w:val="18"/>
                <w:szCs w:val="21"/>
                <w:shd w:val="clear" w:color="auto" w:fill="FFFFFF"/>
              </w:rPr>
              <w:t>ICB</w:t>
            </w:r>
            <w:r w:rsidRPr="005A1511">
              <w:rPr>
                <w:rFonts w:ascii="Arial" w:hAnsi="Arial" w:cs="Arial"/>
                <w:color w:val="auto"/>
                <w:sz w:val="18"/>
                <w:szCs w:val="21"/>
                <w:shd w:val="clear" w:color="auto" w:fill="FFFFFF"/>
              </w:rPr>
              <w:t>) in the dashboard graphs.</w:t>
            </w:r>
          </w:p>
          <w:p w14:paraId="388ACEFB" w14:textId="77777777" w:rsidR="0040431B" w:rsidRPr="005A1511" w:rsidRDefault="0040431B" w:rsidP="007044A0">
            <w:pPr>
              <w:spacing w:after="0" w:line="240" w:lineRule="auto"/>
              <w:rPr>
                <w:rFonts w:ascii="Arial" w:eastAsia="Arial" w:hAnsi="Arial" w:cs="Arial"/>
                <w:color w:val="FF0000"/>
                <w:sz w:val="18"/>
                <w:szCs w:val="18"/>
              </w:rPr>
            </w:pPr>
          </w:p>
        </w:tc>
      </w:tr>
      <w:tr w:rsidR="0040431B" w:rsidRPr="005A1511" w14:paraId="4CE2A74E" w14:textId="77777777" w:rsidTr="007044A0">
        <w:trPr>
          <w:trHeight w:val="542"/>
        </w:trPr>
        <w:tc>
          <w:tcPr>
            <w:tcW w:w="534" w:type="dxa"/>
            <w:shd w:val="clear" w:color="auto" w:fill="auto"/>
          </w:tcPr>
          <w:p w14:paraId="0C9A1FC9" w14:textId="77777777" w:rsidR="0040431B" w:rsidRPr="005A1511" w:rsidRDefault="0040431B"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0FC20E28" w14:textId="7B1DD76E" w:rsidR="0040431B" w:rsidRPr="005A1511" w:rsidRDefault="0040431B"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 xml:space="preserve">Reporting </w:t>
            </w:r>
            <w:r w:rsidR="000E4B72" w:rsidRPr="005A1511">
              <w:rPr>
                <w:rFonts w:ascii="Arial" w:eastAsia="Arial" w:hAnsi="Arial" w:cs="Arial"/>
                <w:b/>
                <w:color w:val="auto"/>
                <w:sz w:val="18"/>
                <w:szCs w:val="18"/>
              </w:rPr>
              <w:t>Details</w:t>
            </w:r>
          </w:p>
        </w:tc>
        <w:tc>
          <w:tcPr>
            <w:tcW w:w="7938" w:type="dxa"/>
          </w:tcPr>
          <w:p w14:paraId="48610ECF" w14:textId="77777777" w:rsidR="00476048" w:rsidRPr="005A1511" w:rsidRDefault="00476048" w:rsidP="00476048">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Where a consultation results in a supply of a medicine by Patient Group Direction, the selected medicines are reported in this comparator, categorised by type of medicine in scope for the selected clinical pathway. All medicines included in the Pharmacy First service specification are listed below.</w:t>
            </w:r>
          </w:p>
          <w:p w14:paraId="4E820346" w14:textId="77777777" w:rsidR="00476048" w:rsidRPr="005A1511" w:rsidRDefault="00476048" w:rsidP="00476048">
            <w:pPr>
              <w:spacing w:after="0" w:line="240" w:lineRule="auto"/>
              <w:rPr>
                <w:rFonts w:ascii="Arial" w:eastAsia="Arial" w:hAnsi="Arial" w:cs="Arial"/>
                <w:color w:val="auto"/>
                <w:sz w:val="18"/>
                <w:szCs w:val="18"/>
              </w:rPr>
            </w:pPr>
          </w:p>
          <w:p w14:paraId="6CC479BB" w14:textId="77777777" w:rsidR="00476048" w:rsidRPr="005A1511" w:rsidRDefault="00476048" w:rsidP="00476048">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Amoxicillin</w:t>
            </w:r>
          </w:p>
          <w:p w14:paraId="487EEAF4" w14:textId="77777777" w:rsidR="00476048" w:rsidRPr="005A1511" w:rsidRDefault="00476048" w:rsidP="00476048">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Macrolides</w:t>
            </w:r>
          </w:p>
          <w:p w14:paraId="48085B65" w14:textId="77777777" w:rsidR="00476048" w:rsidRPr="005A1511" w:rsidRDefault="00476048" w:rsidP="00476048">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Phenazone/lidocaine</w:t>
            </w:r>
          </w:p>
          <w:p w14:paraId="03A719D9" w14:textId="77777777" w:rsidR="00476048" w:rsidRPr="005A1511" w:rsidRDefault="00476048" w:rsidP="00476048">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Phenoxymethylpenicillin (Penicillin V)</w:t>
            </w:r>
          </w:p>
          <w:p w14:paraId="3C973961" w14:textId="77777777" w:rsidR="00476048" w:rsidRPr="005A1511" w:rsidRDefault="00476048" w:rsidP="00476048">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Flucloxacillin sodium</w:t>
            </w:r>
          </w:p>
          <w:p w14:paraId="108103C6" w14:textId="77777777" w:rsidR="00476048" w:rsidRPr="005A1511" w:rsidRDefault="00476048" w:rsidP="00476048">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Fusidic acid</w:t>
            </w:r>
          </w:p>
          <w:p w14:paraId="407A8BFC" w14:textId="77777777" w:rsidR="00476048" w:rsidRPr="005A1511" w:rsidRDefault="00476048" w:rsidP="00476048">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Hydrogen peroxide</w:t>
            </w:r>
          </w:p>
          <w:p w14:paraId="38592035" w14:textId="77777777" w:rsidR="00476048" w:rsidRPr="005A1511" w:rsidRDefault="00476048" w:rsidP="00476048">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Valaciclovir</w:t>
            </w:r>
          </w:p>
          <w:p w14:paraId="4E356D0A" w14:textId="77777777" w:rsidR="00476048" w:rsidRPr="005A1511" w:rsidRDefault="00476048" w:rsidP="00476048">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Aciclovir</w:t>
            </w:r>
          </w:p>
          <w:p w14:paraId="72A50606" w14:textId="77777777" w:rsidR="00476048" w:rsidRPr="005A1511" w:rsidRDefault="00476048" w:rsidP="00476048">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Doxycycline</w:t>
            </w:r>
          </w:p>
          <w:p w14:paraId="3FE51BE0" w14:textId="77777777" w:rsidR="00476048" w:rsidRPr="005A1511" w:rsidRDefault="00476048" w:rsidP="00476048">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High dose corticosteroid nasal spray</w:t>
            </w:r>
          </w:p>
          <w:p w14:paraId="536B386A" w14:textId="77777777" w:rsidR="00476048" w:rsidRPr="005A1511" w:rsidRDefault="00476048" w:rsidP="00476048">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Nitrofurantoin</w:t>
            </w:r>
          </w:p>
          <w:p w14:paraId="536024C1" w14:textId="77777777" w:rsidR="00476048" w:rsidRPr="005A1511" w:rsidRDefault="00476048" w:rsidP="00476048">
            <w:pPr>
              <w:spacing w:after="0" w:line="240" w:lineRule="auto"/>
              <w:rPr>
                <w:rFonts w:ascii="Arial" w:eastAsia="Arial" w:hAnsi="Arial" w:cs="Arial"/>
                <w:sz w:val="18"/>
                <w:szCs w:val="18"/>
              </w:rPr>
            </w:pPr>
          </w:p>
          <w:p w14:paraId="2A6EEFAF" w14:textId="77777777" w:rsidR="00476048" w:rsidRPr="005A1511" w:rsidRDefault="00476048" w:rsidP="00476048">
            <w:pPr>
              <w:spacing w:after="0" w:line="240" w:lineRule="auto"/>
              <w:rPr>
                <w:rFonts w:ascii="Arial" w:eastAsia="Arial" w:hAnsi="Arial" w:cs="Arial"/>
                <w:sz w:val="18"/>
                <w:szCs w:val="18"/>
              </w:rPr>
            </w:pPr>
            <w:r w:rsidRPr="005A1511">
              <w:rPr>
                <w:rFonts w:ascii="Arial" w:eastAsia="Arial" w:hAnsi="Arial" w:cs="Arial"/>
                <w:sz w:val="18"/>
                <w:szCs w:val="18"/>
              </w:rPr>
              <w:t>Some of the above medicines are considered ‘antibiotic sparing’ as they may provide an appropriate alternative to an antibiotic. These include</w:t>
            </w:r>
          </w:p>
          <w:p w14:paraId="7CEDD1CE" w14:textId="77777777" w:rsidR="00476048" w:rsidRPr="005A1511" w:rsidRDefault="00476048" w:rsidP="00476048">
            <w:pPr>
              <w:spacing w:after="0" w:line="240" w:lineRule="auto"/>
              <w:rPr>
                <w:rFonts w:ascii="Arial" w:eastAsia="Arial" w:hAnsi="Arial" w:cs="Arial"/>
                <w:sz w:val="18"/>
                <w:szCs w:val="18"/>
              </w:rPr>
            </w:pPr>
          </w:p>
          <w:p w14:paraId="4A96C5BE" w14:textId="77777777" w:rsidR="00476048" w:rsidRPr="005A1511" w:rsidRDefault="00476048" w:rsidP="00476048">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Phenazone/lidocaine</w:t>
            </w:r>
          </w:p>
          <w:p w14:paraId="152CF83F" w14:textId="77777777" w:rsidR="00476048" w:rsidRPr="005A1511" w:rsidRDefault="00476048" w:rsidP="00476048">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Hydrogen peroxide</w:t>
            </w:r>
          </w:p>
          <w:p w14:paraId="793C43C7" w14:textId="77777777" w:rsidR="00476048" w:rsidRPr="005A1511" w:rsidRDefault="00476048" w:rsidP="00476048">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High dose corticosteroid nasal spray</w:t>
            </w:r>
          </w:p>
          <w:p w14:paraId="180120A8" w14:textId="77777777" w:rsidR="00476048" w:rsidRPr="005A1511" w:rsidRDefault="00476048" w:rsidP="00476048">
            <w:pPr>
              <w:spacing w:after="0" w:line="240" w:lineRule="auto"/>
              <w:rPr>
                <w:rFonts w:ascii="Arial" w:eastAsia="Arial" w:hAnsi="Arial" w:cs="Arial"/>
                <w:color w:val="auto"/>
                <w:sz w:val="18"/>
                <w:szCs w:val="18"/>
              </w:rPr>
            </w:pPr>
          </w:p>
          <w:p w14:paraId="7E4E8E24" w14:textId="77777777" w:rsidR="00476048" w:rsidRPr="005A1511" w:rsidRDefault="00476048" w:rsidP="00476048">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The comparator reports as a stacked proportion of consultations by selected medicines and as a stacked count of selected medicines which allows comparison with other organisations and within the selected organisation over time.</w:t>
            </w:r>
          </w:p>
          <w:p w14:paraId="26AFF55D" w14:textId="77777777" w:rsidR="00476048" w:rsidRPr="005A1511" w:rsidRDefault="00476048" w:rsidP="00476048">
            <w:pPr>
              <w:spacing w:after="0" w:line="240" w:lineRule="auto"/>
              <w:rPr>
                <w:rFonts w:ascii="Arial" w:eastAsia="Arial" w:hAnsi="Arial" w:cs="Arial"/>
                <w:color w:val="auto"/>
                <w:sz w:val="18"/>
                <w:szCs w:val="18"/>
              </w:rPr>
            </w:pPr>
          </w:p>
          <w:p w14:paraId="4764B50B" w14:textId="062D8000" w:rsidR="00476048" w:rsidRPr="005A1511" w:rsidRDefault="00476048" w:rsidP="00476048">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The graphs show, for</w:t>
            </w:r>
            <w:r w:rsidRPr="005A1511">
              <w:rPr>
                <w:rFonts w:ascii="Arial" w:hAnsi="Arial" w:cs="Arial"/>
              </w:rPr>
              <w:t xml:space="preserve"> the </w:t>
            </w:r>
            <w:r w:rsidRPr="005A1511">
              <w:rPr>
                <w:rFonts w:ascii="Arial" w:eastAsia="Arial" w:hAnsi="Arial" w:cs="Arial"/>
                <w:color w:val="auto"/>
                <w:sz w:val="18"/>
                <w:szCs w:val="18"/>
              </w:rPr>
              <w:t xml:space="preserve">month in which </w:t>
            </w:r>
            <w:r w:rsidR="00732498" w:rsidRPr="005A1511">
              <w:rPr>
                <w:rFonts w:ascii="Arial" w:eastAsia="Arial" w:hAnsi="Arial" w:cs="Arial"/>
                <w:color w:val="auto"/>
                <w:sz w:val="18"/>
                <w:szCs w:val="18"/>
              </w:rPr>
              <w:t xml:space="preserve">the </w:t>
            </w:r>
            <w:r w:rsidRPr="005A1511">
              <w:rPr>
                <w:rFonts w:ascii="Arial" w:eastAsia="Arial" w:hAnsi="Arial" w:cs="Arial"/>
                <w:color w:val="auto"/>
                <w:sz w:val="18"/>
                <w:szCs w:val="18"/>
              </w:rPr>
              <w:t>consultation claim was submitted, selected organisation and clinical pathway:</w:t>
            </w:r>
          </w:p>
          <w:p w14:paraId="7D82530A" w14:textId="77777777" w:rsidR="00476048" w:rsidRPr="005A1511" w:rsidRDefault="00476048" w:rsidP="00476048">
            <w:pPr>
              <w:spacing w:after="0" w:line="240" w:lineRule="auto"/>
              <w:rPr>
                <w:rFonts w:ascii="Arial" w:eastAsia="Arial" w:hAnsi="Arial" w:cs="Arial"/>
                <w:color w:val="auto"/>
                <w:sz w:val="18"/>
                <w:szCs w:val="18"/>
              </w:rPr>
            </w:pPr>
          </w:p>
          <w:p w14:paraId="0BB8A3FE" w14:textId="72DD8FC0" w:rsidR="00476048" w:rsidRPr="005A1511" w:rsidRDefault="009916D4" w:rsidP="00476048">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The</w:t>
            </w:r>
            <w:r w:rsidR="00476048" w:rsidRPr="005A1511">
              <w:rPr>
                <w:rFonts w:ascii="Arial" w:eastAsia="Arial" w:hAnsi="Arial" w:cs="Arial"/>
                <w:sz w:val="18"/>
                <w:szCs w:val="18"/>
              </w:rPr>
              <w:t xml:space="preserve"> proportion of consultations by selected medicine</w:t>
            </w:r>
          </w:p>
          <w:p w14:paraId="4577F667" w14:textId="77777777" w:rsidR="00476048" w:rsidRPr="005A1511" w:rsidRDefault="00476048" w:rsidP="00476048">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Count of the number of consultations by selected medicine</w:t>
            </w:r>
          </w:p>
          <w:p w14:paraId="2634B0ED" w14:textId="77777777" w:rsidR="00476048" w:rsidRPr="005A1511" w:rsidRDefault="00476048" w:rsidP="00476048">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Count of the number of patients consulting by selected medicine (Table view only)</w:t>
            </w:r>
          </w:p>
          <w:p w14:paraId="4E742FF7" w14:textId="77777777" w:rsidR="00476048" w:rsidRPr="005A1511" w:rsidRDefault="00476048" w:rsidP="00476048">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Count of the number of items supplied by selected medicine (Table view only)</w:t>
            </w:r>
          </w:p>
          <w:p w14:paraId="5A60F597" w14:textId="77777777" w:rsidR="00476048" w:rsidRPr="005A1511" w:rsidRDefault="00476048" w:rsidP="00476048">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Monthly trend of the above, from Feb 2024.</w:t>
            </w:r>
          </w:p>
          <w:p w14:paraId="54BA7A0C" w14:textId="77777777" w:rsidR="00476048" w:rsidRPr="005A1511" w:rsidRDefault="00476048" w:rsidP="00476048">
            <w:pPr>
              <w:spacing w:after="0" w:line="240" w:lineRule="auto"/>
              <w:rPr>
                <w:rFonts w:ascii="Arial" w:eastAsia="Arial" w:hAnsi="Arial" w:cs="Arial"/>
                <w:sz w:val="18"/>
                <w:szCs w:val="18"/>
              </w:rPr>
            </w:pPr>
          </w:p>
          <w:p w14:paraId="236773E2" w14:textId="77777777" w:rsidR="009916D4" w:rsidRPr="005A1511" w:rsidRDefault="009916D4" w:rsidP="009916D4">
            <w:pPr>
              <w:spacing w:after="0" w:line="240" w:lineRule="auto"/>
              <w:rPr>
                <w:rFonts w:ascii="Arial" w:eastAsia="Arial" w:hAnsi="Arial" w:cs="Arial"/>
                <w:sz w:val="18"/>
                <w:szCs w:val="18"/>
              </w:rPr>
            </w:pPr>
            <w:r w:rsidRPr="005A1511">
              <w:rPr>
                <w:rFonts w:ascii="Arial" w:eastAsia="Arial" w:hAnsi="Arial" w:cs="Arial"/>
                <w:sz w:val="18"/>
                <w:szCs w:val="18"/>
              </w:rPr>
              <w:t>The National level views displays the trend graph only.</w:t>
            </w:r>
          </w:p>
          <w:p w14:paraId="34650B18" w14:textId="77777777" w:rsidR="009916D4" w:rsidRPr="005A1511" w:rsidRDefault="009916D4" w:rsidP="00476048">
            <w:pPr>
              <w:spacing w:after="0" w:line="240" w:lineRule="auto"/>
              <w:rPr>
                <w:rFonts w:ascii="Arial" w:eastAsia="Arial" w:hAnsi="Arial" w:cs="Arial"/>
                <w:sz w:val="18"/>
                <w:szCs w:val="18"/>
              </w:rPr>
            </w:pPr>
          </w:p>
          <w:p w14:paraId="10E8F02F" w14:textId="77777777" w:rsidR="00476048" w:rsidRPr="005A1511" w:rsidRDefault="00476048" w:rsidP="00476048">
            <w:pPr>
              <w:spacing w:after="0" w:line="240" w:lineRule="auto"/>
              <w:rPr>
                <w:rFonts w:ascii="Arial" w:eastAsia="Arial" w:hAnsi="Arial" w:cs="Arial"/>
                <w:color w:val="auto"/>
                <w:sz w:val="18"/>
                <w:szCs w:val="18"/>
              </w:rPr>
            </w:pPr>
          </w:p>
          <w:p w14:paraId="5352FC09" w14:textId="77777777" w:rsidR="00476048" w:rsidRPr="005A1511" w:rsidRDefault="00476048" w:rsidP="00476048">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Consultation data has been attributed to the ICB with which the patient was registered with a General Practice, based on the General Practice ODS code as reported in the Pharmacy First consultation data set.</w:t>
            </w:r>
          </w:p>
          <w:p w14:paraId="319BD19E" w14:textId="77777777" w:rsidR="00476048" w:rsidRPr="005A1511" w:rsidRDefault="00476048" w:rsidP="00476048">
            <w:pPr>
              <w:spacing w:after="0" w:line="240" w:lineRule="auto"/>
              <w:rPr>
                <w:rFonts w:ascii="Arial" w:eastAsia="Arial" w:hAnsi="Arial" w:cs="Arial"/>
                <w:color w:val="auto"/>
                <w:sz w:val="18"/>
                <w:szCs w:val="18"/>
              </w:rPr>
            </w:pPr>
          </w:p>
          <w:p w14:paraId="41C566E7" w14:textId="77777777" w:rsidR="00476048" w:rsidRPr="005A1511" w:rsidRDefault="00476048" w:rsidP="00476048">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This comparator does not report consultations that did not result in the supply of a selected medicine.</w:t>
            </w:r>
          </w:p>
          <w:p w14:paraId="22A5C77C" w14:textId="23EEDBE0" w:rsidR="0040431B" w:rsidRPr="005A1511" w:rsidRDefault="0040431B" w:rsidP="007044A0">
            <w:pPr>
              <w:spacing w:after="0" w:line="240" w:lineRule="auto"/>
              <w:jc w:val="both"/>
              <w:rPr>
                <w:rFonts w:ascii="Arial" w:eastAsia="Arial" w:hAnsi="Arial" w:cs="Arial"/>
                <w:color w:val="FF0000"/>
                <w:sz w:val="18"/>
                <w:szCs w:val="18"/>
              </w:rPr>
            </w:pPr>
          </w:p>
        </w:tc>
      </w:tr>
      <w:tr w:rsidR="0040431B" w:rsidRPr="005A1511" w14:paraId="1FD4791C" w14:textId="77777777" w:rsidTr="007044A0">
        <w:trPr>
          <w:trHeight w:val="780"/>
        </w:trPr>
        <w:tc>
          <w:tcPr>
            <w:tcW w:w="534" w:type="dxa"/>
            <w:shd w:val="clear" w:color="auto" w:fill="auto"/>
          </w:tcPr>
          <w:p w14:paraId="2E392B36" w14:textId="77777777" w:rsidR="0040431B" w:rsidRPr="005A1511" w:rsidRDefault="0040431B"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623B8238" w14:textId="77777777" w:rsidR="0040431B" w:rsidRPr="005A1511" w:rsidRDefault="0040431B"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Numerator</w:t>
            </w:r>
          </w:p>
        </w:tc>
        <w:tc>
          <w:tcPr>
            <w:tcW w:w="7938" w:type="dxa"/>
          </w:tcPr>
          <w:p w14:paraId="5C9407BE" w14:textId="77777777" w:rsidR="00FA6D4A" w:rsidRPr="005A1511" w:rsidRDefault="00FA6D4A" w:rsidP="00FA6D4A">
            <w:pPr>
              <w:spacing w:after="0" w:line="240" w:lineRule="auto"/>
              <w:rPr>
                <w:rFonts w:ascii="Arial" w:eastAsia="Arial" w:hAnsi="Arial" w:cs="Arial"/>
                <w:color w:val="FF0000"/>
                <w:sz w:val="18"/>
                <w:szCs w:val="18"/>
              </w:rPr>
            </w:pPr>
            <w:r w:rsidRPr="005A1511">
              <w:rPr>
                <w:rFonts w:ascii="Arial" w:hAnsi="Arial" w:cs="Arial"/>
                <w:color w:val="auto"/>
                <w:sz w:val="18"/>
                <w:szCs w:val="21"/>
                <w:shd w:val="clear" w:color="auto" w:fill="FFFFFF"/>
              </w:rPr>
              <w:t>The total number of Pharmacy First consultations by medicine category, for the selected organisational unit, month and clinical pathway.</w:t>
            </w:r>
          </w:p>
          <w:p w14:paraId="63FDEF5C" w14:textId="3B32E814" w:rsidR="0040431B" w:rsidRPr="005A1511" w:rsidRDefault="0040431B" w:rsidP="007044A0">
            <w:pPr>
              <w:spacing w:after="0" w:line="240" w:lineRule="auto"/>
              <w:rPr>
                <w:rFonts w:ascii="Arial" w:eastAsia="Arial" w:hAnsi="Arial" w:cs="Arial"/>
                <w:color w:val="FF0000"/>
                <w:sz w:val="18"/>
                <w:szCs w:val="18"/>
              </w:rPr>
            </w:pPr>
          </w:p>
        </w:tc>
      </w:tr>
      <w:tr w:rsidR="0040431B" w:rsidRPr="005A1511" w14:paraId="461DC86B" w14:textId="77777777" w:rsidTr="007044A0">
        <w:trPr>
          <w:trHeight w:val="820"/>
        </w:trPr>
        <w:tc>
          <w:tcPr>
            <w:tcW w:w="534" w:type="dxa"/>
            <w:shd w:val="clear" w:color="auto" w:fill="auto"/>
          </w:tcPr>
          <w:p w14:paraId="3536F519" w14:textId="77777777" w:rsidR="0040431B" w:rsidRPr="005A1511" w:rsidRDefault="0040431B"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lastRenderedPageBreak/>
              <w:t>1.5</w:t>
            </w:r>
          </w:p>
        </w:tc>
        <w:tc>
          <w:tcPr>
            <w:tcW w:w="1417" w:type="dxa"/>
            <w:tcBorders>
              <w:top w:val="single" w:sz="4" w:space="0" w:color="000000"/>
              <w:bottom w:val="single" w:sz="4" w:space="0" w:color="000000"/>
            </w:tcBorders>
            <w:shd w:val="clear" w:color="auto" w:fill="D9D9D9"/>
          </w:tcPr>
          <w:p w14:paraId="18659654" w14:textId="77777777" w:rsidR="0040431B" w:rsidRPr="005A1511" w:rsidRDefault="0040431B"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Denominator</w:t>
            </w:r>
          </w:p>
        </w:tc>
        <w:tc>
          <w:tcPr>
            <w:tcW w:w="7938" w:type="dxa"/>
          </w:tcPr>
          <w:p w14:paraId="0C44CA9E" w14:textId="041F68A1" w:rsidR="0040431B" w:rsidRPr="005A1511" w:rsidRDefault="00086194" w:rsidP="007044A0">
            <w:pPr>
              <w:spacing w:after="0" w:line="240" w:lineRule="auto"/>
              <w:rPr>
                <w:rFonts w:ascii="Arial" w:eastAsia="Arial" w:hAnsi="Arial" w:cs="Arial"/>
                <w:color w:val="FF0000"/>
                <w:sz w:val="18"/>
                <w:szCs w:val="18"/>
              </w:rPr>
            </w:pPr>
            <w:r w:rsidRPr="005A1511">
              <w:rPr>
                <w:rFonts w:ascii="Arial" w:hAnsi="Arial" w:cs="Arial"/>
                <w:color w:val="auto"/>
                <w:sz w:val="18"/>
                <w:szCs w:val="21"/>
                <w:shd w:val="clear" w:color="auto" w:fill="FFFFFF"/>
              </w:rPr>
              <w:t>The total number of Pharmacy First consultations which resulted in supply of a medicine, for the selected clinical pathway, month and organisation.</w:t>
            </w:r>
          </w:p>
        </w:tc>
      </w:tr>
      <w:tr w:rsidR="0040431B" w:rsidRPr="005A1511" w14:paraId="521BAAD9" w14:textId="77777777" w:rsidTr="007044A0">
        <w:tc>
          <w:tcPr>
            <w:tcW w:w="534" w:type="dxa"/>
            <w:shd w:val="clear" w:color="auto" w:fill="auto"/>
          </w:tcPr>
          <w:p w14:paraId="7F9E9379" w14:textId="77777777" w:rsidR="0040431B" w:rsidRPr="005A1511" w:rsidRDefault="0040431B"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1.6</w:t>
            </w:r>
          </w:p>
        </w:tc>
        <w:tc>
          <w:tcPr>
            <w:tcW w:w="1417" w:type="dxa"/>
            <w:tcBorders>
              <w:top w:val="single" w:sz="4" w:space="0" w:color="000000"/>
            </w:tcBorders>
            <w:shd w:val="clear" w:color="auto" w:fill="D9D9D9"/>
          </w:tcPr>
          <w:p w14:paraId="018C8AA9" w14:textId="77777777" w:rsidR="0040431B" w:rsidRPr="005A1511" w:rsidRDefault="0040431B"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Methodology</w:t>
            </w:r>
          </w:p>
        </w:tc>
        <w:tc>
          <w:tcPr>
            <w:tcW w:w="7938" w:type="dxa"/>
          </w:tcPr>
          <w:p w14:paraId="3D86E73C" w14:textId="77777777" w:rsidR="00A27152" w:rsidRPr="005A1511" w:rsidRDefault="00407064" w:rsidP="00407064">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Numerator divided by denominator, expressed as a percentage. Consultation counts are also shown as an integer in the visualisation tooltip (hover), as well as in the Table and Graph (Values) views. </w:t>
            </w:r>
          </w:p>
          <w:p w14:paraId="0E89A8C1" w14:textId="77777777" w:rsidR="0040431B" w:rsidRPr="005A1511" w:rsidRDefault="0040431B" w:rsidP="00A06C1C">
            <w:pPr>
              <w:spacing w:after="0" w:line="240" w:lineRule="auto"/>
              <w:rPr>
                <w:rFonts w:ascii="Arial" w:eastAsia="Arial" w:hAnsi="Arial" w:cs="Arial"/>
                <w:color w:val="FF0000"/>
                <w:sz w:val="18"/>
                <w:szCs w:val="18"/>
              </w:rPr>
            </w:pPr>
          </w:p>
        </w:tc>
      </w:tr>
      <w:tr w:rsidR="0040431B" w:rsidRPr="005A1511" w14:paraId="462F3EE1" w14:textId="77777777" w:rsidTr="007044A0">
        <w:tc>
          <w:tcPr>
            <w:tcW w:w="534" w:type="dxa"/>
            <w:shd w:val="clear" w:color="auto" w:fill="auto"/>
          </w:tcPr>
          <w:p w14:paraId="0A7627E8" w14:textId="77777777" w:rsidR="0040431B" w:rsidRPr="005A1511" w:rsidRDefault="0040431B"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1.7</w:t>
            </w:r>
          </w:p>
        </w:tc>
        <w:tc>
          <w:tcPr>
            <w:tcW w:w="1417" w:type="dxa"/>
            <w:tcBorders>
              <w:top w:val="single" w:sz="4" w:space="0" w:color="000000"/>
            </w:tcBorders>
            <w:shd w:val="clear" w:color="auto" w:fill="D9D9D9"/>
          </w:tcPr>
          <w:p w14:paraId="71E59BA3" w14:textId="77777777" w:rsidR="0040431B" w:rsidRPr="005A1511" w:rsidRDefault="0040431B" w:rsidP="007044A0">
            <w:pPr>
              <w:spacing w:after="0" w:line="240" w:lineRule="auto"/>
              <w:rPr>
                <w:rFonts w:ascii="Arial" w:eastAsia="Arial" w:hAnsi="Arial" w:cs="Arial"/>
                <w:b/>
                <w:color w:val="auto"/>
                <w:sz w:val="18"/>
                <w:szCs w:val="18"/>
              </w:rPr>
            </w:pPr>
            <w:r w:rsidRPr="005A1511">
              <w:rPr>
                <w:rFonts w:ascii="Arial" w:eastAsia="Arial" w:hAnsi="Arial" w:cs="Arial"/>
                <w:b/>
                <w:color w:val="auto"/>
                <w:sz w:val="18"/>
                <w:szCs w:val="18"/>
              </w:rPr>
              <w:t>Medicines</w:t>
            </w:r>
          </w:p>
        </w:tc>
        <w:tc>
          <w:tcPr>
            <w:tcW w:w="7938" w:type="dxa"/>
          </w:tcPr>
          <w:p w14:paraId="33365387" w14:textId="2E94E33B" w:rsidR="0040431B" w:rsidRPr="005A1511" w:rsidRDefault="00407064" w:rsidP="007044A0">
            <w:pPr>
              <w:spacing w:after="0" w:line="240" w:lineRule="auto"/>
              <w:rPr>
                <w:rFonts w:ascii="Arial" w:eastAsia="Arial" w:hAnsi="Arial" w:cs="Arial"/>
                <w:color w:val="FF0000"/>
                <w:sz w:val="18"/>
                <w:szCs w:val="18"/>
              </w:rPr>
            </w:pPr>
            <w:r w:rsidRPr="005A1511">
              <w:rPr>
                <w:rFonts w:ascii="Arial" w:eastAsia="Arial" w:hAnsi="Arial" w:cs="Arial"/>
                <w:sz w:val="18"/>
                <w:szCs w:val="18"/>
              </w:rPr>
              <w:t xml:space="preserve">Please refer to the Patient Group Directions for the relevant clinical pathway, which can be found at </w:t>
            </w:r>
            <w:hyperlink r:id="rId20" w:history="1">
              <w:r w:rsidRPr="005A1511">
                <w:rPr>
                  <w:rStyle w:val="Hyperlink"/>
                  <w:rFonts w:ascii="Arial" w:eastAsia="Arial" w:hAnsi="Arial" w:cs="Arial"/>
                  <w:sz w:val="18"/>
                  <w:szCs w:val="18"/>
                </w:rPr>
                <w:t>https://www.england.nhs.uk/publication/community-pharmacy-advanced-service-specification-nhs-pharmacy-first-service/</w:t>
              </w:r>
            </w:hyperlink>
            <w:r w:rsidRPr="005A1511">
              <w:rPr>
                <w:rFonts w:ascii="Arial" w:eastAsia="Arial" w:hAnsi="Arial" w:cs="Arial"/>
                <w:sz w:val="18"/>
                <w:szCs w:val="18"/>
              </w:rPr>
              <w:t xml:space="preserve"> </w:t>
            </w:r>
          </w:p>
        </w:tc>
      </w:tr>
      <w:tr w:rsidR="00964D1E" w:rsidRPr="005A1511" w14:paraId="22BEF6F3" w14:textId="77777777" w:rsidTr="007044A0">
        <w:tc>
          <w:tcPr>
            <w:tcW w:w="9889" w:type="dxa"/>
            <w:gridSpan w:val="3"/>
            <w:shd w:val="clear" w:color="auto" w:fill="D9D9D9"/>
          </w:tcPr>
          <w:p w14:paraId="1D8C199A" w14:textId="77777777" w:rsidR="0040431B" w:rsidRPr="005A1511" w:rsidRDefault="0040431B"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Section 2: Rationale</w:t>
            </w:r>
          </w:p>
        </w:tc>
      </w:tr>
      <w:tr w:rsidR="00964D1E" w:rsidRPr="005A1511" w14:paraId="0CBDD9F3" w14:textId="77777777" w:rsidTr="007044A0">
        <w:trPr>
          <w:trHeight w:val="993"/>
        </w:trPr>
        <w:tc>
          <w:tcPr>
            <w:tcW w:w="534" w:type="dxa"/>
            <w:shd w:val="clear" w:color="auto" w:fill="auto"/>
          </w:tcPr>
          <w:p w14:paraId="13147F21" w14:textId="77777777" w:rsidR="0040431B" w:rsidRPr="005A1511" w:rsidRDefault="0040431B" w:rsidP="007044A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2.1</w:t>
            </w:r>
          </w:p>
          <w:p w14:paraId="145DC6F8" w14:textId="77777777" w:rsidR="0040431B" w:rsidRPr="005A1511" w:rsidRDefault="0040431B" w:rsidP="007044A0">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6CA6D17D" w14:textId="77777777" w:rsidR="0040431B" w:rsidRPr="005A1511" w:rsidRDefault="0040431B" w:rsidP="007044A0">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Purpose and Limitations</w:t>
            </w:r>
          </w:p>
        </w:tc>
        <w:tc>
          <w:tcPr>
            <w:tcW w:w="7938" w:type="dxa"/>
          </w:tcPr>
          <w:p w14:paraId="0E0E6457" w14:textId="77777777" w:rsidR="00FD06B1" w:rsidRPr="005A1511" w:rsidRDefault="00964D1E" w:rsidP="00964D1E">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The purpose of this dashboard is to </w:t>
            </w:r>
            <w:r w:rsidR="00FD06B1" w:rsidRPr="005A1511">
              <w:rPr>
                <w:rFonts w:ascii="Arial" w:eastAsia="Arial" w:hAnsi="Arial" w:cs="Arial"/>
                <w:color w:val="auto"/>
                <w:sz w:val="18"/>
                <w:szCs w:val="18"/>
              </w:rPr>
              <w:t xml:space="preserve">help </w:t>
            </w:r>
            <w:r w:rsidRPr="005A1511">
              <w:rPr>
                <w:rFonts w:ascii="Arial" w:eastAsia="Arial" w:hAnsi="Arial" w:cs="Arial"/>
                <w:color w:val="auto"/>
                <w:sz w:val="18"/>
                <w:szCs w:val="18"/>
              </w:rPr>
              <w:t xml:space="preserve">support clinicians and </w:t>
            </w:r>
            <w:r w:rsidR="00FD06B1" w:rsidRPr="005A1511">
              <w:rPr>
                <w:rFonts w:ascii="Arial" w:eastAsia="Arial" w:hAnsi="Arial" w:cs="Arial"/>
                <w:color w:val="auto"/>
                <w:sz w:val="18"/>
                <w:szCs w:val="18"/>
              </w:rPr>
              <w:t xml:space="preserve">ICBs </w:t>
            </w:r>
            <w:r w:rsidRPr="005A1511">
              <w:rPr>
                <w:rFonts w:ascii="Arial" w:eastAsia="Arial" w:hAnsi="Arial" w:cs="Arial"/>
                <w:color w:val="auto"/>
                <w:sz w:val="18"/>
                <w:szCs w:val="18"/>
              </w:rPr>
              <w:t xml:space="preserve">monitor access to infection pathways and monitor exposure to medicines including antimicrobials for defined populations. </w:t>
            </w:r>
          </w:p>
          <w:p w14:paraId="09B50E85" w14:textId="77777777" w:rsidR="00FD06B1" w:rsidRPr="005A1511" w:rsidRDefault="00FD06B1" w:rsidP="00964D1E">
            <w:pPr>
              <w:spacing w:after="0" w:line="240" w:lineRule="auto"/>
              <w:rPr>
                <w:rFonts w:ascii="Arial" w:eastAsia="Arial" w:hAnsi="Arial" w:cs="Arial"/>
                <w:color w:val="auto"/>
                <w:sz w:val="18"/>
                <w:szCs w:val="18"/>
              </w:rPr>
            </w:pPr>
          </w:p>
          <w:p w14:paraId="78ACB714" w14:textId="2B6B97A9" w:rsidR="00964D1E" w:rsidRPr="005A1511" w:rsidRDefault="00964D1E" w:rsidP="00964D1E">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To </w:t>
            </w:r>
            <w:r w:rsidR="00FD06B1" w:rsidRPr="005A1511">
              <w:rPr>
                <w:rFonts w:ascii="Arial" w:eastAsia="Arial" w:hAnsi="Arial" w:cs="Arial"/>
                <w:color w:val="auto"/>
                <w:sz w:val="18"/>
                <w:szCs w:val="18"/>
              </w:rPr>
              <w:t xml:space="preserve">enable </w:t>
            </w:r>
            <w:r w:rsidRPr="005A1511">
              <w:rPr>
                <w:rFonts w:ascii="Arial" w:eastAsia="Arial" w:hAnsi="Arial" w:cs="Arial"/>
                <w:color w:val="auto"/>
                <w:sz w:val="18"/>
                <w:szCs w:val="18"/>
              </w:rPr>
              <w:t xml:space="preserve">this, patient consultation data has been attributed to the ICB with which the patient is currently registered at a General Practice, based on the General Practice ODS code as reported in the Pharmacy First consultation data set. </w:t>
            </w:r>
          </w:p>
          <w:p w14:paraId="14F877D9" w14:textId="77777777" w:rsidR="00964D1E" w:rsidRPr="005A1511" w:rsidRDefault="00964D1E" w:rsidP="00964D1E">
            <w:pPr>
              <w:spacing w:after="0" w:line="240" w:lineRule="auto"/>
              <w:rPr>
                <w:rFonts w:ascii="Arial" w:eastAsia="Arial" w:hAnsi="Arial" w:cs="Arial"/>
                <w:color w:val="auto"/>
                <w:sz w:val="18"/>
                <w:szCs w:val="18"/>
              </w:rPr>
            </w:pPr>
          </w:p>
          <w:p w14:paraId="1B1A83CB" w14:textId="0569E1F0" w:rsidR="00964D1E" w:rsidRPr="005A1511" w:rsidRDefault="00964D1E" w:rsidP="00964D1E">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This comparator allows </w:t>
            </w:r>
            <w:r w:rsidR="00FD06B1" w:rsidRPr="005A1511">
              <w:rPr>
                <w:rFonts w:ascii="Arial" w:eastAsia="Arial" w:hAnsi="Arial" w:cs="Arial"/>
                <w:color w:val="auto"/>
                <w:sz w:val="18"/>
                <w:szCs w:val="18"/>
              </w:rPr>
              <w:t>ICBs</w:t>
            </w:r>
            <w:r w:rsidRPr="005A1511">
              <w:rPr>
                <w:rFonts w:ascii="Arial" w:eastAsia="Arial" w:hAnsi="Arial" w:cs="Arial"/>
                <w:color w:val="auto"/>
                <w:sz w:val="18"/>
                <w:szCs w:val="18"/>
              </w:rPr>
              <w:t xml:space="preserve"> to identify the supply of medicines for each of the 7 clinical pathways provided by the Pharmacy First service and identify variation in medicines supplied both between </w:t>
            </w:r>
            <w:r w:rsidR="00FD06B1" w:rsidRPr="005A1511">
              <w:rPr>
                <w:rFonts w:ascii="Arial" w:eastAsia="Arial" w:hAnsi="Arial" w:cs="Arial"/>
                <w:color w:val="auto"/>
                <w:sz w:val="18"/>
                <w:szCs w:val="18"/>
              </w:rPr>
              <w:t>ICBs</w:t>
            </w:r>
            <w:r w:rsidR="00FD06B1" w:rsidRPr="005A1511">
              <w:rPr>
                <w:rFonts w:ascii="Arial" w:eastAsia="Arial" w:hAnsi="Arial" w:cs="Arial"/>
                <w:color w:val="auto"/>
                <w:sz w:val="18"/>
                <w:szCs w:val="18"/>
              </w:rPr>
              <w:t xml:space="preserve"> </w:t>
            </w:r>
            <w:r w:rsidRPr="005A1511">
              <w:rPr>
                <w:rFonts w:ascii="Arial" w:eastAsia="Arial" w:hAnsi="Arial" w:cs="Arial"/>
                <w:color w:val="auto"/>
                <w:sz w:val="18"/>
                <w:szCs w:val="18"/>
              </w:rPr>
              <w:t xml:space="preserve">for a selected clinical pathway, and within individual </w:t>
            </w:r>
            <w:r w:rsidR="00FD06B1" w:rsidRPr="005A1511">
              <w:rPr>
                <w:rFonts w:ascii="Arial" w:eastAsia="Arial" w:hAnsi="Arial" w:cs="Arial"/>
                <w:color w:val="auto"/>
                <w:sz w:val="18"/>
                <w:szCs w:val="18"/>
              </w:rPr>
              <w:t>ICBs</w:t>
            </w:r>
            <w:r w:rsidR="00FD06B1" w:rsidRPr="005A1511">
              <w:rPr>
                <w:rFonts w:ascii="Arial" w:eastAsia="Arial" w:hAnsi="Arial" w:cs="Arial"/>
                <w:color w:val="auto"/>
                <w:sz w:val="18"/>
                <w:szCs w:val="18"/>
              </w:rPr>
              <w:t xml:space="preserve"> </w:t>
            </w:r>
            <w:r w:rsidRPr="005A1511">
              <w:rPr>
                <w:rFonts w:ascii="Arial" w:eastAsia="Arial" w:hAnsi="Arial" w:cs="Arial"/>
                <w:color w:val="auto"/>
                <w:sz w:val="18"/>
                <w:szCs w:val="18"/>
              </w:rPr>
              <w:t xml:space="preserve">across all 7 clinical pathways. </w:t>
            </w:r>
          </w:p>
          <w:p w14:paraId="633ED2EB" w14:textId="77777777" w:rsidR="00964D1E" w:rsidRPr="005A1511" w:rsidRDefault="00964D1E" w:rsidP="00964D1E">
            <w:pPr>
              <w:spacing w:after="0" w:line="240" w:lineRule="auto"/>
              <w:rPr>
                <w:rFonts w:ascii="Arial" w:eastAsia="Arial" w:hAnsi="Arial" w:cs="Arial"/>
                <w:color w:val="auto"/>
                <w:sz w:val="18"/>
                <w:szCs w:val="18"/>
              </w:rPr>
            </w:pPr>
          </w:p>
          <w:p w14:paraId="7C2E68D8" w14:textId="71DF7528" w:rsidR="00964D1E" w:rsidRPr="005A1511" w:rsidRDefault="00964D1E" w:rsidP="00964D1E">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Medicines supplied vary by selected pathway and are defined by the service specification and supplied via use of a Patient Group Direction. Some medicines have been combined to facilitate reporting</w:t>
            </w:r>
            <w:r w:rsidR="00FD06B1" w:rsidRPr="005A1511">
              <w:rPr>
                <w:rFonts w:ascii="Arial" w:eastAsia="Arial" w:hAnsi="Arial" w:cs="Arial"/>
                <w:color w:val="auto"/>
                <w:sz w:val="18"/>
                <w:szCs w:val="18"/>
              </w:rPr>
              <w:t>, i.e.</w:t>
            </w:r>
            <w:r w:rsidRPr="005A1511">
              <w:rPr>
                <w:rFonts w:ascii="Arial" w:eastAsia="Arial" w:hAnsi="Arial" w:cs="Arial"/>
                <w:color w:val="auto"/>
                <w:sz w:val="18"/>
                <w:szCs w:val="18"/>
              </w:rPr>
              <w:t xml:space="preserve"> macrolides and high dose corticosteroid nasal spray.</w:t>
            </w:r>
          </w:p>
          <w:p w14:paraId="1B7920C1" w14:textId="77777777" w:rsidR="00964D1E" w:rsidRPr="005A1511" w:rsidRDefault="00964D1E" w:rsidP="00964D1E">
            <w:pPr>
              <w:spacing w:after="0" w:line="240" w:lineRule="auto"/>
              <w:rPr>
                <w:rFonts w:ascii="Arial" w:eastAsia="Arial" w:hAnsi="Arial" w:cs="Arial"/>
                <w:color w:val="auto"/>
                <w:sz w:val="18"/>
                <w:szCs w:val="18"/>
              </w:rPr>
            </w:pPr>
          </w:p>
          <w:p w14:paraId="10EA5060" w14:textId="77777777" w:rsidR="00964D1E" w:rsidRPr="005A1511" w:rsidRDefault="00964D1E" w:rsidP="00964D1E">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The comparator is also reported as a monthly trend for each clinical pathway to allow supply of medicines over time to be identified for the selected organisation.</w:t>
            </w:r>
          </w:p>
          <w:p w14:paraId="032915F1" w14:textId="77777777" w:rsidR="00964D1E" w:rsidRPr="005A1511" w:rsidRDefault="00964D1E" w:rsidP="00E447DA">
            <w:pPr>
              <w:spacing w:after="0" w:line="240" w:lineRule="auto"/>
              <w:rPr>
                <w:rFonts w:ascii="Arial" w:eastAsia="Arial" w:hAnsi="Arial" w:cs="Arial"/>
                <w:color w:val="auto"/>
                <w:sz w:val="18"/>
                <w:szCs w:val="18"/>
              </w:rPr>
            </w:pPr>
          </w:p>
          <w:p w14:paraId="3D26040C" w14:textId="77777777" w:rsidR="00E447DA" w:rsidRPr="005A1511" w:rsidRDefault="00BF3837" w:rsidP="00E447DA">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Users should be aware that the </w:t>
            </w:r>
            <w:r w:rsidR="009C01F5" w:rsidRPr="005A1511">
              <w:rPr>
                <w:rFonts w:ascii="Arial" w:eastAsia="Arial" w:hAnsi="Arial" w:cs="Arial"/>
                <w:color w:val="auto"/>
                <w:sz w:val="18"/>
                <w:szCs w:val="18"/>
              </w:rPr>
              <w:t xml:space="preserve">analysis presented in this comparator is not dependent on consultation outcome but is based on the evidence of a medicine having been supplied on the </w:t>
            </w:r>
            <w:r w:rsidR="00331215" w:rsidRPr="005A1511">
              <w:rPr>
                <w:rFonts w:ascii="Arial" w:eastAsia="Arial" w:hAnsi="Arial" w:cs="Arial"/>
                <w:color w:val="auto"/>
                <w:sz w:val="18"/>
                <w:szCs w:val="18"/>
              </w:rPr>
              <w:t>consultation</w:t>
            </w:r>
            <w:r w:rsidR="009C01F5" w:rsidRPr="005A1511">
              <w:rPr>
                <w:rFonts w:ascii="Arial" w:eastAsia="Arial" w:hAnsi="Arial" w:cs="Arial"/>
                <w:color w:val="auto"/>
                <w:sz w:val="18"/>
                <w:szCs w:val="18"/>
              </w:rPr>
              <w:t xml:space="preserve"> record</w:t>
            </w:r>
            <w:r w:rsidR="00964D1E" w:rsidRPr="005A1511">
              <w:rPr>
                <w:rFonts w:ascii="Arial" w:eastAsia="Arial" w:hAnsi="Arial" w:cs="Arial"/>
                <w:color w:val="auto"/>
                <w:sz w:val="18"/>
                <w:szCs w:val="18"/>
              </w:rPr>
              <w:t>.</w:t>
            </w:r>
          </w:p>
          <w:p w14:paraId="56BF877E" w14:textId="3413F96B" w:rsidR="004D6863" w:rsidRPr="005A1511" w:rsidRDefault="004D6863" w:rsidP="00E447DA">
            <w:pPr>
              <w:spacing w:after="0" w:line="240" w:lineRule="auto"/>
              <w:rPr>
                <w:rFonts w:ascii="Arial" w:eastAsia="Arial" w:hAnsi="Arial" w:cs="Arial"/>
                <w:color w:val="auto"/>
                <w:sz w:val="18"/>
                <w:szCs w:val="18"/>
              </w:rPr>
            </w:pPr>
          </w:p>
        </w:tc>
      </w:tr>
    </w:tbl>
    <w:p w14:paraId="5E91F44A" w14:textId="77777777" w:rsidR="003C251E" w:rsidRPr="005A1511" w:rsidRDefault="003C251E" w:rsidP="00545C0A">
      <w:pPr>
        <w:rPr>
          <w:rFonts w:ascii="Arial" w:hAnsi="Arial" w:cs="Arial"/>
        </w:rPr>
      </w:pPr>
    </w:p>
    <w:p w14:paraId="0FCC9CA6" w14:textId="77777777" w:rsidR="003C251E" w:rsidRPr="005A1511" w:rsidRDefault="003C251E" w:rsidP="00545C0A">
      <w:pPr>
        <w:rPr>
          <w:rFonts w:ascii="Arial" w:eastAsia="Arial" w:hAnsi="Arial" w:cs="Arial"/>
          <w:b/>
          <w:sz w:val="20"/>
          <w:szCs w:val="20"/>
        </w:rPr>
      </w:pPr>
      <w:r w:rsidRPr="005A1511">
        <w:rPr>
          <w:rFonts w:ascii="Arial" w:hAnsi="Arial" w:cs="Arial"/>
        </w:rPr>
        <w:br w:type="page"/>
      </w:r>
    </w:p>
    <w:p w14:paraId="6CF5663F" w14:textId="21C42D5F" w:rsidR="00883F7C" w:rsidRPr="005A1511" w:rsidRDefault="00883F7C" w:rsidP="00883F7C">
      <w:pPr>
        <w:pStyle w:val="Heading2"/>
      </w:pPr>
      <w:bookmarkStart w:id="37" w:name="_Toc189144440"/>
      <w:r w:rsidRPr="005A1511">
        <w:lastRenderedPageBreak/>
        <w:t>Comparator: Pathway by Medicine Supply</w:t>
      </w:r>
      <w:bookmarkEnd w:id="37"/>
    </w:p>
    <w:p w14:paraId="1D6060D2" w14:textId="77777777" w:rsidR="00883F7C" w:rsidRPr="005A1511" w:rsidRDefault="00883F7C" w:rsidP="00883F7C">
      <w:pPr>
        <w:rPr>
          <w:rFonts w:ascii="Arial" w:hAnsi="Arial" w:cs="Arial"/>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83F7C" w:rsidRPr="005A1511" w14:paraId="627914F9" w14:textId="77777777" w:rsidTr="00DC275E">
        <w:tc>
          <w:tcPr>
            <w:tcW w:w="9889" w:type="dxa"/>
            <w:gridSpan w:val="3"/>
            <w:shd w:val="clear" w:color="auto" w:fill="D9D9D9"/>
          </w:tcPr>
          <w:p w14:paraId="156F1B5A" w14:textId="77777777" w:rsidR="00883F7C" w:rsidRPr="005A1511" w:rsidRDefault="00883F7C" w:rsidP="00DC275E">
            <w:pPr>
              <w:spacing w:line="240" w:lineRule="auto"/>
              <w:rPr>
                <w:rFonts w:ascii="Arial" w:eastAsia="Arial" w:hAnsi="Arial" w:cs="Arial"/>
                <w:color w:val="auto"/>
                <w:sz w:val="18"/>
                <w:szCs w:val="18"/>
              </w:rPr>
            </w:pPr>
            <w:r w:rsidRPr="005A1511">
              <w:rPr>
                <w:rFonts w:ascii="Arial" w:eastAsia="Arial" w:hAnsi="Arial" w:cs="Arial"/>
                <w:b/>
                <w:color w:val="auto"/>
                <w:sz w:val="18"/>
                <w:szCs w:val="18"/>
              </w:rPr>
              <w:t>Section 1: Introduction / Overview</w:t>
            </w:r>
          </w:p>
        </w:tc>
      </w:tr>
      <w:tr w:rsidR="00883F7C" w:rsidRPr="005A1511" w14:paraId="4AEA8EAA" w14:textId="77777777" w:rsidTr="00DC275E">
        <w:tc>
          <w:tcPr>
            <w:tcW w:w="534" w:type="dxa"/>
            <w:shd w:val="clear" w:color="auto" w:fill="auto"/>
          </w:tcPr>
          <w:p w14:paraId="5A268705" w14:textId="77777777" w:rsidR="00883F7C" w:rsidRPr="005A1511" w:rsidRDefault="00883F7C" w:rsidP="00DC275E">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1.1</w:t>
            </w:r>
          </w:p>
          <w:p w14:paraId="1316C09B" w14:textId="77777777" w:rsidR="00883F7C" w:rsidRPr="005A1511" w:rsidRDefault="00883F7C" w:rsidP="00DC275E">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6AE7C276" w14:textId="77777777" w:rsidR="00883F7C" w:rsidRPr="005A1511" w:rsidRDefault="00883F7C" w:rsidP="00DC275E">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Title</w:t>
            </w:r>
          </w:p>
        </w:tc>
        <w:tc>
          <w:tcPr>
            <w:tcW w:w="7938" w:type="dxa"/>
          </w:tcPr>
          <w:p w14:paraId="581C25FF" w14:textId="3D3A4571" w:rsidR="00883F7C" w:rsidRPr="005A1511" w:rsidRDefault="00883F7C" w:rsidP="00DC275E">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Pathway by Medicine Supply</w:t>
            </w:r>
          </w:p>
        </w:tc>
      </w:tr>
      <w:tr w:rsidR="00A02D95" w:rsidRPr="005A1511" w14:paraId="30C56A7C" w14:textId="77777777" w:rsidTr="00DC275E">
        <w:tc>
          <w:tcPr>
            <w:tcW w:w="534" w:type="dxa"/>
            <w:shd w:val="clear" w:color="auto" w:fill="auto"/>
          </w:tcPr>
          <w:p w14:paraId="236FE03C"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15FA146C"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Definition</w:t>
            </w:r>
          </w:p>
        </w:tc>
        <w:tc>
          <w:tcPr>
            <w:tcW w:w="7938" w:type="dxa"/>
          </w:tcPr>
          <w:p w14:paraId="7A8857AA" w14:textId="77777777" w:rsidR="00A02D95" w:rsidRPr="005A1511" w:rsidRDefault="00A02D95" w:rsidP="00A02D95">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This comparator reports all Pharmacy First consultations, showing the number and proportion of consultations by the type of medicine supplied by Patient Group Direction, or where no medicine has been supplied, for a selected clinical pathway, organisation and month.</w:t>
            </w:r>
          </w:p>
          <w:p w14:paraId="5B980BBE" w14:textId="77777777" w:rsidR="00A02D95" w:rsidRPr="005A1511" w:rsidRDefault="00A02D95" w:rsidP="00A02D95">
            <w:pPr>
              <w:spacing w:after="0" w:line="240" w:lineRule="auto"/>
              <w:rPr>
                <w:rFonts w:ascii="Arial" w:hAnsi="Arial" w:cs="Arial"/>
                <w:color w:val="auto"/>
                <w:sz w:val="18"/>
                <w:szCs w:val="21"/>
                <w:shd w:val="clear" w:color="auto" w:fill="FFFFFF"/>
              </w:rPr>
            </w:pPr>
          </w:p>
          <w:p w14:paraId="23B4F1EF" w14:textId="77777777" w:rsidR="004D6863" w:rsidRPr="005A1511" w:rsidRDefault="004D6863" w:rsidP="004D6863">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 xml:space="preserve">This data is available at ICB, NHS region and national (England) organisational levels. A red </w:t>
            </w:r>
            <w:r w:rsidRPr="005A1511">
              <w:rPr>
                <w:rFonts w:ascii="Arial" w:hAnsi="Arial" w:cs="Arial"/>
                <w:color w:val="FF0000"/>
                <w:sz w:val="18"/>
                <w:szCs w:val="21"/>
                <w:shd w:val="clear" w:color="auto" w:fill="FFFFFF"/>
              </w:rPr>
              <w:t xml:space="preserve">V </w:t>
            </w:r>
            <w:r w:rsidRPr="005A1511">
              <w:rPr>
                <w:rFonts w:ascii="Arial" w:hAnsi="Arial" w:cs="Arial"/>
                <w:color w:val="auto"/>
                <w:sz w:val="18"/>
                <w:szCs w:val="21"/>
                <w:shd w:val="clear" w:color="auto" w:fill="FFFFFF"/>
              </w:rPr>
              <w:t>marker identifies the selected organisation (NHS region and ICB) in the dashboard graphs.</w:t>
            </w:r>
          </w:p>
          <w:p w14:paraId="7D6BBF78" w14:textId="77777777" w:rsidR="00A02D95" w:rsidRPr="005A1511" w:rsidRDefault="00A02D95" w:rsidP="00A02D95">
            <w:pPr>
              <w:spacing w:after="0" w:line="240" w:lineRule="auto"/>
              <w:rPr>
                <w:rFonts w:ascii="Arial" w:hAnsi="Arial" w:cs="Arial"/>
                <w:color w:val="auto"/>
                <w:sz w:val="18"/>
                <w:szCs w:val="21"/>
                <w:shd w:val="clear" w:color="auto" w:fill="FFFFFF"/>
              </w:rPr>
            </w:pPr>
          </w:p>
          <w:p w14:paraId="299D4B9E" w14:textId="2EB6E787" w:rsidR="00A02D95" w:rsidRPr="005A1511" w:rsidRDefault="00A02D95" w:rsidP="00A02D95">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 xml:space="preserve">It is also available at Community Pharmacy organisation level by selected </w:t>
            </w:r>
            <w:r w:rsidR="004D6863" w:rsidRPr="005A1511">
              <w:rPr>
                <w:rFonts w:ascii="Arial" w:hAnsi="Arial" w:cs="Arial"/>
                <w:color w:val="auto"/>
                <w:sz w:val="18"/>
                <w:szCs w:val="21"/>
                <w:shd w:val="clear" w:color="auto" w:fill="FFFFFF"/>
              </w:rPr>
              <w:t>ICB.</w:t>
            </w:r>
          </w:p>
          <w:p w14:paraId="126AAAF7" w14:textId="77777777" w:rsidR="00A02D95" w:rsidRPr="005A1511" w:rsidRDefault="00A02D95" w:rsidP="00A02D95">
            <w:pPr>
              <w:spacing w:after="0" w:line="240" w:lineRule="auto"/>
              <w:rPr>
                <w:rFonts w:ascii="Arial" w:hAnsi="Arial" w:cs="Arial"/>
                <w:color w:val="auto"/>
                <w:sz w:val="18"/>
                <w:szCs w:val="21"/>
                <w:shd w:val="clear" w:color="auto" w:fill="FFFFFF"/>
              </w:rPr>
            </w:pPr>
          </w:p>
          <w:p w14:paraId="212D92E9" w14:textId="77777777" w:rsidR="00A02D95" w:rsidRPr="005A1511" w:rsidRDefault="00A02D95" w:rsidP="00A02D95">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This comparator differs from the previous comparator, ‘Pathway by Medicine Selected’ by also including a category ‘No medicines supply’</w:t>
            </w:r>
          </w:p>
          <w:p w14:paraId="0EB42A3F" w14:textId="77777777" w:rsidR="00A02D95" w:rsidRPr="005A1511" w:rsidRDefault="00A02D95" w:rsidP="00A02D95">
            <w:pPr>
              <w:spacing w:after="0" w:line="240" w:lineRule="auto"/>
              <w:rPr>
                <w:rFonts w:ascii="Arial" w:eastAsia="Arial" w:hAnsi="Arial" w:cs="Arial"/>
                <w:color w:val="FF0000"/>
                <w:sz w:val="18"/>
                <w:szCs w:val="18"/>
              </w:rPr>
            </w:pPr>
          </w:p>
        </w:tc>
      </w:tr>
      <w:tr w:rsidR="00A02D95" w:rsidRPr="005A1511" w14:paraId="0737D1CD" w14:textId="77777777" w:rsidTr="00DC275E">
        <w:trPr>
          <w:trHeight w:val="542"/>
        </w:trPr>
        <w:tc>
          <w:tcPr>
            <w:tcW w:w="534" w:type="dxa"/>
            <w:shd w:val="clear" w:color="auto" w:fill="auto"/>
          </w:tcPr>
          <w:p w14:paraId="2092E859"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3EE854E1"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Reporting Details</w:t>
            </w:r>
          </w:p>
        </w:tc>
        <w:tc>
          <w:tcPr>
            <w:tcW w:w="7938" w:type="dxa"/>
          </w:tcPr>
          <w:p w14:paraId="17DA2336" w14:textId="41B6B08B" w:rsidR="001F47F4" w:rsidRPr="005A1511" w:rsidRDefault="001F47F4" w:rsidP="001F47F4">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This comparator reports details of a consultation based on whether a medicine is supplied or not for the selected clinical pathway. Where a consultation results in a supply of a medicine by Patient Group Direction, the </w:t>
            </w:r>
            <w:r w:rsidR="0068128D" w:rsidRPr="005A1511">
              <w:rPr>
                <w:rFonts w:ascii="Arial" w:eastAsia="Arial" w:hAnsi="Arial" w:cs="Arial"/>
                <w:color w:val="auto"/>
                <w:sz w:val="18"/>
                <w:szCs w:val="18"/>
              </w:rPr>
              <w:t>supplied</w:t>
            </w:r>
            <w:r w:rsidRPr="005A1511">
              <w:rPr>
                <w:rFonts w:ascii="Arial" w:eastAsia="Arial" w:hAnsi="Arial" w:cs="Arial"/>
                <w:color w:val="auto"/>
                <w:sz w:val="18"/>
                <w:szCs w:val="18"/>
              </w:rPr>
              <w:t xml:space="preserve"> medicines are reported in this comparator, categorised by type of medicine in scope for the selected clinical pathway. All medicines included in the Pharmacy First service specification are listed below.</w:t>
            </w:r>
          </w:p>
          <w:p w14:paraId="26858C83" w14:textId="77777777" w:rsidR="001F47F4" w:rsidRPr="005A1511" w:rsidRDefault="001F47F4" w:rsidP="001F47F4">
            <w:pPr>
              <w:spacing w:after="0" w:line="240" w:lineRule="auto"/>
              <w:rPr>
                <w:rFonts w:ascii="Arial" w:eastAsia="Arial" w:hAnsi="Arial" w:cs="Arial"/>
                <w:color w:val="auto"/>
                <w:sz w:val="18"/>
                <w:szCs w:val="18"/>
              </w:rPr>
            </w:pPr>
          </w:p>
          <w:p w14:paraId="6C6C3269" w14:textId="77777777" w:rsidR="001F47F4" w:rsidRPr="005A1511" w:rsidRDefault="001F47F4" w:rsidP="001F47F4">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Amoxicillin</w:t>
            </w:r>
          </w:p>
          <w:p w14:paraId="0DD6E886" w14:textId="77777777" w:rsidR="001F47F4" w:rsidRPr="005A1511" w:rsidRDefault="001F47F4" w:rsidP="001F47F4">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Macrolides</w:t>
            </w:r>
          </w:p>
          <w:p w14:paraId="08A31242" w14:textId="77777777" w:rsidR="001F47F4" w:rsidRPr="005A1511" w:rsidRDefault="001F47F4" w:rsidP="001F47F4">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Phenazone/lidocaine</w:t>
            </w:r>
          </w:p>
          <w:p w14:paraId="73001C94" w14:textId="77777777" w:rsidR="001F47F4" w:rsidRPr="005A1511" w:rsidRDefault="001F47F4" w:rsidP="001F47F4">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Phenoxymethylpenicillin (Penicillin V)</w:t>
            </w:r>
          </w:p>
          <w:p w14:paraId="66555937" w14:textId="77777777" w:rsidR="001F47F4" w:rsidRPr="005A1511" w:rsidRDefault="001F47F4" w:rsidP="001F47F4">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Flucloxacillin sodium</w:t>
            </w:r>
          </w:p>
          <w:p w14:paraId="734C9222" w14:textId="77777777" w:rsidR="001F47F4" w:rsidRPr="005A1511" w:rsidRDefault="001F47F4" w:rsidP="001F47F4">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Fusidic acid</w:t>
            </w:r>
          </w:p>
          <w:p w14:paraId="5B8F058E" w14:textId="77777777" w:rsidR="001F47F4" w:rsidRPr="005A1511" w:rsidRDefault="001F47F4" w:rsidP="001F47F4">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Hydrogen peroxide</w:t>
            </w:r>
          </w:p>
          <w:p w14:paraId="18D5054F" w14:textId="77777777" w:rsidR="001F47F4" w:rsidRPr="005A1511" w:rsidRDefault="001F47F4" w:rsidP="001F47F4">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Valaciclovir</w:t>
            </w:r>
          </w:p>
          <w:p w14:paraId="3F3970AE" w14:textId="77777777" w:rsidR="001F47F4" w:rsidRPr="005A1511" w:rsidRDefault="001F47F4" w:rsidP="001F47F4">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Aciclovir</w:t>
            </w:r>
          </w:p>
          <w:p w14:paraId="19A499E8" w14:textId="77777777" w:rsidR="001F47F4" w:rsidRPr="005A1511" w:rsidRDefault="001F47F4" w:rsidP="001F47F4">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Doxycycline</w:t>
            </w:r>
          </w:p>
          <w:p w14:paraId="5AB112D3" w14:textId="77777777" w:rsidR="001F47F4" w:rsidRPr="005A1511" w:rsidRDefault="001F47F4" w:rsidP="001F47F4">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High dose corticosteroid nasal spray</w:t>
            </w:r>
          </w:p>
          <w:p w14:paraId="562C15AC" w14:textId="77777777" w:rsidR="001F47F4" w:rsidRPr="005A1511" w:rsidRDefault="001F47F4" w:rsidP="001F47F4">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Nitrofurantoin</w:t>
            </w:r>
          </w:p>
          <w:p w14:paraId="74484C56" w14:textId="77777777" w:rsidR="001F47F4" w:rsidRPr="005A1511" w:rsidRDefault="001F47F4" w:rsidP="001F47F4">
            <w:pPr>
              <w:spacing w:after="0" w:line="240" w:lineRule="auto"/>
              <w:rPr>
                <w:rFonts w:ascii="Arial" w:eastAsia="Arial" w:hAnsi="Arial" w:cs="Arial"/>
                <w:sz w:val="18"/>
                <w:szCs w:val="18"/>
              </w:rPr>
            </w:pPr>
          </w:p>
          <w:p w14:paraId="14A56BD1" w14:textId="77777777" w:rsidR="001F47F4" w:rsidRPr="005A1511" w:rsidRDefault="001F47F4" w:rsidP="001F47F4">
            <w:pPr>
              <w:spacing w:after="0" w:line="240" w:lineRule="auto"/>
              <w:rPr>
                <w:rFonts w:ascii="Arial" w:eastAsia="Arial" w:hAnsi="Arial" w:cs="Arial"/>
                <w:sz w:val="18"/>
                <w:szCs w:val="18"/>
              </w:rPr>
            </w:pPr>
            <w:r w:rsidRPr="005A1511">
              <w:rPr>
                <w:rFonts w:ascii="Arial" w:eastAsia="Arial" w:hAnsi="Arial" w:cs="Arial"/>
                <w:sz w:val="18"/>
                <w:szCs w:val="18"/>
              </w:rPr>
              <w:t>Some of the above medicines are considered ‘antibiotic sparing’ as they may provide an appropriate alternative to an antibiotic. These include</w:t>
            </w:r>
          </w:p>
          <w:p w14:paraId="2925EC0C" w14:textId="77777777" w:rsidR="001F47F4" w:rsidRPr="005A1511" w:rsidRDefault="001F47F4" w:rsidP="001F47F4">
            <w:pPr>
              <w:spacing w:after="0" w:line="240" w:lineRule="auto"/>
              <w:rPr>
                <w:rFonts w:ascii="Arial" w:eastAsia="Arial" w:hAnsi="Arial" w:cs="Arial"/>
                <w:sz w:val="18"/>
                <w:szCs w:val="18"/>
              </w:rPr>
            </w:pPr>
          </w:p>
          <w:p w14:paraId="2EDD47E6" w14:textId="77777777" w:rsidR="001F47F4" w:rsidRPr="005A1511" w:rsidRDefault="001F47F4" w:rsidP="001F47F4">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Phenazone/lidocaine</w:t>
            </w:r>
          </w:p>
          <w:p w14:paraId="7A1C1D97" w14:textId="77777777" w:rsidR="001F47F4" w:rsidRPr="005A1511" w:rsidRDefault="001F47F4" w:rsidP="001F47F4">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Hydrogen peroxide</w:t>
            </w:r>
          </w:p>
          <w:p w14:paraId="23A81E4C" w14:textId="77777777" w:rsidR="001F47F4" w:rsidRPr="005A1511" w:rsidRDefault="001F47F4" w:rsidP="001F47F4">
            <w:pPr>
              <w:pStyle w:val="ListParagraph"/>
              <w:numPr>
                <w:ilvl w:val="0"/>
                <w:numId w:val="34"/>
              </w:numPr>
              <w:spacing w:after="0" w:line="240" w:lineRule="auto"/>
              <w:rPr>
                <w:rFonts w:ascii="Arial" w:eastAsia="Arial" w:hAnsi="Arial" w:cs="Arial"/>
                <w:sz w:val="18"/>
                <w:szCs w:val="18"/>
              </w:rPr>
            </w:pPr>
            <w:r w:rsidRPr="005A1511">
              <w:rPr>
                <w:rFonts w:ascii="Arial" w:eastAsia="Arial" w:hAnsi="Arial" w:cs="Arial"/>
                <w:sz w:val="18"/>
                <w:szCs w:val="18"/>
              </w:rPr>
              <w:t>High dose corticosteroid nasal spray</w:t>
            </w:r>
          </w:p>
          <w:p w14:paraId="039F0794" w14:textId="77777777" w:rsidR="001F47F4" w:rsidRPr="005A1511" w:rsidRDefault="001F47F4" w:rsidP="001F47F4">
            <w:pPr>
              <w:spacing w:after="0" w:line="240" w:lineRule="auto"/>
              <w:rPr>
                <w:rFonts w:ascii="Arial" w:eastAsia="Arial" w:hAnsi="Arial" w:cs="Arial"/>
                <w:color w:val="auto"/>
                <w:sz w:val="18"/>
                <w:szCs w:val="18"/>
              </w:rPr>
            </w:pPr>
          </w:p>
          <w:p w14:paraId="06F27490" w14:textId="6BF61115" w:rsidR="001F47F4" w:rsidRPr="005A1511" w:rsidRDefault="001F47F4" w:rsidP="001F47F4">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The comparator reports as a stacked proportion of consultations by selected medicines and as a stacked count of selected medicines which allows comparison with other organisations and within the selected organisation over time. It also includes consultations where no medicine</w:t>
            </w:r>
            <w:r w:rsidR="0068128D" w:rsidRPr="005A1511">
              <w:rPr>
                <w:rFonts w:ascii="Arial" w:eastAsia="Arial" w:hAnsi="Arial" w:cs="Arial"/>
                <w:color w:val="auto"/>
                <w:sz w:val="18"/>
                <w:szCs w:val="18"/>
              </w:rPr>
              <w:t xml:space="preserve"> was</w:t>
            </w:r>
            <w:r w:rsidRPr="005A1511">
              <w:rPr>
                <w:rFonts w:ascii="Arial" w:eastAsia="Arial" w:hAnsi="Arial" w:cs="Arial"/>
                <w:color w:val="auto"/>
                <w:sz w:val="18"/>
                <w:szCs w:val="18"/>
              </w:rPr>
              <w:t xml:space="preserve"> supplied.</w:t>
            </w:r>
          </w:p>
          <w:p w14:paraId="1E6E69D8" w14:textId="77777777" w:rsidR="001F47F4" w:rsidRPr="005A1511" w:rsidRDefault="001F47F4" w:rsidP="001F47F4">
            <w:pPr>
              <w:spacing w:after="0" w:line="240" w:lineRule="auto"/>
              <w:rPr>
                <w:rFonts w:ascii="Arial" w:eastAsia="Arial" w:hAnsi="Arial" w:cs="Arial"/>
                <w:color w:val="auto"/>
                <w:sz w:val="18"/>
                <w:szCs w:val="18"/>
              </w:rPr>
            </w:pPr>
          </w:p>
          <w:p w14:paraId="0CDF396C" w14:textId="49932CC4" w:rsidR="001F47F4" w:rsidRPr="005A1511" w:rsidRDefault="001F47F4" w:rsidP="001F47F4">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The graphs show, for</w:t>
            </w:r>
            <w:r w:rsidRPr="005A1511">
              <w:rPr>
                <w:rFonts w:ascii="Arial" w:hAnsi="Arial" w:cs="Arial"/>
              </w:rPr>
              <w:t xml:space="preserve"> the </w:t>
            </w:r>
            <w:r w:rsidRPr="005A1511">
              <w:rPr>
                <w:rFonts w:ascii="Arial" w:eastAsia="Arial" w:hAnsi="Arial" w:cs="Arial"/>
                <w:color w:val="auto"/>
                <w:sz w:val="18"/>
                <w:szCs w:val="18"/>
              </w:rPr>
              <w:t xml:space="preserve">month in which </w:t>
            </w:r>
            <w:r w:rsidR="009A00DA" w:rsidRPr="005A1511">
              <w:rPr>
                <w:rFonts w:ascii="Arial" w:eastAsia="Arial" w:hAnsi="Arial" w:cs="Arial"/>
                <w:color w:val="auto"/>
                <w:sz w:val="18"/>
                <w:szCs w:val="18"/>
              </w:rPr>
              <w:t xml:space="preserve">the </w:t>
            </w:r>
            <w:r w:rsidRPr="005A1511">
              <w:rPr>
                <w:rFonts w:ascii="Arial" w:eastAsia="Arial" w:hAnsi="Arial" w:cs="Arial"/>
                <w:color w:val="auto"/>
                <w:sz w:val="18"/>
                <w:szCs w:val="18"/>
              </w:rPr>
              <w:t>consultation claim was submitted, selected organisation and clinical pathway:</w:t>
            </w:r>
          </w:p>
          <w:p w14:paraId="6AAA8F51" w14:textId="77777777" w:rsidR="001F47F4" w:rsidRPr="005A1511" w:rsidRDefault="001F47F4" w:rsidP="001F47F4">
            <w:pPr>
              <w:spacing w:after="0" w:line="240" w:lineRule="auto"/>
              <w:rPr>
                <w:rFonts w:ascii="Arial" w:eastAsia="Arial" w:hAnsi="Arial" w:cs="Arial"/>
                <w:color w:val="auto"/>
                <w:sz w:val="18"/>
                <w:szCs w:val="18"/>
              </w:rPr>
            </w:pPr>
          </w:p>
          <w:p w14:paraId="2C490146" w14:textId="1E107264" w:rsidR="001F47F4" w:rsidRPr="005A1511" w:rsidRDefault="009916D4" w:rsidP="001F47F4">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T</w:t>
            </w:r>
            <w:r w:rsidR="001F47F4" w:rsidRPr="005A1511">
              <w:rPr>
                <w:rFonts w:ascii="Arial" w:eastAsia="Arial" w:hAnsi="Arial" w:cs="Arial"/>
                <w:sz w:val="18"/>
                <w:szCs w:val="18"/>
              </w:rPr>
              <w:t>he proportion of consultations by selected medicine / no medicines supply</w:t>
            </w:r>
          </w:p>
          <w:p w14:paraId="07C2B506" w14:textId="77777777" w:rsidR="001F47F4" w:rsidRPr="005A1511" w:rsidRDefault="001F47F4" w:rsidP="001F47F4">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Count of the number of consultations by selected medicine / no medicines supply</w:t>
            </w:r>
          </w:p>
          <w:p w14:paraId="53A74B72" w14:textId="77777777" w:rsidR="001F47F4" w:rsidRPr="005A1511" w:rsidRDefault="001F47F4" w:rsidP="001F47F4">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Count of the number of patients consulting by selected medicine / no medicines supply</w:t>
            </w:r>
          </w:p>
          <w:p w14:paraId="54062AF5" w14:textId="77777777" w:rsidR="001F47F4" w:rsidRPr="005A1511" w:rsidRDefault="001F47F4" w:rsidP="001F47F4">
            <w:pPr>
              <w:pStyle w:val="ListParagraph"/>
              <w:spacing w:after="0" w:line="240" w:lineRule="auto"/>
              <w:rPr>
                <w:rFonts w:ascii="Arial" w:eastAsia="Arial" w:hAnsi="Arial" w:cs="Arial"/>
                <w:sz w:val="18"/>
                <w:szCs w:val="18"/>
              </w:rPr>
            </w:pPr>
            <w:r w:rsidRPr="005A1511">
              <w:rPr>
                <w:rFonts w:ascii="Arial" w:eastAsia="Arial" w:hAnsi="Arial" w:cs="Arial"/>
                <w:sz w:val="18"/>
                <w:szCs w:val="18"/>
              </w:rPr>
              <w:t>(Table view only)</w:t>
            </w:r>
          </w:p>
          <w:p w14:paraId="0BAACAFB" w14:textId="77777777" w:rsidR="001F47F4" w:rsidRPr="005A1511" w:rsidRDefault="001F47F4" w:rsidP="001F47F4">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Count of the number of items supplied by selected medicine / no medicines supply</w:t>
            </w:r>
          </w:p>
          <w:p w14:paraId="3239A7B9" w14:textId="77777777" w:rsidR="001F47F4" w:rsidRPr="005A1511" w:rsidRDefault="001F47F4" w:rsidP="001F47F4">
            <w:pPr>
              <w:pStyle w:val="ListParagraph"/>
              <w:spacing w:after="0" w:line="240" w:lineRule="auto"/>
              <w:rPr>
                <w:rFonts w:ascii="Arial" w:eastAsia="Arial" w:hAnsi="Arial" w:cs="Arial"/>
                <w:sz w:val="18"/>
                <w:szCs w:val="18"/>
              </w:rPr>
            </w:pPr>
            <w:r w:rsidRPr="005A1511">
              <w:rPr>
                <w:rFonts w:ascii="Arial" w:eastAsia="Arial" w:hAnsi="Arial" w:cs="Arial"/>
                <w:sz w:val="18"/>
                <w:szCs w:val="18"/>
              </w:rPr>
              <w:t xml:space="preserve"> (Table view only)</w:t>
            </w:r>
          </w:p>
          <w:p w14:paraId="68E421F2" w14:textId="77777777" w:rsidR="001F47F4" w:rsidRPr="005A1511" w:rsidRDefault="001F47F4" w:rsidP="001F47F4">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Monthly trend of the above, from Feb 2024.</w:t>
            </w:r>
          </w:p>
          <w:p w14:paraId="12F73488" w14:textId="77777777" w:rsidR="001F47F4" w:rsidRPr="005A1511" w:rsidRDefault="001F47F4" w:rsidP="001F47F4">
            <w:pPr>
              <w:spacing w:after="0" w:line="240" w:lineRule="auto"/>
              <w:rPr>
                <w:rFonts w:ascii="Arial" w:eastAsia="Arial" w:hAnsi="Arial" w:cs="Arial"/>
                <w:color w:val="auto"/>
                <w:sz w:val="18"/>
                <w:szCs w:val="18"/>
              </w:rPr>
            </w:pPr>
          </w:p>
          <w:p w14:paraId="7801226B" w14:textId="77777777" w:rsidR="009916D4" w:rsidRPr="005A1511" w:rsidRDefault="009916D4" w:rsidP="009916D4">
            <w:pPr>
              <w:spacing w:after="0" w:line="240" w:lineRule="auto"/>
              <w:rPr>
                <w:rFonts w:ascii="Arial" w:eastAsia="Arial" w:hAnsi="Arial" w:cs="Arial"/>
                <w:sz w:val="18"/>
                <w:szCs w:val="18"/>
              </w:rPr>
            </w:pPr>
            <w:r w:rsidRPr="005A1511">
              <w:rPr>
                <w:rFonts w:ascii="Arial" w:eastAsia="Arial" w:hAnsi="Arial" w:cs="Arial"/>
                <w:sz w:val="18"/>
                <w:szCs w:val="18"/>
              </w:rPr>
              <w:t>The National level views displays the trend graph only.</w:t>
            </w:r>
          </w:p>
          <w:p w14:paraId="30A7034C" w14:textId="77777777" w:rsidR="001F47F4" w:rsidRPr="005A1511" w:rsidRDefault="001F47F4" w:rsidP="001F47F4">
            <w:pPr>
              <w:spacing w:after="0" w:line="240" w:lineRule="auto"/>
              <w:rPr>
                <w:rFonts w:ascii="Arial" w:eastAsia="Arial" w:hAnsi="Arial" w:cs="Arial"/>
                <w:color w:val="auto"/>
                <w:sz w:val="18"/>
                <w:szCs w:val="18"/>
              </w:rPr>
            </w:pPr>
          </w:p>
          <w:p w14:paraId="123655CD" w14:textId="77777777" w:rsidR="001F47F4" w:rsidRPr="005A1511" w:rsidRDefault="001F47F4" w:rsidP="001F47F4">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Consultation data has been attributed to the ICB with which the patient was registered with a General Practice, based on the General Practice ODS code as reported in the Pharmacy First consultation data set. </w:t>
            </w:r>
          </w:p>
          <w:p w14:paraId="49864F1F" w14:textId="77777777" w:rsidR="001F47F4" w:rsidRPr="005A1511" w:rsidRDefault="001F47F4" w:rsidP="001F47F4">
            <w:pPr>
              <w:spacing w:after="0" w:line="240" w:lineRule="auto"/>
              <w:rPr>
                <w:rFonts w:ascii="Arial" w:eastAsia="Arial" w:hAnsi="Arial" w:cs="Arial"/>
                <w:color w:val="auto"/>
                <w:sz w:val="18"/>
                <w:szCs w:val="18"/>
              </w:rPr>
            </w:pPr>
          </w:p>
          <w:p w14:paraId="40963433" w14:textId="77777777" w:rsidR="001F47F4" w:rsidRPr="005A1511" w:rsidRDefault="001F47F4" w:rsidP="001F47F4">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The exception is when this comparator is reported by Community Pharmacy organisation. This reports the data for patients who have consulted at the named pharmacy irrespective of where the patient is registered with a General Practice.</w:t>
            </w:r>
          </w:p>
          <w:p w14:paraId="13E9B0FF" w14:textId="77777777" w:rsidR="00A02D95" w:rsidRPr="005A1511" w:rsidRDefault="00A02D95" w:rsidP="00A02D95">
            <w:pPr>
              <w:spacing w:after="0" w:line="240" w:lineRule="auto"/>
              <w:rPr>
                <w:rFonts w:ascii="Arial" w:eastAsia="Arial" w:hAnsi="Arial" w:cs="Arial"/>
                <w:color w:val="FF0000"/>
                <w:sz w:val="18"/>
                <w:szCs w:val="18"/>
              </w:rPr>
            </w:pPr>
          </w:p>
        </w:tc>
      </w:tr>
      <w:tr w:rsidR="00A02D95" w:rsidRPr="005A1511" w14:paraId="489D2B3D" w14:textId="77777777" w:rsidTr="00DC275E">
        <w:trPr>
          <w:trHeight w:val="780"/>
        </w:trPr>
        <w:tc>
          <w:tcPr>
            <w:tcW w:w="534" w:type="dxa"/>
            <w:shd w:val="clear" w:color="auto" w:fill="auto"/>
          </w:tcPr>
          <w:p w14:paraId="03784A91"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lastRenderedPageBreak/>
              <w:t>1.4</w:t>
            </w:r>
          </w:p>
        </w:tc>
        <w:tc>
          <w:tcPr>
            <w:tcW w:w="1417" w:type="dxa"/>
            <w:tcBorders>
              <w:top w:val="single" w:sz="4" w:space="0" w:color="000000"/>
              <w:bottom w:val="single" w:sz="4" w:space="0" w:color="000000"/>
            </w:tcBorders>
            <w:shd w:val="clear" w:color="auto" w:fill="D9D9D9"/>
          </w:tcPr>
          <w:p w14:paraId="38D14CC8"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Numerator</w:t>
            </w:r>
          </w:p>
        </w:tc>
        <w:tc>
          <w:tcPr>
            <w:tcW w:w="7938" w:type="dxa"/>
          </w:tcPr>
          <w:p w14:paraId="507B5FA9" w14:textId="4E9DA934" w:rsidR="00A02D95" w:rsidRPr="005A1511" w:rsidRDefault="00A02D95" w:rsidP="00A02D95">
            <w:pPr>
              <w:spacing w:after="0" w:line="240" w:lineRule="auto"/>
              <w:rPr>
                <w:rFonts w:ascii="Arial" w:eastAsia="Arial" w:hAnsi="Arial" w:cs="Arial"/>
                <w:color w:val="FF0000"/>
                <w:sz w:val="18"/>
                <w:szCs w:val="18"/>
              </w:rPr>
            </w:pPr>
            <w:r w:rsidRPr="005A1511">
              <w:rPr>
                <w:rFonts w:ascii="Arial" w:hAnsi="Arial" w:cs="Arial"/>
                <w:color w:val="auto"/>
                <w:sz w:val="18"/>
                <w:szCs w:val="21"/>
                <w:shd w:val="clear" w:color="auto" w:fill="FFFFFF"/>
              </w:rPr>
              <w:t>The total number of Pharmacy First consultations by chemical substance (or where no supply was made), for the selected organisational unit, month and clinical pathway.</w:t>
            </w:r>
          </w:p>
          <w:p w14:paraId="2811A96B" w14:textId="77777777" w:rsidR="00A02D95" w:rsidRPr="005A1511" w:rsidRDefault="00A02D95" w:rsidP="00A02D95">
            <w:pPr>
              <w:spacing w:after="0" w:line="240" w:lineRule="auto"/>
              <w:rPr>
                <w:rFonts w:ascii="Arial" w:eastAsia="Arial" w:hAnsi="Arial" w:cs="Arial"/>
                <w:color w:val="FF0000"/>
                <w:sz w:val="18"/>
                <w:szCs w:val="18"/>
              </w:rPr>
            </w:pPr>
          </w:p>
        </w:tc>
      </w:tr>
      <w:tr w:rsidR="00A02D95" w:rsidRPr="005A1511" w14:paraId="1389B00D" w14:textId="77777777" w:rsidTr="00DC275E">
        <w:trPr>
          <w:trHeight w:val="820"/>
        </w:trPr>
        <w:tc>
          <w:tcPr>
            <w:tcW w:w="534" w:type="dxa"/>
            <w:shd w:val="clear" w:color="auto" w:fill="auto"/>
          </w:tcPr>
          <w:p w14:paraId="509093EF"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55880A52"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Denominator</w:t>
            </w:r>
          </w:p>
        </w:tc>
        <w:tc>
          <w:tcPr>
            <w:tcW w:w="7938" w:type="dxa"/>
          </w:tcPr>
          <w:p w14:paraId="5F00C51A" w14:textId="37B1C690" w:rsidR="00A02D95" w:rsidRPr="005A1511" w:rsidRDefault="00A02D95" w:rsidP="00A02D95">
            <w:pPr>
              <w:spacing w:after="0" w:line="240" w:lineRule="auto"/>
              <w:rPr>
                <w:rFonts w:ascii="Arial" w:eastAsia="Arial" w:hAnsi="Arial" w:cs="Arial"/>
                <w:color w:val="FF0000"/>
                <w:sz w:val="18"/>
                <w:szCs w:val="18"/>
              </w:rPr>
            </w:pPr>
            <w:r w:rsidRPr="005A1511">
              <w:rPr>
                <w:rFonts w:ascii="Arial" w:hAnsi="Arial" w:cs="Arial"/>
                <w:color w:val="auto"/>
                <w:sz w:val="18"/>
                <w:szCs w:val="21"/>
                <w:shd w:val="clear" w:color="auto" w:fill="FFFFFF"/>
              </w:rPr>
              <w:t>The total number of Pharmacy First consultations for all chemical substances (or where no supply was made), for the selected organisational unit, month and clinical pathway.</w:t>
            </w:r>
          </w:p>
          <w:p w14:paraId="3B966411" w14:textId="77777777" w:rsidR="00A02D95" w:rsidRPr="005A1511" w:rsidRDefault="00A02D95" w:rsidP="00A02D95">
            <w:pPr>
              <w:spacing w:after="0" w:line="240" w:lineRule="auto"/>
              <w:rPr>
                <w:rFonts w:ascii="Arial" w:eastAsia="Arial" w:hAnsi="Arial" w:cs="Arial"/>
                <w:color w:val="FF0000"/>
                <w:sz w:val="18"/>
                <w:szCs w:val="18"/>
              </w:rPr>
            </w:pPr>
          </w:p>
        </w:tc>
      </w:tr>
      <w:tr w:rsidR="00A02D95" w:rsidRPr="005A1511" w14:paraId="6E123805" w14:textId="77777777" w:rsidTr="00DC275E">
        <w:tc>
          <w:tcPr>
            <w:tcW w:w="534" w:type="dxa"/>
            <w:shd w:val="clear" w:color="auto" w:fill="auto"/>
          </w:tcPr>
          <w:p w14:paraId="2433AE54"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1.6</w:t>
            </w:r>
          </w:p>
        </w:tc>
        <w:tc>
          <w:tcPr>
            <w:tcW w:w="1417" w:type="dxa"/>
            <w:tcBorders>
              <w:top w:val="single" w:sz="4" w:space="0" w:color="000000"/>
            </w:tcBorders>
            <w:shd w:val="clear" w:color="auto" w:fill="D9D9D9"/>
          </w:tcPr>
          <w:p w14:paraId="6DB38A8E"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Methodology</w:t>
            </w:r>
          </w:p>
        </w:tc>
        <w:tc>
          <w:tcPr>
            <w:tcW w:w="7938" w:type="dxa"/>
          </w:tcPr>
          <w:p w14:paraId="1BD752B6"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Numerator divided by denominator, expressed as a percentage. Consultation counts are also shown as an integer in the visualisation tooltip (hover), as well as in the Table and Graph (Values) views. </w:t>
            </w:r>
          </w:p>
          <w:p w14:paraId="3C8BC21A" w14:textId="77777777" w:rsidR="00A02D95" w:rsidRPr="005A1511" w:rsidRDefault="00A02D95" w:rsidP="00A02D95">
            <w:pPr>
              <w:spacing w:after="0" w:line="240" w:lineRule="auto"/>
              <w:rPr>
                <w:rFonts w:ascii="Arial" w:eastAsia="Arial" w:hAnsi="Arial" w:cs="Arial"/>
                <w:color w:val="auto"/>
                <w:sz w:val="18"/>
                <w:szCs w:val="18"/>
              </w:rPr>
            </w:pPr>
          </w:p>
          <w:p w14:paraId="3A884125"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In the Community Pharmacy view, the default presentation is by consultation counts – percentage rates can be accessed by changing the view selected to Graph (Percentage) or Table.</w:t>
            </w:r>
          </w:p>
          <w:p w14:paraId="2E8CE3F7" w14:textId="77777777" w:rsidR="00A02D95" w:rsidRPr="005A1511" w:rsidRDefault="00A02D95" w:rsidP="00A02D95">
            <w:pPr>
              <w:spacing w:after="0" w:line="240" w:lineRule="auto"/>
              <w:rPr>
                <w:rFonts w:ascii="Arial" w:eastAsia="Arial" w:hAnsi="Arial" w:cs="Arial"/>
                <w:color w:val="FF0000"/>
                <w:sz w:val="18"/>
                <w:szCs w:val="18"/>
              </w:rPr>
            </w:pPr>
          </w:p>
        </w:tc>
      </w:tr>
      <w:tr w:rsidR="00A02D95" w:rsidRPr="005A1511" w14:paraId="7977FA31" w14:textId="77777777" w:rsidTr="00DC275E">
        <w:tc>
          <w:tcPr>
            <w:tcW w:w="534" w:type="dxa"/>
            <w:shd w:val="clear" w:color="auto" w:fill="auto"/>
          </w:tcPr>
          <w:p w14:paraId="4BFC07FC"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1.7</w:t>
            </w:r>
          </w:p>
        </w:tc>
        <w:tc>
          <w:tcPr>
            <w:tcW w:w="1417" w:type="dxa"/>
            <w:tcBorders>
              <w:top w:val="single" w:sz="4" w:space="0" w:color="000000"/>
            </w:tcBorders>
            <w:shd w:val="clear" w:color="auto" w:fill="D9D9D9"/>
          </w:tcPr>
          <w:p w14:paraId="1ECB253E" w14:textId="77777777" w:rsidR="00A02D95" w:rsidRPr="005A1511" w:rsidRDefault="00A02D95" w:rsidP="00A02D95">
            <w:pPr>
              <w:spacing w:after="0" w:line="240" w:lineRule="auto"/>
              <w:rPr>
                <w:rFonts w:ascii="Arial" w:eastAsia="Arial" w:hAnsi="Arial" w:cs="Arial"/>
                <w:b/>
                <w:color w:val="auto"/>
                <w:sz w:val="18"/>
                <w:szCs w:val="18"/>
              </w:rPr>
            </w:pPr>
            <w:r w:rsidRPr="005A1511">
              <w:rPr>
                <w:rFonts w:ascii="Arial" w:eastAsia="Arial" w:hAnsi="Arial" w:cs="Arial"/>
                <w:b/>
                <w:color w:val="auto"/>
                <w:sz w:val="18"/>
                <w:szCs w:val="18"/>
              </w:rPr>
              <w:t>Medicines</w:t>
            </w:r>
          </w:p>
        </w:tc>
        <w:tc>
          <w:tcPr>
            <w:tcW w:w="7938" w:type="dxa"/>
          </w:tcPr>
          <w:p w14:paraId="72607511" w14:textId="77777777" w:rsidR="00A02D95" w:rsidRPr="005A1511" w:rsidRDefault="00A02D95" w:rsidP="00A02D95">
            <w:pPr>
              <w:spacing w:after="0" w:line="240" w:lineRule="auto"/>
              <w:rPr>
                <w:rFonts w:ascii="Arial" w:eastAsia="Arial" w:hAnsi="Arial" w:cs="Arial"/>
                <w:color w:val="FF0000"/>
                <w:sz w:val="18"/>
                <w:szCs w:val="18"/>
              </w:rPr>
            </w:pPr>
            <w:r w:rsidRPr="005A1511">
              <w:rPr>
                <w:rFonts w:ascii="Arial" w:eastAsia="Arial" w:hAnsi="Arial" w:cs="Arial"/>
                <w:sz w:val="18"/>
                <w:szCs w:val="18"/>
              </w:rPr>
              <w:t xml:space="preserve">Please refer to the Patient Group Directions for the relevant clinical pathway, which can be found at </w:t>
            </w:r>
            <w:hyperlink r:id="rId21" w:history="1">
              <w:r w:rsidRPr="005A1511">
                <w:rPr>
                  <w:rStyle w:val="Hyperlink"/>
                  <w:rFonts w:ascii="Arial" w:eastAsia="Arial" w:hAnsi="Arial" w:cs="Arial"/>
                  <w:sz w:val="18"/>
                  <w:szCs w:val="18"/>
                </w:rPr>
                <w:t>https://www.england.nhs.uk/publication/community-pharmacy-advanced-service-specification-nhs-pharmacy-first-service/</w:t>
              </w:r>
            </w:hyperlink>
            <w:r w:rsidRPr="005A1511">
              <w:rPr>
                <w:rFonts w:ascii="Arial" w:eastAsia="Arial" w:hAnsi="Arial" w:cs="Arial"/>
                <w:sz w:val="18"/>
                <w:szCs w:val="18"/>
              </w:rPr>
              <w:t xml:space="preserve"> </w:t>
            </w:r>
          </w:p>
        </w:tc>
      </w:tr>
      <w:tr w:rsidR="00A02D95" w:rsidRPr="005A1511" w14:paraId="70EFA6F8" w14:textId="77777777" w:rsidTr="00DC275E">
        <w:tc>
          <w:tcPr>
            <w:tcW w:w="9889" w:type="dxa"/>
            <w:gridSpan w:val="3"/>
            <w:shd w:val="clear" w:color="auto" w:fill="D9D9D9"/>
          </w:tcPr>
          <w:p w14:paraId="0AC63519"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Section 2: Rationale</w:t>
            </w:r>
          </w:p>
        </w:tc>
      </w:tr>
      <w:tr w:rsidR="00A02D95" w:rsidRPr="005A1511" w14:paraId="50D0EC84" w14:textId="77777777" w:rsidTr="00DC275E">
        <w:trPr>
          <w:trHeight w:val="993"/>
        </w:trPr>
        <w:tc>
          <w:tcPr>
            <w:tcW w:w="534" w:type="dxa"/>
            <w:shd w:val="clear" w:color="auto" w:fill="auto"/>
          </w:tcPr>
          <w:p w14:paraId="34E55C59"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2.1</w:t>
            </w:r>
          </w:p>
          <w:p w14:paraId="5E149DAB" w14:textId="77777777" w:rsidR="00A02D95" w:rsidRPr="005A1511" w:rsidRDefault="00A02D95" w:rsidP="00A02D95">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57F19312"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Purpose and Limitations</w:t>
            </w:r>
          </w:p>
        </w:tc>
        <w:tc>
          <w:tcPr>
            <w:tcW w:w="7938" w:type="dxa"/>
          </w:tcPr>
          <w:p w14:paraId="13C84F3B" w14:textId="77777777" w:rsidR="00320F60" w:rsidRPr="005A1511" w:rsidRDefault="008E49A8" w:rsidP="008E49A8">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The purpose of this dashboard is to </w:t>
            </w:r>
            <w:r w:rsidR="00FB25F2" w:rsidRPr="005A1511">
              <w:rPr>
                <w:rFonts w:ascii="Arial" w:eastAsia="Arial" w:hAnsi="Arial" w:cs="Arial"/>
                <w:color w:val="auto"/>
                <w:sz w:val="18"/>
                <w:szCs w:val="18"/>
              </w:rPr>
              <w:t xml:space="preserve">help </w:t>
            </w:r>
            <w:r w:rsidRPr="005A1511">
              <w:rPr>
                <w:rFonts w:ascii="Arial" w:eastAsia="Arial" w:hAnsi="Arial" w:cs="Arial"/>
                <w:color w:val="auto"/>
                <w:sz w:val="18"/>
                <w:szCs w:val="18"/>
              </w:rPr>
              <w:t xml:space="preserve">support clinicians and </w:t>
            </w:r>
            <w:r w:rsidR="008B6B15" w:rsidRPr="005A1511">
              <w:rPr>
                <w:rFonts w:ascii="Arial" w:eastAsia="Arial" w:hAnsi="Arial" w:cs="Arial"/>
                <w:color w:val="auto"/>
                <w:sz w:val="18"/>
                <w:szCs w:val="18"/>
              </w:rPr>
              <w:t>ICBs</w:t>
            </w:r>
            <w:r w:rsidRPr="005A1511">
              <w:rPr>
                <w:rFonts w:ascii="Arial" w:eastAsia="Arial" w:hAnsi="Arial" w:cs="Arial"/>
                <w:color w:val="auto"/>
                <w:sz w:val="18"/>
                <w:szCs w:val="18"/>
              </w:rPr>
              <w:t xml:space="preserve"> monitor access to infection pathways and monitor exposure to medicines including antimicrobials for defined populations. </w:t>
            </w:r>
          </w:p>
          <w:p w14:paraId="0322E246" w14:textId="77777777" w:rsidR="00320F60" w:rsidRPr="005A1511" w:rsidRDefault="00320F60" w:rsidP="008E49A8">
            <w:pPr>
              <w:spacing w:after="0" w:line="240" w:lineRule="auto"/>
              <w:rPr>
                <w:rFonts w:ascii="Arial" w:eastAsia="Arial" w:hAnsi="Arial" w:cs="Arial"/>
                <w:color w:val="auto"/>
                <w:sz w:val="18"/>
                <w:szCs w:val="18"/>
              </w:rPr>
            </w:pPr>
          </w:p>
          <w:p w14:paraId="733E5B3B" w14:textId="2A55988F" w:rsidR="008E49A8" w:rsidRPr="005A1511" w:rsidRDefault="008E49A8" w:rsidP="008E49A8">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To </w:t>
            </w:r>
            <w:r w:rsidR="00320F60" w:rsidRPr="005A1511">
              <w:rPr>
                <w:rFonts w:ascii="Arial" w:eastAsia="Arial" w:hAnsi="Arial" w:cs="Arial"/>
                <w:color w:val="auto"/>
                <w:sz w:val="18"/>
                <w:szCs w:val="18"/>
              </w:rPr>
              <w:t xml:space="preserve">enable </w:t>
            </w:r>
            <w:r w:rsidRPr="005A1511">
              <w:rPr>
                <w:rFonts w:ascii="Arial" w:eastAsia="Arial" w:hAnsi="Arial" w:cs="Arial"/>
                <w:color w:val="auto"/>
                <w:sz w:val="18"/>
                <w:szCs w:val="18"/>
              </w:rPr>
              <w:t xml:space="preserve">this, patient consultation data has been attributed to the ICB with which the patient is currently registered at a General Practice, based on the General Practice ODS code as reported in the Pharmacy First consultation data set. </w:t>
            </w:r>
          </w:p>
          <w:p w14:paraId="3A3EE2D1" w14:textId="77777777" w:rsidR="008E49A8" w:rsidRPr="005A1511" w:rsidRDefault="008E49A8" w:rsidP="008E49A8">
            <w:pPr>
              <w:spacing w:after="0" w:line="240" w:lineRule="auto"/>
              <w:rPr>
                <w:rFonts w:ascii="Arial" w:eastAsia="Arial" w:hAnsi="Arial" w:cs="Arial"/>
                <w:color w:val="auto"/>
                <w:sz w:val="18"/>
                <w:szCs w:val="18"/>
              </w:rPr>
            </w:pPr>
          </w:p>
          <w:p w14:paraId="1990337C" w14:textId="51DB18F8" w:rsidR="008E49A8" w:rsidRPr="005A1511" w:rsidRDefault="008E49A8" w:rsidP="008E49A8">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This comparator allows </w:t>
            </w:r>
            <w:r w:rsidR="00320F60" w:rsidRPr="005A1511">
              <w:rPr>
                <w:rFonts w:ascii="Arial" w:eastAsia="Arial" w:hAnsi="Arial" w:cs="Arial"/>
                <w:color w:val="auto"/>
                <w:sz w:val="18"/>
                <w:szCs w:val="18"/>
              </w:rPr>
              <w:t>ICBs</w:t>
            </w:r>
            <w:r w:rsidRPr="005A1511">
              <w:rPr>
                <w:rFonts w:ascii="Arial" w:eastAsia="Arial" w:hAnsi="Arial" w:cs="Arial"/>
                <w:color w:val="auto"/>
                <w:sz w:val="18"/>
                <w:szCs w:val="18"/>
              </w:rPr>
              <w:t xml:space="preserve"> to identify the supply of medicines for each of the 7 clinical pathways provided by the Pharmacy First service and identify variation in medicines supplied both between </w:t>
            </w:r>
            <w:r w:rsidR="00320F60" w:rsidRPr="005A1511">
              <w:rPr>
                <w:rFonts w:ascii="Arial" w:eastAsia="Arial" w:hAnsi="Arial" w:cs="Arial"/>
                <w:color w:val="auto"/>
                <w:sz w:val="18"/>
                <w:szCs w:val="18"/>
              </w:rPr>
              <w:t>ICBs</w:t>
            </w:r>
            <w:r w:rsidR="00320F60" w:rsidRPr="005A1511">
              <w:rPr>
                <w:rFonts w:ascii="Arial" w:eastAsia="Arial" w:hAnsi="Arial" w:cs="Arial"/>
                <w:color w:val="auto"/>
                <w:sz w:val="18"/>
                <w:szCs w:val="18"/>
              </w:rPr>
              <w:t xml:space="preserve"> </w:t>
            </w:r>
            <w:r w:rsidRPr="005A1511">
              <w:rPr>
                <w:rFonts w:ascii="Arial" w:eastAsia="Arial" w:hAnsi="Arial" w:cs="Arial"/>
                <w:color w:val="auto"/>
                <w:sz w:val="18"/>
                <w:szCs w:val="18"/>
              </w:rPr>
              <w:t xml:space="preserve">for a selected clinical pathway, and within individual </w:t>
            </w:r>
            <w:r w:rsidR="00320F60" w:rsidRPr="005A1511">
              <w:rPr>
                <w:rFonts w:ascii="Arial" w:eastAsia="Arial" w:hAnsi="Arial" w:cs="Arial"/>
                <w:color w:val="auto"/>
                <w:sz w:val="18"/>
                <w:szCs w:val="18"/>
              </w:rPr>
              <w:t>ICBs</w:t>
            </w:r>
            <w:r w:rsidR="00320F60" w:rsidRPr="005A1511">
              <w:rPr>
                <w:rFonts w:ascii="Arial" w:eastAsia="Arial" w:hAnsi="Arial" w:cs="Arial"/>
                <w:color w:val="auto"/>
                <w:sz w:val="18"/>
                <w:szCs w:val="18"/>
              </w:rPr>
              <w:t xml:space="preserve"> </w:t>
            </w:r>
            <w:r w:rsidRPr="005A1511">
              <w:rPr>
                <w:rFonts w:ascii="Arial" w:eastAsia="Arial" w:hAnsi="Arial" w:cs="Arial"/>
                <w:color w:val="auto"/>
                <w:sz w:val="18"/>
                <w:szCs w:val="18"/>
              </w:rPr>
              <w:t xml:space="preserve">across all 7 clinical pathways. </w:t>
            </w:r>
          </w:p>
          <w:p w14:paraId="4C13E16E" w14:textId="77777777" w:rsidR="008E49A8" w:rsidRPr="005A1511" w:rsidRDefault="008E49A8" w:rsidP="008E49A8">
            <w:pPr>
              <w:spacing w:after="0" w:line="240" w:lineRule="auto"/>
              <w:rPr>
                <w:rFonts w:ascii="Arial" w:eastAsia="Arial" w:hAnsi="Arial" w:cs="Arial"/>
                <w:color w:val="auto"/>
                <w:sz w:val="18"/>
                <w:szCs w:val="18"/>
              </w:rPr>
            </w:pPr>
          </w:p>
          <w:p w14:paraId="31BC1A72" w14:textId="61E9FEFF" w:rsidR="008E49A8" w:rsidRPr="005A1511" w:rsidRDefault="008E49A8" w:rsidP="008E49A8">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This comparator differs from the comparator </w:t>
            </w:r>
            <w:r w:rsidRPr="005A1511">
              <w:rPr>
                <w:rFonts w:ascii="Arial" w:hAnsi="Arial" w:cs="Arial"/>
                <w:i/>
                <w:iCs/>
                <w:sz w:val="18"/>
                <w:szCs w:val="18"/>
              </w:rPr>
              <w:t>Pathway by Medicine Selected</w:t>
            </w:r>
            <w:r w:rsidRPr="005A1511">
              <w:rPr>
                <w:rFonts w:ascii="Arial" w:eastAsia="Arial" w:hAnsi="Arial" w:cs="Arial"/>
                <w:color w:val="auto"/>
                <w:sz w:val="14"/>
                <w:szCs w:val="14"/>
              </w:rPr>
              <w:t xml:space="preserve"> </w:t>
            </w:r>
            <w:r w:rsidRPr="005A1511">
              <w:rPr>
                <w:rFonts w:ascii="Arial" w:eastAsia="Arial" w:hAnsi="Arial" w:cs="Arial"/>
                <w:color w:val="auto"/>
                <w:sz w:val="18"/>
                <w:szCs w:val="18"/>
              </w:rPr>
              <w:t>in</w:t>
            </w:r>
            <w:r w:rsidRPr="005A1511">
              <w:rPr>
                <w:rFonts w:ascii="Arial" w:eastAsia="Arial" w:hAnsi="Arial" w:cs="Arial"/>
                <w:color w:val="auto"/>
                <w:sz w:val="12"/>
                <w:szCs w:val="12"/>
              </w:rPr>
              <w:t xml:space="preserve"> </w:t>
            </w:r>
            <w:r w:rsidRPr="005A1511">
              <w:rPr>
                <w:rFonts w:ascii="Arial" w:eastAsia="Arial" w:hAnsi="Arial" w:cs="Arial"/>
                <w:color w:val="auto"/>
                <w:sz w:val="18"/>
                <w:szCs w:val="18"/>
              </w:rPr>
              <w:t xml:space="preserve">that it also includes consultations where </w:t>
            </w:r>
            <w:r w:rsidR="00320F60" w:rsidRPr="005A1511">
              <w:rPr>
                <w:rFonts w:ascii="Arial" w:eastAsia="Arial" w:hAnsi="Arial" w:cs="Arial"/>
                <w:color w:val="auto"/>
                <w:sz w:val="18"/>
                <w:szCs w:val="18"/>
              </w:rPr>
              <w:t>no</w:t>
            </w:r>
            <w:r w:rsidRPr="005A1511">
              <w:rPr>
                <w:rFonts w:ascii="Arial" w:eastAsia="Arial" w:hAnsi="Arial" w:cs="Arial"/>
                <w:color w:val="auto"/>
                <w:sz w:val="18"/>
                <w:szCs w:val="18"/>
              </w:rPr>
              <w:t xml:space="preserve"> medicine</w:t>
            </w:r>
            <w:r w:rsidR="00320F60" w:rsidRPr="005A1511">
              <w:rPr>
                <w:rFonts w:ascii="Arial" w:eastAsia="Arial" w:hAnsi="Arial" w:cs="Arial"/>
                <w:color w:val="auto"/>
                <w:sz w:val="18"/>
                <w:szCs w:val="18"/>
              </w:rPr>
              <w:t xml:space="preserve"> was supplied</w:t>
            </w:r>
            <w:r w:rsidRPr="005A1511">
              <w:rPr>
                <w:rFonts w:ascii="Arial" w:eastAsia="Arial" w:hAnsi="Arial" w:cs="Arial"/>
                <w:color w:val="auto"/>
                <w:sz w:val="18"/>
                <w:szCs w:val="18"/>
              </w:rPr>
              <w:t>. This provides additional support for antimicrobial stewardship and allows users to understand the supply of antimicrobials and antibiotic sparing medicines within the context of all consultations.</w:t>
            </w:r>
          </w:p>
          <w:p w14:paraId="184F46F5" w14:textId="77777777" w:rsidR="008E49A8" w:rsidRPr="005A1511" w:rsidRDefault="008E49A8" w:rsidP="008E49A8">
            <w:pPr>
              <w:spacing w:after="0" w:line="240" w:lineRule="auto"/>
              <w:rPr>
                <w:rFonts w:ascii="Arial" w:eastAsia="Arial" w:hAnsi="Arial" w:cs="Arial"/>
                <w:color w:val="auto"/>
                <w:sz w:val="18"/>
                <w:szCs w:val="18"/>
              </w:rPr>
            </w:pPr>
          </w:p>
          <w:p w14:paraId="3461D9AE" w14:textId="18C6763D" w:rsidR="008E49A8" w:rsidRPr="005A1511" w:rsidRDefault="008E49A8" w:rsidP="008E49A8">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Medicines supplied vary by selected pathway and are defined by the service specification and supplied via use of a Patient Group Direction. Some medicines have been combined to facilitate reporting</w:t>
            </w:r>
            <w:r w:rsidR="00B126E0" w:rsidRPr="005A1511">
              <w:rPr>
                <w:rFonts w:ascii="Arial" w:eastAsia="Arial" w:hAnsi="Arial" w:cs="Arial"/>
                <w:color w:val="auto"/>
                <w:sz w:val="18"/>
                <w:szCs w:val="18"/>
              </w:rPr>
              <w:t>, i.e.</w:t>
            </w:r>
            <w:r w:rsidRPr="005A1511">
              <w:rPr>
                <w:rFonts w:ascii="Arial" w:eastAsia="Arial" w:hAnsi="Arial" w:cs="Arial"/>
                <w:color w:val="auto"/>
                <w:sz w:val="18"/>
                <w:szCs w:val="18"/>
              </w:rPr>
              <w:t xml:space="preserve"> macrolides and high dose corticosteroid nasal spray.</w:t>
            </w:r>
          </w:p>
          <w:p w14:paraId="28E8B64A" w14:textId="77777777" w:rsidR="008E49A8" w:rsidRPr="005A1511" w:rsidRDefault="008E49A8" w:rsidP="008E49A8">
            <w:pPr>
              <w:spacing w:after="0" w:line="240" w:lineRule="auto"/>
              <w:rPr>
                <w:rFonts w:ascii="Arial" w:eastAsia="Arial" w:hAnsi="Arial" w:cs="Arial"/>
                <w:color w:val="auto"/>
                <w:sz w:val="18"/>
                <w:szCs w:val="18"/>
              </w:rPr>
            </w:pPr>
          </w:p>
          <w:p w14:paraId="02A5F2B4" w14:textId="77777777" w:rsidR="008E49A8" w:rsidRPr="005A1511" w:rsidRDefault="008E49A8" w:rsidP="008E49A8">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The comparator is also reported as a monthly trend for each clinical pathway to allow supply of medicines over time to be identified for the selected organisation.</w:t>
            </w:r>
          </w:p>
          <w:p w14:paraId="581E04AD" w14:textId="77777777" w:rsidR="008E49A8" w:rsidRPr="005A1511" w:rsidRDefault="008E49A8" w:rsidP="00A02D95">
            <w:pPr>
              <w:spacing w:after="0" w:line="240" w:lineRule="auto"/>
              <w:rPr>
                <w:rFonts w:ascii="Arial" w:eastAsia="Arial" w:hAnsi="Arial" w:cs="Arial"/>
                <w:color w:val="FF0000"/>
                <w:sz w:val="18"/>
                <w:szCs w:val="18"/>
              </w:rPr>
            </w:pPr>
          </w:p>
          <w:p w14:paraId="62633255" w14:textId="77777777" w:rsidR="00A02D95" w:rsidRPr="005A1511" w:rsidRDefault="00A02D95" w:rsidP="00A02D95">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Users should be aware that the medicine analysis presented in this comparator is not dependent on consultation outcome but is based on the evidence</w:t>
            </w:r>
            <w:r w:rsidR="00180580" w:rsidRPr="005A1511">
              <w:rPr>
                <w:rFonts w:ascii="Arial" w:eastAsia="Arial" w:hAnsi="Arial" w:cs="Arial"/>
                <w:color w:val="auto"/>
                <w:sz w:val="18"/>
                <w:szCs w:val="18"/>
              </w:rPr>
              <w:t>, or lack thereof,</w:t>
            </w:r>
            <w:r w:rsidRPr="005A1511">
              <w:rPr>
                <w:rFonts w:ascii="Arial" w:eastAsia="Arial" w:hAnsi="Arial" w:cs="Arial"/>
                <w:color w:val="auto"/>
                <w:sz w:val="18"/>
                <w:szCs w:val="18"/>
              </w:rPr>
              <w:t xml:space="preserve"> of a medicine having been supplied on the consultation record.</w:t>
            </w:r>
          </w:p>
          <w:p w14:paraId="69A3ED3B" w14:textId="26B8D74F" w:rsidR="00180580" w:rsidRPr="005A1511" w:rsidRDefault="00180580" w:rsidP="00A02D95">
            <w:pPr>
              <w:spacing w:after="0" w:line="240" w:lineRule="auto"/>
              <w:rPr>
                <w:rFonts w:ascii="Arial" w:eastAsia="Arial" w:hAnsi="Arial" w:cs="Arial"/>
                <w:color w:val="auto"/>
                <w:sz w:val="18"/>
                <w:szCs w:val="18"/>
              </w:rPr>
            </w:pPr>
          </w:p>
        </w:tc>
      </w:tr>
    </w:tbl>
    <w:p w14:paraId="7A0E55FF" w14:textId="77777777" w:rsidR="00883F7C" w:rsidRPr="005A1511" w:rsidRDefault="00883F7C" w:rsidP="00883F7C">
      <w:pPr>
        <w:rPr>
          <w:rFonts w:ascii="Arial" w:hAnsi="Arial" w:cs="Arial"/>
        </w:rPr>
      </w:pPr>
    </w:p>
    <w:p w14:paraId="130613DF" w14:textId="77777777" w:rsidR="00883F7C" w:rsidRPr="005A1511" w:rsidRDefault="00883F7C" w:rsidP="00883F7C">
      <w:pPr>
        <w:rPr>
          <w:rFonts w:ascii="Arial" w:eastAsia="Arial" w:hAnsi="Arial" w:cs="Arial"/>
          <w:b/>
          <w:sz w:val="20"/>
          <w:szCs w:val="20"/>
        </w:rPr>
      </w:pPr>
      <w:r w:rsidRPr="005A1511">
        <w:rPr>
          <w:rFonts w:ascii="Arial" w:hAnsi="Arial" w:cs="Arial"/>
        </w:rPr>
        <w:br w:type="page"/>
      </w:r>
    </w:p>
    <w:p w14:paraId="1E6927D2" w14:textId="2849703B" w:rsidR="00CA7E29" w:rsidRPr="005A1511" w:rsidRDefault="00EF2E99" w:rsidP="00CC56ED">
      <w:pPr>
        <w:pStyle w:val="Heading2"/>
      </w:pPr>
      <w:bookmarkStart w:id="38" w:name="_Toc189144441"/>
      <w:r w:rsidRPr="005A1511">
        <w:lastRenderedPageBreak/>
        <w:t>Comparator: Pathway by Demographic</w:t>
      </w:r>
      <w:bookmarkEnd w:id="38"/>
    </w:p>
    <w:p w14:paraId="63568C46" w14:textId="77777777" w:rsidR="00190109" w:rsidRPr="005A1511" w:rsidRDefault="00190109" w:rsidP="00190109">
      <w:pPr>
        <w:rPr>
          <w:rFonts w:ascii="Arial" w:hAnsi="Arial" w:cs="Arial"/>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C75BB" w:rsidRPr="005A1511" w14:paraId="0946482E" w14:textId="77777777" w:rsidTr="000718AD">
        <w:trPr>
          <w:trHeight w:val="268"/>
        </w:trPr>
        <w:tc>
          <w:tcPr>
            <w:tcW w:w="9889" w:type="dxa"/>
            <w:gridSpan w:val="3"/>
            <w:shd w:val="clear" w:color="auto" w:fill="D9D9D9" w:themeFill="background1" w:themeFillShade="D9"/>
          </w:tcPr>
          <w:p w14:paraId="07600256" w14:textId="5B73C7F0" w:rsidR="00810077" w:rsidRPr="005A1511" w:rsidRDefault="00855C24" w:rsidP="00190109">
            <w:pPr>
              <w:shd w:val="clear" w:color="auto" w:fill="D9D9D9" w:themeFill="background1" w:themeFillShade="D9"/>
              <w:rPr>
                <w:rFonts w:ascii="Arial" w:eastAsia="Arial" w:hAnsi="Arial" w:cs="Arial"/>
                <w:color w:val="auto"/>
                <w:sz w:val="18"/>
                <w:szCs w:val="18"/>
              </w:rPr>
            </w:pPr>
            <w:r w:rsidRPr="005A1511">
              <w:rPr>
                <w:rFonts w:ascii="Arial" w:eastAsia="Arial" w:hAnsi="Arial" w:cs="Arial"/>
                <w:b/>
                <w:color w:val="auto"/>
                <w:sz w:val="18"/>
                <w:szCs w:val="18"/>
              </w:rPr>
              <w:t xml:space="preserve">Section 1: </w:t>
            </w:r>
            <w:r w:rsidR="009832CA" w:rsidRPr="005A1511">
              <w:rPr>
                <w:rFonts w:ascii="Arial" w:eastAsia="Arial" w:hAnsi="Arial" w:cs="Arial"/>
                <w:b/>
                <w:color w:val="auto"/>
                <w:sz w:val="18"/>
                <w:szCs w:val="18"/>
              </w:rPr>
              <w:t>Introduction / Overview</w:t>
            </w:r>
          </w:p>
        </w:tc>
      </w:tr>
      <w:tr w:rsidR="008C75BB" w:rsidRPr="005A1511" w14:paraId="3C9654DA" w14:textId="77777777">
        <w:trPr>
          <w:trHeight w:val="440"/>
        </w:trPr>
        <w:tc>
          <w:tcPr>
            <w:tcW w:w="534" w:type="dxa"/>
            <w:shd w:val="clear" w:color="auto" w:fill="auto"/>
          </w:tcPr>
          <w:p w14:paraId="684BC342" w14:textId="77777777" w:rsidR="00810077" w:rsidRPr="005A1511" w:rsidRDefault="00855C24" w:rsidP="00190109">
            <w:pPr>
              <w:rPr>
                <w:rFonts w:ascii="Arial" w:eastAsia="Arial" w:hAnsi="Arial" w:cs="Arial"/>
                <w:color w:val="auto"/>
                <w:sz w:val="18"/>
                <w:szCs w:val="18"/>
              </w:rPr>
            </w:pPr>
            <w:r w:rsidRPr="005A1511">
              <w:rPr>
                <w:rFonts w:ascii="Arial" w:eastAsia="Arial" w:hAnsi="Arial" w:cs="Arial"/>
                <w:color w:val="auto"/>
                <w:sz w:val="18"/>
                <w:szCs w:val="18"/>
              </w:rPr>
              <w:t>1.1</w:t>
            </w:r>
          </w:p>
        </w:tc>
        <w:tc>
          <w:tcPr>
            <w:tcW w:w="1417" w:type="dxa"/>
            <w:tcBorders>
              <w:bottom w:val="single" w:sz="4" w:space="0" w:color="000000"/>
            </w:tcBorders>
            <w:shd w:val="clear" w:color="auto" w:fill="D9D9D9"/>
          </w:tcPr>
          <w:p w14:paraId="3D8E9DCF" w14:textId="77777777" w:rsidR="00810077" w:rsidRPr="005A1511" w:rsidRDefault="00855C24" w:rsidP="00190109">
            <w:pPr>
              <w:rPr>
                <w:rFonts w:ascii="Arial" w:eastAsia="Arial" w:hAnsi="Arial" w:cs="Arial"/>
                <w:color w:val="auto"/>
                <w:sz w:val="18"/>
                <w:szCs w:val="18"/>
              </w:rPr>
            </w:pPr>
            <w:r w:rsidRPr="005A1511">
              <w:rPr>
                <w:rFonts w:ascii="Arial" w:eastAsia="Arial" w:hAnsi="Arial" w:cs="Arial"/>
                <w:b/>
                <w:color w:val="auto"/>
                <w:sz w:val="18"/>
                <w:szCs w:val="18"/>
              </w:rPr>
              <w:t>Title</w:t>
            </w:r>
          </w:p>
        </w:tc>
        <w:tc>
          <w:tcPr>
            <w:tcW w:w="7938" w:type="dxa"/>
          </w:tcPr>
          <w:p w14:paraId="2348D815" w14:textId="2CB59CA2" w:rsidR="00810077" w:rsidRPr="005A1511" w:rsidRDefault="00D500FA" w:rsidP="00190109">
            <w:pPr>
              <w:spacing w:after="0"/>
              <w:rPr>
                <w:rFonts w:ascii="Arial" w:eastAsia="Arial" w:hAnsi="Arial" w:cs="Arial"/>
                <w:color w:val="auto"/>
                <w:sz w:val="18"/>
                <w:szCs w:val="18"/>
              </w:rPr>
            </w:pPr>
            <w:r w:rsidRPr="005A1511">
              <w:rPr>
                <w:rFonts w:ascii="Arial" w:eastAsia="Arial" w:hAnsi="Arial" w:cs="Arial"/>
                <w:bCs/>
                <w:color w:val="auto"/>
                <w:sz w:val="18"/>
                <w:szCs w:val="18"/>
              </w:rPr>
              <w:t>Number of people prescribed trimethoprim more than once in a three consecutive month period</w:t>
            </w:r>
          </w:p>
        </w:tc>
      </w:tr>
      <w:tr w:rsidR="008C75BB" w:rsidRPr="005A1511" w14:paraId="5B0E25B2" w14:textId="77777777">
        <w:trPr>
          <w:trHeight w:val="940"/>
        </w:trPr>
        <w:tc>
          <w:tcPr>
            <w:tcW w:w="534" w:type="dxa"/>
            <w:shd w:val="clear" w:color="auto" w:fill="auto"/>
          </w:tcPr>
          <w:p w14:paraId="6E420403" w14:textId="77777777" w:rsidR="00810077" w:rsidRPr="005A1511" w:rsidRDefault="00855C24" w:rsidP="00190109">
            <w:pPr>
              <w:rPr>
                <w:rFonts w:ascii="Arial" w:eastAsia="Arial" w:hAnsi="Arial" w:cs="Arial"/>
                <w:color w:val="auto"/>
                <w:sz w:val="18"/>
                <w:szCs w:val="18"/>
              </w:rPr>
            </w:pPr>
            <w:r w:rsidRPr="005A1511">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75A0D89A" w14:textId="77777777" w:rsidR="00810077" w:rsidRPr="005A1511" w:rsidRDefault="00855C24" w:rsidP="00190109">
            <w:pPr>
              <w:rPr>
                <w:rFonts w:ascii="Arial" w:eastAsia="Arial" w:hAnsi="Arial" w:cs="Arial"/>
                <w:color w:val="auto"/>
                <w:sz w:val="18"/>
                <w:szCs w:val="18"/>
              </w:rPr>
            </w:pPr>
            <w:r w:rsidRPr="005A1511">
              <w:rPr>
                <w:rFonts w:ascii="Arial" w:eastAsia="Arial" w:hAnsi="Arial" w:cs="Arial"/>
                <w:b/>
                <w:color w:val="auto"/>
                <w:sz w:val="18"/>
                <w:szCs w:val="18"/>
              </w:rPr>
              <w:t>Definition</w:t>
            </w:r>
          </w:p>
        </w:tc>
        <w:tc>
          <w:tcPr>
            <w:tcW w:w="7938" w:type="dxa"/>
          </w:tcPr>
          <w:p w14:paraId="46D149B7" w14:textId="27CD0078" w:rsidR="00E12703" w:rsidRPr="005A1511" w:rsidRDefault="00E12703" w:rsidP="00E12703">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This comparator reports a count of patients who have received a Pharmacy First consultation for the selected clinical pathway and reports patient count by 5-year age band and by gender for the selected organisation and month.</w:t>
            </w:r>
          </w:p>
          <w:p w14:paraId="6605BF2E" w14:textId="77777777" w:rsidR="00E12703" w:rsidRPr="005A1511" w:rsidRDefault="00E12703" w:rsidP="00E12703">
            <w:pPr>
              <w:tabs>
                <w:tab w:val="left" w:pos="1026"/>
              </w:tabs>
              <w:spacing w:after="0"/>
              <w:rPr>
                <w:rFonts w:ascii="Arial" w:eastAsia="Arial" w:hAnsi="Arial" w:cs="Arial"/>
                <w:color w:val="auto"/>
                <w:sz w:val="18"/>
                <w:szCs w:val="18"/>
              </w:rPr>
            </w:pPr>
          </w:p>
          <w:p w14:paraId="05842F6A" w14:textId="77777777" w:rsidR="00E12703" w:rsidRPr="005A1511" w:rsidRDefault="00E12703" w:rsidP="00E12703">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This data is available at Integrated Care Board, NHS Region and national England organisational level.</w:t>
            </w:r>
          </w:p>
          <w:p w14:paraId="65B13A15" w14:textId="019D65EA" w:rsidR="00810077" w:rsidRPr="005A1511" w:rsidRDefault="00810077" w:rsidP="00F86FA6">
            <w:pPr>
              <w:tabs>
                <w:tab w:val="left" w:pos="1026"/>
              </w:tabs>
              <w:spacing w:after="0"/>
              <w:rPr>
                <w:rFonts w:ascii="Arial" w:eastAsia="Arial" w:hAnsi="Arial" w:cs="Arial"/>
                <w:color w:val="auto"/>
                <w:sz w:val="18"/>
                <w:szCs w:val="18"/>
              </w:rPr>
            </w:pPr>
          </w:p>
        </w:tc>
      </w:tr>
      <w:tr w:rsidR="008C75BB" w:rsidRPr="005A1511" w14:paraId="487AFF4C" w14:textId="77777777">
        <w:trPr>
          <w:trHeight w:val="440"/>
        </w:trPr>
        <w:tc>
          <w:tcPr>
            <w:tcW w:w="534" w:type="dxa"/>
            <w:shd w:val="clear" w:color="auto" w:fill="auto"/>
          </w:tcPr>
          <w:p w14:paraId="48C91759" w14:textId="77777777" w:rsidR="00A449FA" w:rsidRPr="005A1511" w:rsidRDefault="00A449FA" w:rsidP="00190109">
            <w:pPr>
              <w:rPr>
                <w:rFonts w:ascii="Arial" w:eastAsia="Arial" w:hAnsi="Arial" w:cs="Arial"/>
                <w:color w:val="auto"/>
                <w:sz w:val="18"/>
                <w:szCs w:val="18"/>
              </w:rPr>
            </w:pPr>
            <w:r w:rsidRPr="005A1511">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65918A92" w14:textId="717CF2BE" w:rsidR="00A449FA" w:rsidRPr="005A1511" w:rsidRDefault="00A449FA" w:rsidP="00190109">
            <w:pPr>
              <w:rPr>
                <w:rFonts w:ascii="Arial" w:eastAsia="Arial" w:hAnsi="Arial" w:cs="Arial"/>
                <w:color w:val="auto"/>
                <w:sz w:val="18"/>
                <w:szCs w:val="18"/>
              </w:rPr>
            </w:pPr>
            <w:r w:rsidRPr="005A1511">
              <w:rPr>
                <w:rFonts w:ascii="Arial" w:eastAsia="Arial" w:hAnsi="Arial" w:cs="Arial"/>
                <w:b/>
                <w:color w:val="auto"/>
                <w:sz w:val="18"/>
                <w:szCs w:val="18"/>
              </w:rPr>
              <w:t xml:space="preserve">Reporting </w:t>
            </w:r>
            <w:r w:rsidR="00C12DD8" w:rsidRPr="005A1511">
              <w:rPr>
                <w:rFonts w:ascii="Arial" w:eastAsia="Arial" w:hAnsi="Arial" w:cs="Arial"/>
                <w:b/>
                <w:color w:val="auto"/>
                <w:sz w:val="18"/>
                <w:szCs w:val="18"/>
              </w:rPr>
              <w:t>Details</w:t>
            </w:r>
          </w:p>
        </w:tc>
        <w:tc>
          <w:tcPr>
            <w:tcW w:w="7938" w:type="dxa"/>
          </w:tcPr>
          <w:p w14:paraId="30073716" w14:textId="1B277A3D" w:rsidR="00CD5F49" w:rsidRPr="005A1511" w:rsidRDefault="00CD5F49" w:rsidP="00CD5F49">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This comparator reports the population demographic for patients who have received a Pharmacy First consultation</w:t>
            </w:r>
            <w:r w:rsidR="00B02AE7" w:rsidRPr="005A1511">
              <w:rPr>
                <w:rFonts w:ascii="Arial" w:eastAsia="Arial" w:hAnsi="Arial" w:cs="Arial"/>
                <w:color w:val="auto"/>
                <w:sz w:val="18"/>
                <w:szCs w:val="18"/>
              </w:rPr>
              <w:t>,</w:t>
            </w:r>
            <w:r w:rsidRPr="005A1511">
              <w:rPr>
                <w:rFonts w:ascii="Arial" w:eastAsia="Arial" w:hAnsi="Arial" w:cs="Arial"/>
                <w:color w:val="auto"/>
                <w:sz w:val="18"/>
                <w:szCs w:val="18"/>
              </w:rPr>
              <w:t xml:space="preserve"> for </w:t>
            </w:r>
            <w:r w:rsidR="00B02AE7" w:rsidRPr="005A1511">
              <w:rPr>
                <w:rFonts w:ascii="Arial" w:eastAsia="Arial" w:hAnsi="Arial" w:cs="Arial"/>
                <w:color w:val="auto"/>
                <w:sz w:val="18"/>
                <w:szCs w:val="18"/>
              </w:rPr>
              <w:t xml:space="preserve">each of </w:t>
            </w:r>
            <w:r w:rsidRPr="005A1511">
              <w:rPr>
                <w:rFonts w:ascii="Arial" w:eastAsia="Arial" w:hAnsi="Arial" w:cs="Arial"/>
                <w:color w:val="auto"/>
                <w:sz w:val="18"/>
                <w:szCs w:val="18"/>
              </w:rPr>
              <w:t>the 7 clinical pathways.</w:t>
            </w:r>
          </w:p>
          <w:p w14:paraId="1FD9185E" w14:textId="77777777" w:rsidR="00CD5F49" w:rsidRPr="005A1511" w:rsidRDefault="00CD5F49" w:rsidP="00CD5F49">
            <w:pPr>
              <w:spacing w:after="0" w:line="240" w:lineRule="auto"/>
              <w:rPr>
                <w:rFonts w:ascii="Arial" w:eastAsia="Arial" w:hAnsi="Arial" w:cs="Arial"/>
                <w:color w:val="auto"/>
                <w:sz w:val="18"/>
                <w:szCs w:val="18"/>
              </w:rPr>
            </w:pPr>
          </w:p>
          <w:p w14:paraId="66888BAA" w14:textId="5503B1A6" w:rsidR="00CD5F49" w:rsidRPr="005A1511" w:rsidRDefault="00CD5F49" w:rsidP="00CD5F49">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Patient </w:t>
            </w:r>
            <w:r w:rsidR="0010479D" w:rsidRPr="005A1511">
              <w:rPr>
                <w:rFonts w:ascii="Arial" w:eastAsia="Arial" w:hAnsi="Arial" w:cs="Arial"/>
                <w:color w:val="auto"/>
                <w:sz w:val="18"/>
                <w:szCs w:val="18"/>
              </w:rPr>
              <w:t>5-year</w:t>
            </w:r>
            <w:r w:rsidRPr="005A1511">
              <w:rPr>
                <w:rFonts w:ascii="Arial" w:eastAsia="Arial" w:hAnsi="Arial" w:cs="Arial"/>
                <w:color w:val="auto"/>
                <w:sz w:val="18"/>
                <w:szCs w:val="18"/>
              </w:rPr>
              <w:t xml:space="preserve"> age band and gender are derived from the age and gender as captured for patients during a Pharmacy First consultation. Details how age bands are used, and data completeness for patient gender are reported in detail </w:t>
            </w:r>
            <w:hyperlink w:anchor="_Age_bands" w:history="1">
              <w:r w:rsidRPr="005A1511">
                <w:rPr>
                  <w:rStyle w:val="Hyperlink"/>
                  <w:rFonts w:ascii="Arial" w:eastAsia="Arial" w:hAnsi="Arial" w:cs="Arial"/>
                  <w:sz w:val="18"/>
                  <w:szCs w:val="18"/>
                </w:rPr>
                <w:t>here</w:t>
              </w:r>
            </w:hyperlink>
          </w:p>
          <w:p w14:paraId="1F62D778" w14:textId="77777777" w:rsidR="00CD5F49" w:rsidRPr="005A1511" w:rsidRDefault="00CD5F49" w:rsidP="00CD5F49">
            <w:pPr>
              <w:spacing w:after="0" w:line="240" w:lineRule="auto"/>
              <w:rPr>
                <w:rFonts w:ascii="Arial" w:eastAsia="Arial" w:hAnsi="Arial" w:cs="Arial"/>
                <w:color w:val="auto"/>
                <w:sz w:val="18"/>
                <w:szCs w:val="18"/>
              </w:rPr>
            </w:pPr>
          </w:p>
          <w:p w14:paraId="2DF0E0D9" w14:textId="2A7B5418" w:rsidR="00CD5F49" w:rsidRPr="005A1511" w:rsidRDefault="00CD5F49" w:rsidP="00CD5F49">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The age ranges used in the dashboard comparator may be broader than those specified in the Pharmacy First clinical pathway specification. This is due to the NHS BSA use of population denominator values which are calculated by </w:t>
            </w:r>
            <w:r w:rsidR="00435A72" w:rsidRPr="005A1511">
              <w:rPr>
                <w:rFonts w:ascii="Arial" w:eastAsia="Arial" w:hAnsi="Arial" w:cs="Arial"/>
                <w:color w:val="auto"/>
                <w:sz w:val="18"/>
                <w:szCs w:val="18"/>
              </w:rPr>
              <w:t>5-year</w:t>
            </w:r>
            <w:r w:rsidRPr="005A1511">
              <w:rPr>
                <w:rFonts w:ascii="Arial" w:eastAsia="Arial" w:hAnsi="Arial" w:cs="Arial"/>
                <w:color w:val="auto"/>
                <w:sz w:val="18"/>
                <w:szCs w:val="18"/>
              </w:rPr>
              <w:t xml:space="preserve"> age bands. </w:t>
            </w:r>
          </w:p>
          <w:p w14:paraId="0CEEBEE6" w14:textId="77777777" w:rsidR="00CD5F49" w:rsidRPr="005A1511" w:rsidRDefault="00CD5F49" w:rsidP="00CD5F49">
            <w:pPr>
              <w:spacing w:after="0" w:line="240" w:lineRule="auto"/>
              <w:rPr>
                <w:rFonts w:ascii="Arial" w:eastAsia="Arial" w:hAnsi="Arial" w:cs="Arial"/>
                <w:color w:val="auto"/>
                <w:sz w:val="18"/>
                <w:szCs w:val="18"/>
              </w:rPr>
            </w:pPr>
          </w:p>
          <w:p w14:paraId="117C9FA0" w14:textId="65F7BBEE" w:rsidR="00C924F8" w:rsidRPr="005A1511" w:rsidRDefault="00C924F8" w:rsidP="00C924F8">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The comparator shows, for</w:t>
            </w:r>
            <w:r w:rsidRPr="005A1511">
              <w:rPr>
                <w:rFonts w:ascii="Arial" w:hAnsi="Arial" w:cs="Arial"/>
              </w:rPr>
              <w:t xml:space="preserve"> </w:t>
            </w:r>
            <w:r w:rsidRPr="005A1511">
              <w:rPr>
                <w:rFonts w:ascii="Arial" w:hAnsi="Arial" w:cs="Arial"/>
                <w:sz w:val="18"/>
                <w:szCs w:val="18"/>
              </w:rPr>
              <w:t xml:space="preserve">the </w:t>
            </w:r>
            <w:r w:rsidRPr="005A1511">
              <w:rPr>
                <w:rFonts w:ascii="Arial" w:eastAsia="Arial" w:hAnsi="Arial" w:cs="Arial"/>
                <w:color w:val="auto"/>
                <w:sz w:val="18"/>
                <w:szCs w:val="18"/>
              </w:rPr>
              <w:t xml:space="preserve">month in which </w:t>
            </w:r>
            <w:r w:rsidR="009A00DA" w:rsidRPr="005A1511">
              <w:rPr>
                <w:rFonts w:ascii="Arial" w:eastAsia="Arial" w:hAnsi="Arial" w:cs="Arial"/>
                <w:color w:val="auto"/>
                <w:sz w:val="18"/>
                <w:szCs w:val="18"/>
              </w:rPr>
              <w:t xml:space="preserve">the </w:t>
            </w:r>
            <w:r w:rsidRPr="005A1511">
              <w:rPr>
                <w:rFonts w:ascii="Arial" w:eastAsia="Arial" w:hAnsi="Arial" w:cs="Arial"/>
                <w:color w:val="auto"/>
                <w:sz w:val="18"/>
                <w:szCs w:val="18"/>
              </w:rPr>
              <w:t>consultation claim was submitted, selected organisation and clinical pathway:</w:t>
            </w:r>
          </w:p>
          <w:p w14:paraId="29347B98" w14:textId="77777777" w:rsidR="00CD5F49" w:rsidRPr="005A1511" w:rsidRDefault="00CD5F49" w:rsidP="00CD5F49">
            <w:pPr>
              <w:spacing w:after="0" w:line="240" w:lineRule="auto"/>
              <w:rPr>
                <w:rFonts w:ascii="Arial" w:eastAsia="Arial" w:hAnsi="Arial" w:cs="Arial"/>
                <w:color w:val="auto"/>
                <w:sz w:val="18"/>
                <w:szCs w:val="18"/>
              </w:rPr>
            </w:pPr>
          </w:p>
          <w:p w14:paraId="5D764591" w14:textId="77777777" w:rsidR="00CD5F49" w:rsidRPr="005A1511" w:rsidRDefault="00CD5F49" w:rsidP="00CD5F49">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 xml:space="preserve">Count of the number of patients </w:t>
            </w:r>
          </w:p>
          <w:p w14:paraId="1D57B33B" w14:textId="2EA07BB9" w:rsidR="00CD5F49" w:rsidRPr="005A1511" w:rsidRDefault="00CD5F49" w:rsidP="00CD5F49">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Count of the number of consultations</w:t>
            </w:r>
            <w:r w:rsidR="009A1BD1" w:rsidRPr="005A1511">
              <w:rPr>
                <w:rFonts w:ascii="Arial" w:eastAsia="Arial" w:hAnsi="Arial" w:cs="Arial"/>
                <w:sz w:val="18"/>
                <w:szCs w:val="18"/>
              </w:rPr>
              <w:t xml:space="preserve"> (Table view only)</w:t>
            </w:r>
          </w:p>
          <w:p w14:paraId="488392F5" w14:textId="5998E19A" w:rsidR="00CD5F49" w:rsidRPr="005A1511" w:rsidRDefault="00CD5F49" w:rsidP="00CD5F49">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Count of the number of items of medicines supplied</w:t>
            </w:r>
            <w:r w:rsidR="009A1BD1" w:rsidRPr="005A1511">
              <w:rPr>
                <w:rFonts w:ascii="Arial" w:eastAsia="Arial" w:hAnsi="Arial" w:cs="Arial"/>
                <w:sz w:val="18"/>
                <w:szCs w:val="18"/>
              </w:rPr>
              <w:t xml:space="preserve"> (Table view only)</w:t>
            </w:r>
          </w:p>
          <w:p w14:paraId="5484C0AB" w14:textId="77777777" w:rsidR="004239A2" w:rsidRPr="005A1511" w:rsidRDefault="004239A2" w:rsidP="009A1BD1">
            <w:pPr>
              <w:spacing w:after="0" w:line="240" w:lineRule="auto"/>
              <w:rPr>
                <w:rFonts w:ascii="Arial" w:eastAsia="Arial" w:hAnsi="Arial" w:cs="Arial"/>
                <w:sz w:val="18"/>
                <w:szCs w:val="18"/>
              </w:rPr>
            </w:pPr>
          </w:p>
          <w:p w14:paraId="42A91D24" w14:textId="054EE1BB" w:rsidR="009A1BD1" w:rsidRPr="005A1511" w:rsidRDefault="000F3B8B" w:rsidP="009A1BD1">
            <w:pPr>
              <w:spacing w:after="0" w:line="240" w:lineRule="auto"/>
              <w:rPr>
                <w:rFonts w:ascii="Arial" w:eastAsia="Arial" w:hAnsi="Arial" w:cs="Arial"/>
                <w:sz w:val="18"/>
                <w:szCs w:val="18"/>
              </w:rPr>
            </w:pPr>
            <w:r w:rsidRPr="005A1511">
              <w:rPr>
                <w:rFonts w:ascii="Arial" w:eastAsia="Arial" w:hAnsi="Arial" w:cs="Arial"/>
                <w:sz w:val="18"/>
                <w:szCs w:val="18"/>
              </w:rPr>
              <w:t>The data is further broken down by 5-year age band and gender, in each graph.</w:t>
            </w:r>
            <w:r w:rsidR="003E3DAA" w:rsidRPr="005A1511">
              <w:rPr>
                <w:rFonts w:ascii="Arial" w:eastAsia="Arial" w:hAnsi="Arial" w:cs="Arial"/>
                <w:sz w:val="18"/>
                <w:szCs w:val="18"/>
              </w:rPr>
              <w:t xml:space="preserve">  Where no data exists for a given age band</w:t>
            </w:r>
            <w:r w:rsidR="007F27A8" w:rsidRPr="005A1511">
              <w:rPr>
                <w:rFonts w:ascii="Arial" w:eastAsia="Arial" w:hAnsi="Arial" w:cs="Arial"/>
                <w:sz w:val="18"/>
                <w:szCs w:val="18"/>
              </w:rPr>
              <w:t xml:space="preserve">, that age band will not appear on the </w:t>
            </w:r>
            <w:r w:rsidR="000650C9" w:rsidRPr="005A1511">
              <w:rPr>
                <w:rFonts w:ascii="Arial" w:eastAsia="Arial" w:hAnsi="Arial" w:cs="Arial"/>
                <w:sz w:val="18"/>
                <w:szCs w:val="18"/>
              </w:rPr>
              <w:t xml:space="preserve">horizontal </w:t>
            </w:r>
            <w:r w:rsidR="007F27A8" w:rsidRPr="005A1511">
              <w:rPr>
                <w:rFonts w:ascii="Arial" w:eastAsia="Arial" w:hAnsi="Arial" w:cs="Arial"/>
                <w:sz w:val="18"/>
                <w:szCs w:val="18"/>
              </w:rPr>
              <w:t xml:space="preserve">axis of the </w:t>
            </w:r>
            <w:r w:rsidR="000650C9" w:rsidRPr="005A1511">
              <w:rPr>
                <w:rFonts w:ascii="Arial" w:eastAsia="Arial" w:hAnsi="Arial" w:cs="Arial"/>
                <w:sz w:val="18"/>
                <w:szCs w:val="18"/>
              </w:rPr>
              <w:t xml:space="preserve">graphs.  </w:t>
            </w:r>
          </w:p>
          <w:p w14:paraId="578D384B" w14:textId="77777777" w:rsidR="00CD5F49" w:rsidRPr="005A1511" w:rsidRDefault="00CD5F49" w:rsidP="00CD5F49">
            <w:pPr>
              <w:spacing w:after="0" w:line="240" w:lineRule="auto"/>
              <w:rPr>
                <w:rFonts w:ascii="Arial" w:eastAsia="Arial" w:hAnsi="Arial" w:cs="Arial"/>
                <w:color w:val="auto"/>
                <w:sz w:val="18"/>
                <w:szCs w:val="18"/>
              </w:rPr>
            </w:pPr>
          </w:p>
          <w:p w14:paraId="4DBE58D0" w14:textId="77777777" w:rsidR="00CD5F49" w:rsidRPr="005A1511" w:rsidRDefault="00CD5F49" w:rsidP="00CD5F49">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Organisation levels are derived from the GP practice of the patient receiving treatment under the selected pathway and month, based on the practice ODS code as captured in the Pharmacy First assessment.</w:t>
            </w:r>
          </w:p>
          <w:p w14:paraId="1B7DE9B2" w14:textId="756962EF" w:rsidR="00A449FA" w:rsidRPr="005A1511" w:rsidRDefault="00A449FA" w:rsidP="00190109">
            <w:pPr>
              <w:spacing w:after="0" w:line="240" w:lineRule="auto"/>
              <w:jc w:val="both"/>
              <w:rPr>
                <w:rFonts w:ascii="Arial" w:eastAsia="Arial" w:hAnsi="Arial" w:cs="Arial"/>
                <w:color w:val="auto"/>
                <w:sz w:val="18"/>
                <w:szCs w:val="18"/>
              </w:rPr>
            </w:pPr>
          </w:p>
        </w:tc>
      </w:tr>
      <w:tr w:rsidR="008C75BB" w:rsidRPr="005A1511" w14:paraId="21EC4EA1" w14:textId="77777777" w:rsidTr="00A449FA">
        <w:trPr>
          <w:trHeight w:val="763"/>
        </w:trPr>
        <w:tc>
          <w:tcPr>
            <w:tcW w:w="534" w:type="dxa"/>
            <w:shd w:val="clear" w:color="auto" w:fill="auto"/>
          </w:tcPr>
          <w:p w14:paraId="31A0D1D7" w14:textId="77777777" w:rsidR="00A449FA" w:rsidRPr="005A1511" w:rsidRDefault="00A449FA" w:rsidP="00190109">
            <w:pPr>
              <w:rPr>
                <w:rFonts w:ascii="Arial" w:eastAsia="Arial" w:hAnsi="Arial" w:cs="Arial"/>
                <w:color w:val="auto"/>
                <w:sz w:val="18"/>
                <w:szCs w:val="18"/>
              </w:rPr>
            </w:pPr>
            <w:r w:rsidRPr="005A1511">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019EE6AC" w14:textId="77777777" w:rsidR="00A449FA" w:rsidRPr="005A1511" w:rsidRDefault="00A449FA" w:rsidP="00190109">
            <w:pPr>
              <w:rPr>
                <w:rFonts w:ascii="Arial" w:eastAsia="Arial" w:hAnsi="Arial" w:cs="Arial"/>
                <w:color w:val="auto"/>
                <w:sz w:val="18"/>
                <w:szCs w:val="18"/>
              </w:rPr>
            </w:pPr>
            <w:r w:rsidRPr="005A1511">
              <w:rPr>
                <w:rFonts w:ascii="Arial" w:eastAsia="Arial" w:hAnsi="Arial" w:cs="Arial"/>
                <w:b/>
                <w:color w:val="auto"/>
                <w:sz w:val="18"/>
                <w:szCs w:val="18"/>
              </w:rPr>
              <w:t>Numerator</w:t>
            </w:r>
          </w:p>
        </w:tc>
        <w:tc>
          <w:tcPr>
            <w:tcW w:w="7938" w:type="dxa"/>
          </w:tcPr>
          <w:p w14:paraId="111D08EE" w14:textId="5A7914BA" w:rsidR="00F86FA6" w:rsidRPr="005A1511" w:rsidRDefault="005C70D2" w:rsidP="00190109">
            <w:pPr>
              <w:spacing w:after="0"/>
              <w:rPr>
                <w:rFonts w:ascii="Arial" w:eastAsia="Arial" w:hAnsi="Arial" w:cs="Arial"/>
                <w:color w:val="auto"/>
                <w:sz w:val="18"/>
                <w:szCs w:val="18"/>
              </w:rPr>
            </w:pPr>
            <w:r w:rsidRPr="005A1511">
              <w:rPr>
                <w:rFonts w:ascii="Arial" w:eastAsia="Arial" w:hAnsi="Arial" w:cs="Arial"/>
                <w:color w:val="auto"/>
                <w:sz w:val="18"/>
                <w:szCs w:val="18"/>
              </w:rPr>
              <w:t>The total number of unique patients, for the selected organisational unit, month and clinical pathway, by 5-year age band and gender.</w:t>
            </w:r>
          </w:p>
        </w:tc>
      </w:tr>
      <w:tr w:rsidR="008C75BB" w:rsidRPr="005A1511" w14:paraId="193E99E8" w14:textId="77777777" w:rsidTr="000718AD">
        <w:trPr>
          <w:trHeight w:val="336"/>
        </w:trPr>
        <w:tc>
          <w:tcPr>
            <w:tcW w:w="534" w:type="dxa"/>
            <w:shd w:val="clear" w:color="auto" w:fill="auto"/>
          </w:tcPr>
          <w:p w14:paraId="01914ADD" w14:textId="4FD92047" w:rsidR="00A449FA" w:rsidRPr="005A1511" w:rsidRDefault="00A449FA" w:rsidP="00190109">
            <w:pPr>
              <w:spacing w:after="0"/>
              <w:jc w:val="center"/>
              <w:rPr>
                <w:rFonts w:ascii="Arial" w:eastAsia="Arial" w:hAnsi="Arial" w:cs="Arial"/>
                <w:color w:val="auto"/>
                <w:sz w:val="18"/>
                <w:szCs w:val="18"/>
              </w:rPr>
            </w:pPr>
            <w:r w:rsidRPr="005A1511">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3DF1A1A1" w14:textId="77777777" w:rsidR="00A449FA" w:rsidRPr="005A1511" w:rsidRDefault="00A449FA" w:rsidP="00190109">
            <w:pPr>
              <w:rPr>
                <w:rFonts w:ascii="Arial" w:eastAsia="Arial" w:hAnsi="Arial" w:cs="Arial"/>
                <w:color w:val="auto"/>
                <w:sz w:val="18"/>
                <w:szCs w:val="18"/>
              </w:rPr>
            </w:pPr>
            <w:r w:rsidRPr="005A1511">
              <w:rPr>
                <w:rFonts w:ascii="Arial" w:eastAsia="Arial" w:hAnsi="Arial" w:cs="Arial"/>
                <w:b/>
                <w:color w:val="auto"/>
                <w:sz w:val="18"/>
                <w:szCs w:val="18"/>
              </w:rPr>
              <w:t>Denominator</w:t>
            </w:r>
          </w:p>
        </w:tc>
        <w:tc>
          <w:tcPr>
            <w:tcW w:w="7938" w:type="dxa"/>
          </w:tcPr>
          <w:p w14:paraId="79D270CE" w14:textId="4C4F5700" w:rsidR="00A449FA" w:rsidRPr="005A1511" w:rsidRDefault="00A449FA" w:rsidP="00190109">
            <w:pPr>
              <w:spacing w:after="0"/>
              <w:rPr>
                <w:rFonts w:ascii="Arial" w:eastAsia="Arial" w:hAnsi="Arial" w:cs="Arial"/>
                <w:color w:val="auto"/>
                <w:sz w:val="18"/>
                <w:szCs w:val="18"/>
              </w:rPr>
            </w:pPr>
            <w:r w:rsidRPr="005A1511">
              <w:rPr>
                <w:rFonts w:ascii="Arial" w:eastAsia="Arial" w:hAnsi="Arial" w:cs="Arial"/>
                <w:color w:val="auto"/>
                <w:sz w:val="18"/>
                <w:szCs w:val="18"/>
              </w:rPr>
              <w:t>None.</w:t>
            </w:r>
          </w:p>
        </w:tc>
      </w:tr>
      <w:tr w:rsidR="008C75BB" w:rsidRPr="005A1511" w14:paraId="7F4E185D" w14:textId="77777777">
        <w:trPr>
          <w:trHeight w:val="520"/>
        </w:trPr>
        <w:tc>
          <w:tcPr>
            <w:tcW w:w="534" w:type="dxa"/>
            <w:shd w:val="clear" w:color="auto" w:fill="auto"/>
          </w:tcPr>
          <w:p w14:paraId="11A3118E" w14:textId="77777777" w:rsidR="00A449FA" w:rsidRPr="005A1511" w:rsidRDefault="00A449FA" w:rsidP="00190109">
            <w:pPr>
              <w:rPr>
                <w:rFonts w:ascii="Arial" w:eastAsia="Arial" w:hAnsi="Arial" w:cs="Arial"/>
                <w:color w:val="auto"/>
                <w:sz w:val="18"/>
                <w:szCs w:val="18"/>
              </w:rPr>
            </w:pPr>
            <w:r w:rsidRPr="005A1511">
              <w:rPr>
                <w:rFonts w:ascii="Arial" w:eastAsia="Arial" w:hAnsi="Arial" w:cs="Arial"/>
                <w:color w:val="auto"/>
                <w:sz w:val="18"/>
                <w:szCs w:val="18"/>
              </w:rPr>
              <w:t>1.6</w:t>
            </w:r>
          </w:p>
        </w:tc>
        <w:tc>
          <w:tcPr>
            <w:tcW w:w="1417" w:type="dxa"/>
            <w:tcBorders>
              <w:top w:val="single" w:sz="4" w:space="0" w:color="000000"/>
            </w:tcBorders>
            <w:shd w:val="clear" w:color="auto" w:fill="D9D9D9"/>
          </w:tcPr>
          <w:p w14:paraId="37E537DF" w14:textId="77777777" w:rsidR="00A449FA" w:rsidRPr="005A1511" w:rsidRDefault="00A449FA" w:rsidP="00190109">
            <w:pPr>
              <w:rPr>
                <w:rFonts w:ascii="Arial" w:eastAsia="Arial" w:hAnsi="Arial" w:cs="Arial"/>
                <w:color w:val="auto"/>
                <w:sz w:val="18"/>
                <w:szCs w:val="18"/>
              </w:rPr>
            </w:pPr>
            <w:r w:rsidRPr="005A1511">
              <w:rPr>
                <w:rFonts w:ascii="Arial" w:eastAsia="Arial" w:hAnsi="Arial" w:cs="Arial"/>
                <w:b/>
                <w:color w:val="auto"/>
                <w:sz w:val="18"/>
                <w:szCs w:val="18"/>
              </w:rPr>
              <w:t>Methodology</w:t>
            </w:r>
          </w:p>
        </w:tc>
        <w:tc>
          <w:tcPr>
            <w:tcW w:w="7938" w:type="dxa"/>
          </w:tcPr>
          <w:p w14:paraId="1CFC992D" w14:textId="2016F45B" w:rsidR="00A449FA" w:rsidRPr="005A1511" w:rsidRDefault="00A449FA" w:rsidP="00190109">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Data is presented as numerator only.</w:t>
            </w:r>
          </w:p>
          <w:p w14:paraId="6F9D4432" w14:textId="50064E74" w:rsidR="00A449FA" w:rsidRPr="005A1511" w:rsidRDefault="00A449FA" w:rsidP="00190109">
            <w:pPr>
              <w:spacing w:after="0"/>
              <w:rPr>
                <w:rFonts w:ascii="Arial" w:eastAsia="Arial" w:hAnsi="Arial" w:cs="Arial"/>
                <w:color w:val="auto"/>
                <w:sz w:val="18"/>
                <w:szCs w:val="18"/>
              </w:rPr>
            </w:pPr>
          </w:p>
        </w:tc>
      </w:tr>
      <w:tr w:rsidR="00FC4AB9" w:rsidRPr="005A1511" w14:paraId="680486B5" w14:textId="77777777">
        <w:trPr>
          <w:trHeight w:val="520"/>
        </w:trPr>
        <w:tc>
          <w:tcPr>
            <w:tcW w:w="534" w:type="dxa"/>
            <w:shd w:val="clear" w:color="auto" w:fill="auto"/>
          </w:tcPr>
          <w:p w14:paraId="6E3EEF72" w14:textId="647F2484" w:rsidR="00FC4AB9" w:rsidRPr="005A1511" w:rsidRDefault="00FC4AB9" w:rsidP="00190109">
            <w:pPr>
              <w:rPr>
                <w:rFonts w:ascii="Arial" w:eastAsia="Arial" w:hAnsi="Arial" w:cs="Arial"/>
                <w:color w:val="auto"/>
                <w:sz w:val="18"/>
                <w:szCs w:val="18"/>
              </w:rPr>
            </w:pPr>
            <w:r w:rsidRPr="005A1511">
              <w:rPr>
                <w:rFonts w:ascii="Arial" w:eastAsia="Arial" w:hAnsi="Arial" w:cs="Arial"/>
                <w:color w:val="auto"/>
                <w:sz w:val="18"/>
                <w:szCs w:val="18"/>
              </w:rPr>
              <w:t>1.7</w:t>
            </w:r>
          </w:p>
        </w:tc>
        <w:tc>
          <w:tcPr>
            <w:tcW w:w="1417" w:type="dxa"/>
            <w:tcBorders>
              <w:top w:val="single" w:sz="4" w:space="0" w:color="000000"/>
            </w:tcBorders>
            <w:shd w:val="clear" w:color="auto" w:fill="D9D9D9"/>
          </w:tcPr>
          <w:p w14:paraId="7F74EA30" w14:textId="6A71002D" w:rsidR="00FC4AB9" w:rsidRPr="005A1511" w:rsidRDefault="00FC4AB9" w:rsidP="00190109">
            <w:pPr>
              <w:rPr>
                <w:rFonts w:ascii="Arial" w:eastAsia="Arial" w:hAnsi="Arial" w:cs="Arial"/>
                <w:b/>
                <w:color w:val="auto"/>
                <w:sz w:val="18"/>
                <w:szCs w:val="18"/>
              </w:rPr>
            </w:pPr>
            <w:r w:rsidRPr="005A1511">
              <w:rPr>
                <w:rFonts w:ascii="Arial" w:eastAsia="Arial" w:hAnsi="Arial" w:cs="Arial"/>
                <w:b/>
                <w:color w:val="auto"/>
                <w:sz w:val="18"/>
                <w:szCs w:val="18"/>
              </w:rPr>
              <w:t>Medicines</w:t>
            </w:r>
          </w:p>
        </w:tc>
        <w:tc>
          <w:tcPr>
            <w:tcW w:w="7938" w:type="dxa"/>
          </w:tcPr>
          <w:p w14:paraId="4349245B" w14:textId="5BBFE0FC" w:rsidR="00FC4AB9" w:rsidRPr="005A1511" w:rsidRDefault="00FC4AB9" w:rsidP="00190109">
            <w:pPr>
              <w:spacing w:after="0" w:line="240" w:lineRule="auto"/>
              <w:rPr>
                <w:rFonts w:ascii="Arial" w:eastAsia="Arial" w:hAnsi="Arial" w:cs="Arial"/>
                <w:color w:val="auto"/>
                <w:sz w:val="18"/>
                <w:szCs w:val="18"/>
              </w:rPr>
            </w:pPr>
            <w:r w:rsidRPr="005A1511">
              <w:rPr>
                <w:rFonts w:ascii="Arial" w:eastAsia="Arial" w:hAnsi="Arial" w:cs="Arial"/>
                <w:sz w:val="18"/>
                <w:szCs w:val="18"/>
              </w:rPr>
              <w:t xml:space="preserve">Please refer to the Patient Group Directions for the relevant clinical pathway, which can be found at </w:t>
            </w:r>
            <w:hyperlink r:id="rId22" w:history="1">
              <w:r w:rsidRPr="005A1511">
                <w:rPr>
                  <w:rStyle w:val="Hyperlink"/>
                  <w:rFonts w:ascii="Arial" w:eastAsia="Arial" w:hAnsi="Arial" w:cs="Arial"/>
                  <w:sz w:val="18"/>
                  <w:szCs w:val="18"/>
                </w:rPr>
                <w:t>https://www.england.nhs.uk/publication/community-pharmacy-advanced-service-specification-nhs-pharmacy-first-service/</w:t>
              </w:r>
            </w:hyperlink>
          </w:p>
        </w:tc>
      </w:tr>
      <w:tr w:rsidR="0040431B" w:rsidRPr="005A1511" w14:paraId="7619F6B1" w14:textId="77777777">
        <w:trPr>
          <w:trHeight w:val="260"/>
        </w:trPr>
        <w:tc>
          <w:tcPr>
            <w:tcW w:w="9889" w:type="dxa"/>
            <w:gridSpan w:val="3"/>
            <w:shd w:val="clear" w:color="auto" w:fill="D9D9D9"/>
          </w:tcPr>
          <w:p w14:paraId="72099EB2" w14:textId="77777777" w:rsidR="00A449FA" w:rsidRPr="005A1511" w:rsidRDefault="00A449FA" w:rsidP="00190109">
            <w:pPr>
              <w:tabs>
                <w:tab w:val="left" w:pos="2257"/>
              </w:tabs>
              <w:spacing w:after="0"/>
              <w:rPr>
                <w:rFonts w:ascii="Arial" w:eastAsia="Arial" w:hAnsi="Arial" w:cs="Arial"/>
                <w:color w:val="auto"/>
                <w:sz w:val="18"/>
                <w:szCs w:val="18"/>
              </w:rPr>
            </w:pPr>
            <w:r w:rsidRPr="005A1511">
              <w:rPr>
                <w:rFonts w:ascii="Arial" w:eastAsia="Arial" w:hAnsi="Arial" w:cs="Arial"/>
                <w:b/>
                <w:color w:val="auto"/>
                <w:sz w:val="18"/>
                <w:szCs w:val="18"/>
              </w:rPr>
              <w:t>Section 2: Rationale</w:t>
            </w:r>
            <w:r w:rsidRPr="005A1511">
              <w:rPr>
                <w:rFonts w:ascii="Arial" w:eastAsia="Arial" w:hAnsi="Arial" w:cs="Arial"/>
                <w:b/>
                <w:color w:val="auto"/>
                <w:sz w:val="18"/>
                <w:szCs w:val="18"/>
              </w:rPr>
              <w:tab/>
            </w:r>
          </w:p>
        </w:tc>
      </w:tr>
      <w:tr w:rsidR="0040431B" w:rsidRPr="005A1511" w14:paraId="175B4398" w14:textId="77777777">
        <w:trPr>
          <w:trHeight w:val="880"/>
        </w:trPr>
        <w:tc>
          <w:tcPr>
            <w:tcW w:w="534" w:type="dxa"/>
            <w:shd w:val="clear" w:color="auto" w:fill="auto"/>
          </w:tcPr>
          <w:p w14:paraId="5D19D105" w14:textId="77777777" w:rsidR="00A449FA" w:rsidRPr="005A1511" w:rsidRDefault="00A449FA" w:rsidP="00190109">
            <w:pPr>
              <w:rPr>
                <w:rFonts w:ascii="Arial" w:eastAsia="Arial" w:hAnsi="Arial" w:cs="Arial"/>
                <w:color w:val="auto"/>
                <w:sz w:val="18"/>
                <w:szCs w:val="18"/>
              </w:rPr>
            </w:pPr>
            <w:r w:rsidRPr="005A1511">
              <w:rPr>
                <w:rFonts w:ascii="Arial" w:eastAsia="Arial" w:hAnsi="Arial" w:cs="Arial"/>
                <w:color w:val="auto"/>
                <w:sz w:val="18"/>
                <w:szCs w:val="18"/>
              </w:rPr>
              <w:t>2.1</w:t>
            </w:r>
          </w:p>
          <w:p w14:paraId="42749C3C" w14:textId="77777777" w:rsidR="00A449FA" w:rsidRPr="005A1511" w:rsidRDefault="00A449FA" w:rsidP="00190109">
            <w:pPr>
              <w:rPr>
                <w:rFonts w:ascii="Arial" w:eastAsia="Arial" w:hAnsi="Arial" w:cs="Arial"/>
                <w:color w:val="auto"/>
                <w:sz w:val="18"/>
                <w:szCs w:val="18"/>
              </w:rPr>
            </w:pPr>
          </w:p>
        </w:tc>
        <w:tc>
          <w:tcPr>
            <w:tcW w:w="1417" w:type="dxa"/>
            <w:tcBorders>
              <w:bottom w:val="single" w:sz="4" w:space="0" w:color="000000"/>
            </w:tcBorders>
            <w:shd w:val="clear" w:color="auto" w:fill="D9D9D9"/>
          </w:tcPr>
          <w:p w14:paraId="0E9A8776" w14:textId="3583F54B" w:rsidR="00A449FA" w:rsidRPr="005A1511" w:rsidRDefault="00A449FA" w:rsidP="00190109">
            <w:pPr>
              <w:rPr>
                <w:rFonts w:ascii="Arial" w:eastAsia="Arial" w:hAnsi="Arial" w:cs="Arial"/>
                <w:color w:val="auto"/>
                <w:sz w:val="18"/>
                <w:szCs w:val="18"/>
              </w:rPr>
            </w:pPr>
            <w:r w:rsidRPr="005A1511">
              <w:rPr>
                <w:rFonts w:ascii="Arial" w:eastAsia="Arial" w:hAnsi="Arial" w:cs="Arial"/>
                <w:b/>
                <w:color w:val="auto"/>
                <w:sz w:val="18"/>
                <w:szCs w:val="18"/>
              </w:rPr>
              <w:t>Purpose and Limitations</w:t>
            </w:r>
          </w:p>
        </w:tc>
        <w:tc>
          <w:tcPr>
            <w:tcW w:w="7938" w:type="dxa"/>
          </w:tcPr>
          <w:p w14:paraId="5DD0A598" w14:textId="77777777" w:rsidR="004A00AC" w:rsidRPr="005A1511" w:rsidRDefault="004A00AC" w:rsidP="004A00AC">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The purpose of this dashboard is to help support clinicians and ICBs monitor access to infection pathways and monitor exposure to medicines including antimicrobials for defined populations. </w:t>
            </w:r>
          </w:p>
          <w:p w14:paraId="286D922C" w14:textId="77777777" w:rsidR="004A00AC" w:rsidRPr="005A1511" w:rsidRDefault="004A00AC" w:rsidP="004A00AC">
            <w:pPr>
              <w:spacing w:after="0" w:line="240" w:lineRule="auto"/>
              <w:rPr>
                <w:rFonts w:ascii="Arial" w:eastAsia="Arial" w:hAnsi="Arial" w:cs="Arial"/>
                <w:color w:val="auto"/>
                <w:sz w:val="18"/>
                <w:szCs w:val="18"/>
              </w:rPr>
            </w:pPr>
          </w:p>
          <w:p w14:paraId="0E8D6AF8" w14:textId="77777777" w:rsidR="004A00AC" w:rsidRPr="005A1511" w:rsidRDefault="004A00AC" w:rsidP="004A00AC">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To enable this, patient consultation data has been attributed to the ICB with which the patient is currently registered at a General Practice, based on the General Practice ODS code as reported in the Pharmacy First consultation data set. </w:t>
            </w:r>
          </w:p>
          <w:p w14:paraId="0BD02434" w14:textId="77777777" w:rsidR="00AA65E4" w:rsidRPr="005A1511" w:rsidRDefault="00AA65E4" w:rsidP="00AA65E4">
            <w:pPr>
              <w:spacing w:after="0" w:line="240" w:lineRule="auto"/>
              <w:rPr>
                <w:rFonts w:ascii="Arial" w:eastAsia="Arial" w:hAnsi="Arial" w:cs="Arial"/>
                <w:color w:val="auto"/>
                <w:sz w:val="18"/>
                <w:szCs w:val="18"/>
              </w:rPr>
            </w:pPr>
          </w:p>
          <w:p w14:paraId="4B0985EE" w14:textId="7F457550" w:rsidR="00AA65E4" w:rsidRPr="005A1511" w:rsidRDefault="00AA65E4" w:rsidP="00AA65E4">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This comparator allows </w:t>
            </w:r>
            <w:r w:rsidR="004A00AC" w:rsidRPr="005A1511">
              <w:rPr>
                <w:rFonts w:ascii="Arial" w:eastAsia="Arial" w:hAnsi="Arial" w:cs="Arial"/>
                <w:color w:val="auto"/>
                <w:sz w:val="18"/>
                <w:szCs w:val="18"/>
              </w:rPr>
              <w:t>ICBs</w:t>
            </w:r>
            <w:r w:rsidRPr="005A1511">
              <w:rPr>
                <w:rFonts w:ascii="Arial" w:eastAsia="Arial" w:hAnsi="Arial" w:cs="Arial"/>
                <w:color w:val="auto"/>
                <w:sz w:val="18"/>
                <w:szCs w:val="18"/>
              </w:rPr>
              <w:t xml:space="preserve"> to identify the use of the Pharmacy First service for the population of their </w:t>
            </w:r>
            <w:r w:rsidR="004A00AC" w:rsidRPr="005A1511">
              <w:rPr>
                <w:rFonts w:ascii="Arial" w:eastAsia="Arial" w:hAnsi="Arial" w:cs="Arial"/>
                <w:color w:val="auto"/>
                <w:sz w:val="18"/>
                <w:szCs w:val="18"/>
              </w:rPr>
              <w:t>ICB</w:t>
            </w:r>
            <w:r w:rsidR="004A00AC" w:rsidRPr="005A1511">
              <w:rPr>
                <w:rFonts w:ascii="Arial" w:eastAsia="Arial" w:hAnsi="Arial" w:cs="Arial"/>
                <w:color w:val="auto"/>
                <w:sz w:val="18"/>
                <w:szCs w:val="18"/>
              </w:rPr>
              <w:t xml:space="preserve"> </w:t>
            </w:r>
            <w:r w:rsidRPr="005A1511">
              <w:rPr>
                <w:rFonts w:ascii="Arial" w:eastAsia="Arial" w:hAnsi="Arial" w:cs="Arial"/>
                <w:color w:val="auto"/>
                <w:sz w:val="18"/>
                <w:szCs w:val="18"/>
              </w:rPr>
              <w:t xml:space="preserve">by age band and gender, by selected clinical pathway. </w:t>
            </w:r>
          </w:p>
          <w:p w14:paraId="4763C74A" w14:textId="77777777" w:rsidR="00AA65E4" w:rsidRPr="005A1511" w:rsidRDefault="00AA65E4" w:rsidP="00AA65E4">
            <w:pPr>
              <w:spacing w:after="0" w:line="240" w:lineRule="auto"/>
              <w:rPr>
                <w:rFonts w:ascii="Arial" w:eastAsia="Arial" w:hAnsi="Arial" w:cs="Arial"/>
                <w:color w:val="auto"/>
                <w:sz w:val="18"/>
                <w:szCs w:val="18"/>
              </w:rPr>
            </w:pPr>
          </w:p>
          <w:p w14:paraId="59E134D4" w14:textId="77777777" w:rsidR="00AA65E4" w:rsidRPr="005A1511" w:rsidRDefault="00AA65E4" w:rsidP="00AA65E4">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This comparator reports a count of patients consulting the Shingles clinical pathway who may be included in the population who are eligible for a singles vaccination and provides an opportunity to improve shingles vaccination uptake.</w:t>
            </w:r>
          </w:p>
          <w:p w14:paraId="21962021" w14:textId="4A91F626" w:rsidR="00F14462" w:rsidRPr="005A1511" w:rsidRDefault="00F14462" w:rsidP="005C70D2">
            <w:pPr>
              <w:spacing w:after="0" w:line="240" w:lineRule="auto"/>
              <w:rPr>
                <w:rFonts w:ascii="Arial" w:eastAsia="Arial" w:hAnsi="Arial" w:cs="Arial"/>
                <w:color w:val="auto"/>
                <w:sz w:val="18"/>
                <w:szCs w:val="18"/>
              </w:rPr>
            </w:pPr>
          </w:p>
        </w:tc>
      </w:tr>
    </w:tbl>
    <w:p w14:paraId="3F7D7FCC" w14:textId="2BD99933" w:rsidR="00A449FA" w:rsidRPr="005A1511" w:rsidRDefault="00A449FA" w:rsidP="00190109">
      <w:pPr>
        <w:rPr>
          <w:rFonts w:ascii="Arial" w:hAnsi="Arial" w:cs="Arial"/>
          <w:b/>
          <w:bCs/>
          <w:color w:val="C00000"/>
        </w:rPr>
      </w:pPr>
    </w:p>
    <w:p w14:paraId="1984B90B" w14:textId="0E9FF154" w:rsidR="00D500FA" w:rsidRPr="005A1511" w:rsidRDefault="004D23DD" w:rsidP="00CC56ED">
      <w:pPr>
        <w:pStyle w:val="Heading2"/>
      </w:pPr>
      <w:bookmarkStart w:id="39" w:name="_Toc189144442"/>
      <w:r w:rsidRPr="005A1511">
        <w:lastRenderedPageBreak/>
        <w:t>Comparator: Uncomplicated UTI Pathway</w:t>
      </w:r>
      <w:bookmarkEnd w:id="39"/>
    </w:p>
    <w:p w14:paraId="13BBA9D3" w14:textId="77777777" w:rsidR="00D500FA" w:rsidRPr="005A1511" w:rsidRDefault="00D500FA" w:rsidP="00D500FA">
      <w:pPr>
        <w:rPr>
          <w:rFonts w:ascii="Arial" w:hAnsi="Arial" w:cs="Arial"/>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A3DD1" w:rsidRPr="005A1511" w14:paraId="2FF2B8F9" w14:textId="77777777" w:rsidTr="00427030">
        <w:trPr>
          <w:trHeight w:val="268"/>
        </w:trPr>
        <w:tc>
          <w:tcPr>
            <w:tcW w:w="9889" w:type="dxa"/>
            <w:gridSpan w:val="3"/>
            <w:shd w:val="clear" w:color="auto" w:fill="D9D9D9" w:themeFill="background1" w:themeFillShade="D9"/>
          </w:tcPr>
          <w:p w14:paraId="216EBA6D" w14:textId="7DCCD140" w:rsidR="00D500FA" w:rsidRPr="005A1511" w:rsidRDefault="00D500FA" w:rsidP="00427030">
            <w:pPr>
              <w:shd w:val="clear" w:color="auto" w:fill="D9D9D9" w:themeFill="background1" w:themeFillShade="D9"/>
              <w:rPr>
                <w:rFonts w:ascii="Arial" w:eastAsia="Arial" w:hAnsi="Arial" w:cs="Arial"/>
                <w:color w:val="auto"/>
                <w:sz w:val="18"/>
                <w:szCs w:val="18"/>
              </w:rPr>
            </w:pPr>
            <w:r w:rsidRPr="005A1511">
              <w:rPr>
                <w:rFonts w:ascii="Arial" w:eastAsia="Arial" w:hAnsi="Arial" w:cs="Arial"/>
                <w:b/>
                <w:color w:val="auto"/>
                <w:sz w:val="18"/>
                <w:szCs w:val="18"/>
              </w:rPr>
              <w:t xml:space="preserve">Section 1: </w:t>
            </w:r>
            <w:r w:rsidR="009832CA" w:rsidRPr="005A1511">
              <w:rPr>
                <w:rFonts w:ascii="Arial" w:eastAsia="Arial" w:hAnsi="Arial" w:cs="Arial"/>
                <w:b/>
                <w:color w:val="auto"/>
                <w:sz w:val="18"/>
                <w:szCs w:val="18"/>
              </w:rPr>
              <w:t>Introduction / Overview</w:t>
            </w:r>
          </w:p>
        </w:tc>
      </w:tr>
      <w:tr w:rsidR="008A3DD1" w:rsidRPr="005A1511" w14:paraId="6A593A70" w14:textId="77777777" w:rsidTr="00427030">
        <w:trPr>
          <w:trHeight w:val="440"/>
        </w:trPr>
        <w:tc>
          <w:tcPr>
            <w:tcW w:w="534" w:type="dxa"/>
            <w:shd w:val="clear" w:color="auto" w:fill="auto"/>
          </w:tcPr>
          <w:p w14:paraId="0DAEE5FA" w14:textId="77777777" w:rsidR="00D500FA" w:rsidRPr="005A1511" w:rsidRDefault="00D500FA" w:rsidP="00427030">
            <w:pPr>
              <w:rPr>
                <w:rFonts w:ascii="Arial" w:eastAsia="Arial" w:hAnsi="Arial" w:cs="Arial"/>
                <w:color w:val="auto"/>
                <w:sz w:val="18"/>
                <w:szCs w:val="18"/>
              </w:rPr>
            </w:pPr>
            <w:r w:rsidRPr="005A1511">
              <w:rPr>
                <w:rFonts w:ascii="Arial" w:eastAsia="Arial" w:hAnsi="Arial" w:cs="Arial"/>
                <w:color w:val="auto"/>
                <w:sz w:val="18"/>
                <w:szCs w:val="18"/>
              </w:rPr>
              <w:t>1.1</w:t>
            </w:r>
          </w:p>
        </w:tc>
        <w:tc>
          <w:tcPr>
            <w:tcW w:w="1417" w:type="dxa"/>
            <w:tcBorders>
              <w:bottom w:val="single" w:sz="4" w:space="0" w:color="000000"/>
            </w:tcBorders>
            <w:shd w:val="clear" w:color="auto" w:fill="D9D9D9"/>
          </w:tcPr>
          <w:p w14:paraId="09B9602C" w14:textId="77777777" w:rsidR="00D500FA" w:rsidRPr="005A1511" w:rsidRDefault="00D500FA" w:rsidP="00427030">
            <w:pPr>
              <w:rPr>
                <w:rFonts w:ascii="Arial" w:eastAsia="Arial" w:hAnsi="Arial" w:cs="Arial"/>
                <w:color w:val="auto"/>
                <w:sz w:val="18"/>
                <w:szCs w:val="18"/>
              </w:rPr>
            </w:pPr>
            <w:r w:rsidRPr="005A1511">
              <w:rPr>
                <w:rFonts w:ascii="Arial" w:eastAsia="Arial" w:hAnsi="Arial" w:cs="Arial"/>
                <w:b/>
                <w:color w:val="auto"/>
                <w:sz w:val="18"/>
                <w:szCs w:val="18"/>
              </w:rPr>
              <w:t>Title</w:t>
            </w:r>
          </w:p>
        </w:tc>
        <w:tc>
          <w:tcPr>
            <w:tcW w:w="7938" w:type="dxa"/>
          </w:tcPr>
          <w:p w14:paraId="27AB1BE0" w14:textId="0308104F" w:rsidR="00D500FA" w:rsidRPr="005A1511" w:rsidRDefault="004D23DD" w:rsidP="00427030">
            <w:pPr>
              <w:spacing w:after="0"/>
              <w:rPr>
                <w:rFonts w:ascii="Arial" w:eastAsia="Arial" w:hAnsi="Arial" w:cs="Arial"/>
                <w:color w:val="auto"/>
                <w:sz w:val="18"/>
                <w:szCs w:val="18"/>
              </w:rPr>
            </w:pPr>
            <w:r w:rsidRPr="005A1511">
              <w:rPr>
                <w:rFonts w:ascii="Arial" w:eastAsia="Arial" w:hAnsi="Arial" w:cs="Arial"/>
                <w:bCs/>
                <w:color w:val="auto"/>
                <w:sz w:val="18"/>
                <w:szCs w:val="18"/>
              </w:rPr>
              <w:t>Uncomplicated UTI Pathway</w:t>
            </w:r>
          </w:p>
        </w:tc>
      </w:tr>
      <w:tr w:rsidR="008A3DD1" w:rsidRPr="005A1511" w14:paraId="3A4C1DA5" w14:textId="77777777" w:rsidTr="00427030">
        <w:trPr>
          <w:trHeight w:val="940"/>
        </w:trPr>
        <w:tc>
          <w:tcPr>
            <w:tcW w:w="534" w:type="dxa"/>
            <w:shd w:val="clear" w:color="auto" w:fill="auto"/>
          </w:tcPr>
          <w:p w14:paraId="7C23C143" w14:textId="77777777" w:rsidR="00D500FA" w:rsidRPr="005A1511" w:rsidRDefault="00D500FA" w:rsidP="00427030">
            <w:pPr>
              <w:rPr>
                <w:rFonts w:ascii="Arial" w:eastAsia="Arial" w:hAnsi="Arial" w:cs="Arial"/>
                <w:color w:val="auto"/>
                <w:sz w:val="18"/>
                <w:szCs w:val="18"/>
              </w:rPr>
            </w:pPr>
            <w:r w:rsidRPr="005A1511">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02BA1ABC" w14:textId="77777777" w:rsidR="00D500FA" w:rsidRPr="005A1511" w:rsidRDefault="00D500FA" w:rsidP="00427030">
            <w:pPr>
              <w:rPr>
                <w:rFonts w:ascii="Arial" w:eastAsia="Arial" w:hAnsi="Arial" w:cs="Arial"/>
                <w:color w:val="auto"/>
                <w:sz w:val="18"/>
                <w:szCs w:val="18"/>
              </w:rPr>
            </w:pPr>
            <w:r w:rsidRPr="005A1511">
              <w:rPr>
                <w:rFonts w:ascii="Arial" w:eastAsia="Arial" w:hAnsi="Arial" w:cs="Arial"/>
                <w:b/>
                <w:color w:val="auto"/>
                <w:sz w:val="18"/>
                <w:szCs w:val="18"/>
              </w:rPr>
              <w:t>Definition</w:t>
            </w:r>
          </w:p>
        </w:tc>
        <w:tc>
          <w:tcPr>
            <w:tcW w:w="7938" w:type="dxa"/>
          </w:tcPr>
          <w:p w14:paraId="5AD4C716" w14:textId="5E895A7C" w:rsidR="009D475C" w:rsidRPr="005A1511" w:rsidRDefault="009D475C" w:rsidP="009D475C">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 xml:space="preserve">This comparator reports a count of </w:t>
            </w:r>
            <w:r w:rsidR="00154ABE" w:rsidRPr="005A1511">
              <w:rPr>
                <w:rFonts w:ascii="Arial" w:hAnsi="Arial" w:cs="Arial"/>
                <w:color w:val="auto"/>
                <w:sz w:val="18"/>
                <w:szCs w:val="21"/>
                <w:shd w:val="clear" w:color="auto" w:fill="FFFFFF"/>
              </w:rPr>
              <w:t xml:space="preserve">items of </w:t>
            </w:r>
            <w:r w:rsidRPr="005A1511">
              <w:rPr>
                <w:rFonts w:ascii="Arial" w:hAnsi="Arial" w:cs="Arial"/>
                <w:color w:val="auto"/>
                <w:sz w:val="18"/>
                <w:szCs w:val="21"/>
                <w:shd w:val="clear" w:color="auto" w:fill="FFFFFF"/>
              </w:rPr>
              <w:t xml:space="preserve">Nitrofurantoin MR 100mg </w:t>
            </w:r>
            <w:r w:rsidR="00154ABE" w:rsidRPr="005A1511">
              <w:rPr>
                <w:rFonts w:ascii="Arial" w:hAnsi="Arial" w:cs="Arial"/>
                <w:color w:val="auto"/>
                <w:sz w:val="18"/>
                <w:szCs w:val="21"/>
                <w:shd w:val="clear" w:color="auto" w:fill="FFFFFF"/>
              </w:rPr>
              <w:t xml:space="preserve">capsules (branded </w:t>
            </w:r>
            <w:r w:rsidR="00C751EB" w:rsidRPr="005A1511">
              <w:rPr>
                <w:rFonts w:ascii="Arial" w:hAnsi="Arial" w:cs="Arial"/>
                <w:color w:val="auto"/>
                <w:sz w:val="18"/>
                <w:szCs w:val="21"/>
                <w:shd w:val="clear" w:color="auto" w:fill="FFFFFF"/>
              </w:rPr>
              <w:t xml:space="preserve">or generic) </w:t>
            </w:r>
            <w:r w:rsidRPr="005A1511">
              <w:rPr>
                <w:rFonts w:ascii="Arial" w:hAnsi="Arial" w:cs="Arial"/>
                <w:color w:val="auto"/>
                <w:sz w:val="18"/>
                <w:szCs w:val="21"/>
                <w:shd w:val="clear" w:color="auto" w:fill="FFFFFF"/>
              </w:rPr>
              <w:t xml:space="preserve">supplied by Patient Group Direction to female patients </w:t>
            </w:r>
            <w:r w:rsidR="00682E4A" w:rsidRPr="005A1511">
              <w:rPr>
                <w:rFonts w:ascii="Arial" w:hAnsi="Arial" w:cs="Arial"/>
                <w:color w:val="auto"/>
                <w:sz w:val="18"/>
                <w:szCs w:val="21"/>
                <w:shd w:val="clear" w:color="auto" w:fill="FFFFFF"/>
              </w:rPr>
              <w:t xml:space="preserve">via </w:t>
            </w:r>
            <w:r w:rsidRPr="005A1511">
              <w:rPr>
                <w:rFonts w:ascii="Arial" w:hAnsi="Arial" w:cs="Arial"/>
                <w:color w:val="auto"/>
                <w:sz w:val="18"/>
                <w:szCs w:val="21"/>
                <w:shd w:val="clear" w:color="auto" w:fill="FFFFFF"/>
              </w:rPr>
              <w:t>the Pharmacy First for Uncomplicated UTI clinical pathway.</w:t>
            </w:r>
          </w:p>
          <w:p w14:paraId="2FE686F0" w14:textId="77777777" w:rsidR="009D475C" w:rsidRPr="005A1511" w:rsidRDefault="009D475C" w:rsidP="009D475C">
            <w:pPr>
              <w:spacing w:after="0" w:line="240" w:lineRule="auto"/>
              <w:rPr>
                <w:rFonts w:ascii="Arial" w:hAnsi="Arial" w:cs="Arial"/>
                <w:color w:val="auto"/>
                <w:sz w:val="18"/>
                <w:szCs w:val="21"/>
                <w:shd w:val="clear" w:color="auto" w:fill="FFFFFF"/>
              </w:rPr>
            </w:pPr>
          </w:p>
          <w:p w14:paraId="39D366E6" w14:textId="48D60F87" w:rsidR="009D475C" w:rsidRPr="005A1511" w:rsidRDefault="009D475C" w:rsidP="009D475C">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 xml:space="preserve">It also reports a count of FP10 items prescribed to female patients for Nitrofurantoin MR 100mg </w:t>
            </w:r>
            <w:r w:rsidR="00154ABE" w:rsidRPr="005A1511">
              <w:rPr>
                <w:rFonts w:ascii="Arial" w:hAnsi="Arial" w:cs="Arial"/>
                <w:color w:val="auto"/>
                <w:sz w:val="18"/>
                <w:szCs w:val="21"/>
                <w:shd w:val="clear" w:color="auto" w:fill="FFFFFF"/>
              </w:rPr>
              <w:t xml:space="preserve">capsules (branded or generic) </w:t>
            </w:r>
            <w:r w:rsidR="00682E4A" w:rsidRPr="005A1511">
              <w:rPr>
                <w:rFonts w:ascii="Arial" w:hAnsi="Arial" w:cs="Arial"/>
                <w:color w:val="auto"/>
                <w:sz w:val="18"/>
                <w:szCs w:val="21"/>
                <w:shd w:val="clear" w:color="auto" w:fill="FFFFFF"/>
              </w:rPr>
              <w:t xml:space="preserve">with a prescribed </w:t>
            </w:r>
            <w:r w:rsidRPr="005A1511">
              <w:rPr>
                <w:rFonts w:ascii="Arial" w:hAnsi="Arial" w:cs="Arial"/>
                <w:color w:val="auto"/>
                <w:sz w:val="18"/>
                <w:szCs w:val="21"/>
                <w:shd w:val="clear" w:color="auto" w:fill="FFFFFF"/>
              </w:rPr>
              <w:t>quantity</w:t>
            </w:r>
            <w:r w:rsidR="00682E4A" w:rsidRPr="005A1511">
              <w:rPr>
                <w:rFonts w:ascii="Arial" w:hAnsi="Arial" w:cs="Arial"/>
                <w:color w:val="auto"/>
                <w:sz w:val="18"/>
                <w:szCs w:val="21"/>
                <w:shd w:val="clear" w:color="auto" w:fill="FFFFFF"/>
              </w:rPr>
              <w:t xml:space="preserve"> of </w:t>
            </w:r>
            <w:r w:rsidRPr="005A1511">
              <w:rPr>
                <w:rFonts w:ascii="Arial" w:hAnsi="Arial" w:cs="Arial"/>
                <w:color w:val="auto"/>
                <w:sz w:val="18"/>
                <w:szCs w:val="21"/>
                <w:shd w:val="clear" w:color="auto" w:fill="FFFFFF"/>
              </w:rPr>
              <w:t>6 capsules</w:t>
            </w:r>
            <w:r w:rsidR="00682E4A" w:rsidRPr="005A1511">
              <w:rPr>
                <w:rFonts w:ascii="Arial" w:hAnsi="Arial" w:cs="Arial"/>
                <w:color w:val="auto"/>
                <w:sz w:val="18"/>
                <w:szCs w:val="21"/>
                <w:shd w:val="clear" w:color="auto" w:fill="FFFFFF"/>
              </w:rPr>
              <w:t>,</w:t>
            </w:r>
            <w:r w:rsidRPr="005A1511">
              <w:rPr>
                <w:rFonts w:ascii="Arial" w:hAnsi="Arial" w:cs="Arial"/>
                <w:color w:val="auto"/>
                <w:sz w:val="18"/>
                <w:szCs w:val="21"/>
                <w:shd w:val="clear" w:color="auto" w:fill="FFFFFF"/>
              </w:rPr>
              <w:t xml:space="preserve"> by NHS GP practices.</w:t>
            </w:r>
          </w:p>
          <w:p w14:paraId="7E1F6ADB" w14:textId="77777777" w:rsidR="009D475C" w:rsidRPr="005A1511" w:rsidRDefault="009D475C" w:rsidP="009D475C">
            <w:pPr>
              <w:tabs>
                <w:tab w:val="left" w:pos="1026"/>
              </w:tabs>
              <w:spacing w:after="0"/>
              <w:rPr>
                <w:rFonts w:ascii="Arial" w:eastAsia="Arial" w:hAnsi="Arial" w:cs="Arial"/>
                <w:color w:val="auto"/>
                <w:sz w:val="18"/>
                <w:szCs w:val="18"/>
              </w:rPr>
            </w:pPr>
          </w:p>
          <w:p w14:paraId="16534394" w14:textId="793E334B" w:rsidR="009D475C" w:rsidRPr="005A1511" w:rsidRDefault="009D475C" w:rsidP="009D475C">
            <w:pPr>
              <w:tabs>
                <w:tab w:val="left" w:pos="1026"/>
              </w:tabs>
              <w:spacing w:after="0"/>
              <w:rPr>
                <w:rFonts w:ascii="Arial" w:eastAsia="Arial" w:hAnsi="Arial" w:cs="Arial"/>
                <w:color w:val="auto"/>
                <w:sz w:val="18"/>
                <w:szCs w:val="18"/>
              </w:rPr>
            </w:pPr>
            <w:r w:rsidRPr="005A1511">
              <w:rPr>
                <w:rFonts w:ascii="Arial" w:eastAsia="Arial" w:hAnsi="Arial" w:cs="Arial"/>
                <w:color w:val="auto"/>
                <w:sz w:val="18"/>
                <w:szCs w:val="18"/>
              </w:rPr>
              <w:t xml:space="preserve">Both data sets report item count by </w:t>
            </w:r>
            <w:r w:rsidR="00942B1A" w:rsidRPr="005A1511">
              <w:rPr>
                <w:rFonts w:ascii="Arial" w:eastAsia="Arial" w:hAnsi="Arial" w:cs="Arial"/>
                <w:color w:val="auto"/>
                <w:sz w:val="18"/>
                <w:szCs w:val="18"/>
              </w:rPr>
              <w:t>5-year</w:t>
            </w:r>
            <w:r w:rsidRPr="005A1511">
              <w:rPr>
                <w:rFonts w:ascii="Arial" w:eastAsia="Arial" w:hAnsi="Arial" w:cs="Arial"/>
                <w:color w:val="auto"/>
                <w:sz w:val="18"/>
                <w:szCs w:val="18"/>
              </w:rPr>
              <w:t xml:space="preserve"> age bands</w:t>
            </w:r>
            <w:r w:rsidR="00942B1A" w:rsidRPr="005A1511">
              <w:rPr>
                <w:rFonts w:ascii="Arial" w:eastAsia="Arial" w:hAnsi="Arial" w:cs="Arial"/>
                <w:color w:val="auto"/>
                <w:sz w:val="18"/>
                <w:szCs w:val="18"/>
              </w:rPr>
              <w:t>.</w:t>
            </w:r>
          </w:p>
          <w:p w14:paraId="13544D86" w14:textId="77777777" w:rsidR="009D475C" w:rsidRPr="005A1511" w:rsidRDefault="009D475C" w:rsidP="009D475C">
            <w:pPr>
              <w:tabs>
                <w:tab w:val="left" w:pos="1026"/>
              </w:tabs>
              <w:spacing w:after="0"/>
              <w:rPr>
                <w:rFonts w:ascii="Arial" w:eastAsia="Arial" w:hAnsi="Arial" w:cs="Arial"/>
                <w:color w:val="auto"/>
                <w:sz w:val="18"/>
                <w:szCs w:val="18"/>
              </w:rPr>
            </w:pPr>
          </w:p>
          <w:p w14:paraId="242ECF78" w14:textId="42FE355A" w:rsidR="009D475C" w:rsidRPr="005A1511" w:rsidRDefault="009D475C" w:rsidP="009D475C">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 xml:space="preserve">This data is available at </w:t>
            </w:r>
            <w:r w:rsidR="0075533F" w:rsidRPr="005A1511">
              <w:rPr>
                <w:rFonts w:ascii="Arial" w:hAnsi="Arial" w:cs="Arial"/>
                <w:color w:val="auto"/>
                <w:sz w:val="18"/>
                <w:szCs w:val="21"/>
                <w:shd w:val="clear" w:color="auto" w:fill="FFFFFF"/>
              </w:rPr>
              <w:t>ICB</w:t>
            </w:r>
            <w:r w:rsidRPr="005A1511">
              <w:rPr>
                <w:rFonts w:ascii="Arial" w:hAnsi="Arial" w:cs="Arial"/>
                <w:color w:val="auto"/>
                <w:sz w:val="18"/>
                <w:szCs w:val="21"/>
                <w:shd w:val="clear" w:color="auto" w:fill="FFFFFF"/>
              </w:rPr>
              <w:t xml:space="preserve">, NHS </w:t>
            </w:r>
            <w:r w:rsidR="0075533F" w:rsidRPr="005A1511">
              <w:rPr>
                <w:rFonts w:ascii="Arial" w:hAnsi="Arial" w:cs="Arial"/>
                <w:color w:val="auto"/>
                <w:sz w:val="18"/>
                <w:szCs w:val="21"/>
                <w:shd w:val="clear" w:color="auto" w:fill="FFFFFF"/>
              </w:rPr>
              <w:t>r</w:t>
            </w:r>
            <w:r w:rsidRPr="005A1511">
              <w:rPr>
                <w:rFonts w:ascii="Arial" w:hAnsi="Arial" w:cs="Arial"/>
                <w:color w:val="auto"/>
                <w:sz w:val="18"/>
                <w:szCs w:val="21"/>
                <w:shd w:val="clear" w:color="auto" w:fill="FFFFFF"/>
              </w:rPr>
              <w:t xml:space="preserve">egion and national </w:t>
            </w:r>
            <w:r w:rsidR="0075533F" w:rsidRPr="005A1511">
              <w:rPr>
                <w:rFonts w:ascii="Arial" w:hAnsi="Arial" w:cs="Arial"/>
                <w:color w:val="auto"/>
                <w:sz w:val="18"/>
                <w:szCs w:val="21"/>
                <w:shd w:val="clear" w:color="auto" w:fill="FFFFFF"/>
              </w:rPr>
              <w:t>(</w:t>
            </w:r>
            <w:r w:rsidRPr="005A1511">
              <w:rPr>
                <w:rFonts w:ascii="Arial" w:hAnsi="Arial" w:cs="Arial"/>
                <w:color w:val="auto"/>
                <w:sz w:val="18"/>
                <w:szCs w:val="21"/>
                <w:shd w:val="clear" w:color="auto" w:fill="FFFFFF"/>
              </w:rPr>
              <w:t>England</w:t>
            </w:r>
            <w:r w:rsidR="0075533F" w:rsidRPr="005A1511">
              <w:rPr>
                <w:rFonts w:ascii="Arial" w:hAnsi="Arial" w:cs="Arial"/>
                <w:color w:val="auto"/>
                <w:sz w:val="18"/>
                <w:szCs w:val="21"/>
                <w:shd w:val="clear" w:color="auto" w:fill="FFFFFF"/>
              </w:rPr>
              <w:t>)</w:t>
            </w:r>
            <w:r w:rsidRPr="005A1511">
              <w:rPr>
                <w:rFonts w:ascii="Arial" w:hAnsi="Arial" w:cs="Arial"/>
                <w:color w:val="auto"/>
                <w:sz w:val="18"/>
                <w:szCs w:val="21"/>
                <w:shd w:val="clear" w:color="auto" w:fill="FFFFFF"/>
              </w:rPr>
              <w:t xml:space="preserve"> organisational level</w:t>
            </w:r>
            <w:r w:rsidR="0075533F" w:rsidRPr="005A1511">
              <w:rPr>
                <w:rFonts w:ascii="Arial" w:hAnsi="Arial" w:cs="Arial"/>
                <w:color w:val="auto"/>
                <w:sz w:val="18"/>
                <w:szCs w:val="21"/>
                <w:shd w:val="clear" w:color="auto" w:fill="FFFFFF"/>
              </w:rPr>
              <w:t>s</w:t>
            </w:r>
            <w:r w:rsidRPr="005A1511">
              <w:rPr>
                <w:rFonts w:ascii="Arial" w:hAnsi="Arial" w:cs="Arial"/>
                <w:color w:val="auto"/>
                <w:sz w:val="18"/>
                <w:szCs w:val="21"/>
                <w:shd w:val="clear" w:color="auto" w:fill="FFFFFF"/>
              </w:rPr>
              <w:t>.</w:t>
            </w:r>
          </w:p>
          <w:p w14:paraId="77DB7CB5" w14:textId="38ED0E0E" w:rsidR="00F02E81" w:rsidRPr="005A1511" w:rsidRDefault="00F02E81" w:rsidP="00F02E81">
            <w:pPr>
              <w:tabs>
                <w:tab w:val="left" w:pos="1026"/>
              </w:tabs>
              <w:spacing w:after="0"/>
              <w:rPr>
                <w:rFonts w:ascii="Arial" w:eastAsia="Arial" w:hAnsi="Arial" w:cs="Arial"/>
                <w:sz w:val="18"/>
                <w:szCs w:val="18"/>
              </w:rPr>
            </w:pPr>
          </w:p>
        </w:tc>
      </w:tr>
      <w:tr w:rsidR="008A3DD1" w:rsidRPr="005A1511" w14:paraId="5D53153D" w14:textId="77777777" w:rsidTr="00427030">
        <w:trPr>
          <w:trHeight w:val="440"/>
        </w:trPr>
        <w:tc>
          <w:tcPr>
            <w:tcW w:w="534" w:type="dxa"/>
            <w:shd w:val="clear" w:color="auto" w:fill="auto"/>
          </w:tcPr>
          <w:p w14:paraId="151A2061" w14:textId="77777777" w:rsidR="00D500FA" w:rsidRPr="005A1511" w:rsidRDefault="00D500FA" w:rsidP="00427030">
            <w:pPr>
              <w:rPr>
                <w:rFonts w:ascii="Arial" w:eastAsia="Arial" w:hAnsi="Arial" w:cs="Arial"/>
                <w:color w:val="auto"/>
                <w:sz w:val="18"/>
                <w:szCs w:val="18"/>
              </w:rPr>
            </w:pPr>
            <w:r w:rsidRPr="005A1511">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2658F01F" w14:textId="55EA91C7" w:rsidR="00D500FA" w:rsidRPr="005A1511" w:rsidRDefault="00D500FA" w:rsidP="00427030">
            <w:pPr>
              <w:rPr>
                <w:rFonts w:ascii="Arial" w:eastAsia="Arial" w:hAnsi="Arial" w:cs="Arial"/>
                <w:color w:val="auto"/>
                <w:sz w:val="18"/>
                <w:szCs w:val="18"/>
              </w:rPr>
            </w:pPr>
            <w:r w:rsidRPr="005A1511">
              <w:rPr>
                <w:rFonts w:ascii="Arial" w:eastAsia="Arial" w:hAnsi="Arial" w:cs="Arial"/>
                <w:b/>
                <w:color w:val="auto"/>
                <w:sz w:val="18"/>
                <w:szCs w:val="18"/>
              </w:rPr>
              <w:t xml:space="preserve">Reporting </w:t>
            </w:r>
            <w:r w:rsidR="00F02E81" w:rsidRPr="005A1511">
              <w:rPr>
                <w:rFonts w:ascii="Arial" w:eastAsia="Arial" w:hAnsi="Arial" w:cs="Arial"/>
                <w:b/>
                <w:color w:val="auto"/>
                <w:sz w:val="18"/>
                <w:szCs w:val="18"/>
              </w:rPr>
              <w:t>Details</w:t>
            </w:r>
          </w:p>
        </w:tc>
        <w:tc>
          <w:tcPr>
            <w:tcW w:w="7938" w:type="dxa"/>
          </w:tcPr>
          <w:p w14:paraId="582BA2A5" w14:textId="77777777" w:rsidR="000C72D8" w:rsidRPr="005A1511" w:rsidRDefault="000C72D8" w:rsidP="000C72D8">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This comparator reports the number of Nitrofurantoin MR 100mg Items supplied to female patients via the Pharmacy First Uncomplicated UTI clinical pathway, </w:t>
            </w:r>
          </w:p>
          <w:p w14:paraId="1D0B74AD" w14:textId="77777777" w:rsidR="000C72D8" w:rsidRPr="005A1511" w:rsidRDefault="000C72D8" w:rsidP="000C72D8">
            <w:pPr>
              <w:spacing w:after="0" w:line="240" w:lineRule="auto"/>
              <w:rPr>
                <w:rFonts w:ascii="Arial" w:eastAsia="Arial" w:hAnsi="Arial" w:cs="Arial"/>
                <w:color w:val="auto"/>
                <w:sz w:val="18"/>
                <w:szCs w:val="18"/>
              </w:rPr>
            </w:pPr>
          </w:p>
          <w:p w14:paraId="5B87D76E" w14:textId="76064950" w:rsidR="000C72D8" w:rsidRPr="005A1511" w:rsidRDefault="000C72D8" w:rsidP="000C72D8">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Patient 5-year age band and gender are derived from the age and gender captured for patients during a Pharmacy First consultation. Details how age bands are used, and data completeness for patient gender are reported in detail </w:t>
            </w:r>
            <w:hyperlink w:anchor="_Age_bands" w:history="1">
              <w:r w:rsidRPr="005A1511">
                <w:rPr>
                  <w:rStyle w:val="Hyperlink"/>
                  <w:rFonts w:ascii="Arial" w:eastAsia="Arial" w:hAnsi="Arial" w:cs="Arial"/>
                  <w:sz w:val="18"/>
                  <w:szCs w:val="18"/>
                </w:rPr>
                <w:t>here</w:t>
              </w:r>
            </w:hyperlink>
            <w:r w:rsidR="002141F9" w:rsidRPr="005A1511">
              <w:rPr>
                <w:rFonts w:ascii="Arial" w:eastAsia="Arial" w:hAnsi="Arial" w:cs="Arial"/>
                <w:color w:val="auto"/>
                <w:sz w:val="18"/>
                <w:szCs w:val="18"/>
              </w:rPr>
              <w:t>.</w:t>
            </w:r>
          </w:p>
          <w:p w14:paraId="056074DA" w14:textId="77777777" w:rsidR="000C72D8" w:rsidRPr="005A1511" w:rsidRDefault="000C72D8" w:rsidP="000C72D8">
            <w:pPr>
              <w:spacing w:after="0" w:line="240" w:lineRule="auto"/>
              <w:rPr>
                <w:rFonts w:ascii="Arial" w:eastAsia="Arial" w:hAnsi="Arial" w:cs="Arial"/>
                <w:color w:val="auto"/>
                <w:sz w:val="18"/>
                <w:szCs w:val="18"/>
              </w:rPr>
            </w:pPr>
          </w:p>
          <w:p w14:paraId="606F7329" w14:textId="77777777" w:rsidR="000C72D8" w:rsidRPr="005A1511" w:rsidRDefault="000C72D8" w:rsidP="000C72D8">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The age ranges used in the dashboard comparator may be broader than those specified in the Pharmacy First clinical pathway specification. This is due to the NHS BSA use of population denominator values which are calculated by 5-year age bands. </w:t>
            </w:r>
          </w:p>
          <w:p w14:paraId="2EA1CCEE" w14:textId="77777777" w:rsidR="000C72D8" w:rsidRPr="005A1511" w:rsidRDefault="000C72D8" w:rsidP="000C72D8">
            <w:pPr>
              <w:spacing w:after="0" w:line="240" w:lineRule="auto"/>
              <w:rPr>
                <w:rFonts w:ascii="Arial" w:eastAsia="Arial" w:hAnsi="Arial" w:cs="Arial"/>
                <w:color w:val="auto"/>
                <w:sz w:val="18"/>
                <w:szCs w:val="18"/>
              </w:rPr>
            </w:pPr>
          </w:p>
          <w:p w14:paraId="30D364AD" w14:textId="77777777" w:rsidR="00A6600C" w:rsidRPr="005A1511" w:rsidRDefault="00A6600C" w:rsidP="00A6600C">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The comparator shows, for</w:t>
            </w:r>
            <w:r w:rsidRPr="005A1511">
              <w:rPr>
                <w:rFonts w:ascii="Arial" w:hAnsi="Arial" w:cs="Arial"/>
              </w:rPr>
              <w:t xml:space="preserve"> </w:t>
            </w:r>
            <w:r w:rsidRPr="005A1511">
              <w:rPr>
                <w:rFonts w:ascii="Arial" w:hAnsi="Arial" w:cs="Arial"/>
                <w:sz w:val="18"/>
                <w:szCs w:val="18"/>
              </w:rPr>
              <w:t xml:space="preserve">the </w:t>
            </w:r>
            <w:r w:rsidRPr="005A1511">
              <w:rPr>
                <w:rFonts w:ascii="Arial" w:eastAsia="Arial" w:hAnsi="Arial" w:cs="Arial"/>
                <w:color w:val="auto"/>
                <w:sz w:val="18"/>
                <w:szCs w:val="18"/>
              </w:rPr>
              <w:t>month in which consultation claim was submitted, selected organisation and clinical pathway:</w:t>
            </w:r>
          </w:p>
          <w:p w14:paraId="38CA06E8" w14:textId="77777777" w:rsidR="00A6600C" w:rsidRPr="005A1511" w:rsidRDefault="00A6600C" w:rsidP="00A6600C">
            <w:pPr>
              <w:spacing w:after="0" w:line="240" w:lineRule="auto"/>
              <w:rPr>
                <w:rFonts w:ascii="Arial" w:eastAsia="Arial" w:hAnsi="Arial" w:cs="Arial"/>
                <w:color w:val="auto"/>
                <w:sz w:val="18"/>
                <w:szCs w:val="18"/>
              </w:rPr>
            </w:pPr>
          </w:p>
          <w:p w14:paraId="3977C5C1" w14:textId="65533138" w:rsidR="00A6600C" w:rsidRPr="005A1511" w:rsidRDefault="00A6600C" w:rsidP="00A6600C">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 xml:space="preserve">Count of the number of patients </w:t>
            </w:r>
            <w:r w:rsidR="00B73EA0" w:rsidRPr="005A1511">
              <w:rPr>
                <w:rFonts w:ascii="Arial" w:eastAsia="Arial" w:hAnsi="Arial" w:cs="Arial"/>
                <w:sz w:val="18"/>
                <w:szCs w:val="18"/>
              </w:rPr>
              <w:t>for both Pharmacy First and FP10</w:t>
            </w:r>
          </w:p>
          <w:p w14:paraId="42EA3DED" w14:textId="4402BA8F" w:rsidR="00A6600C" w:rsidRPr="005A1511" w:rsidRDefault="00A6600C" w:rsidP="00A6600C">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Count of the number of consultations (</w:t>
            </w:r>
            <w:r w:rsidR="00F82910" w:rsidRPr="005A1511">
              <w:rPr>
                <w:rFonts w:ascii="Arial" w:eastAsia="Arial" w:hAnsi="Arial" w:cs="Arial"/>
                <w:sz w:val="18"/>
                <w:szCs w:val="18"/>
              </w:rPr>
              <w:t xml:space="preserve">Pharmacy First </w:t>
            </w:r>
            <w:r w:rsidRPr="005A1511">
              <w:rPr>
                <w:rFonts w:ascii="Arial" w:eastAsia="Arial" w:hAnsi="Arial" w:cs="Arial"/>
                <w:sz w:val="18"/>
                <w:szCs w:val="18"/>
              </w:rPr>
              <w:t>Table view only)</w:t>
            </w:r>
          </w:p>
          <w:p w14:paraId="2F568B82" w14:textId="25509695" w:rsidR="00A6600C" w:rsidRPr="005A1511" w:rsidRDefault="00A6600C" w:rsidP="00A6600C">
            <w:pPr>
              <w:pStyle w:val="ListParagraph"/>
              <w:numPr>
                <w:ilvl w:val="0"/>
                <w:numId w:val="33"/>
              </w:numPr>
              <w:spacing w:after="0" w:line="240" w:lineRule="auto"/>
              <w:rPr>
                <w:rFonts w:ascii="Arial" w:eastAsia="Arial" w:hAnsi="Arial" w:cs="Arial"/>
                <w:sz w:val="18"/>
                <w:szCs w:val="18"/>
              </w:rPr>
            </w:pPr>
            <w:r w:rsidRPr="005A1511">
              <w:rPr>
                <w:rFonts w:ascii="Arial" w:eastAsia="Arial" w:hAnsi="Arial" w:cs="Arial"/>
                <w:sz w:val="18"/>
                <w:szCs w:val="18"/>
              </w:rPr>
              <w:t>Count of the number of</w:t>
            </w:r>
            <w:r w:rsidR="00F82910" w:rsidRPr="005A1511">
              <w:rPr>
                <w:rFonts w:ascii="Arial" w:eastAsia="Arial" w:hAnsi="Arial" w:cs="Arial"/>
                <w:sz w:val="18"/>
                <w:szCs w:val="18"/>
              </w:rPr>
              <w:t xml:space="preserve"> Pharmacy First or FP10</w:t>
            </w:r>
            <w:r w:rsidRPr="005A1511">
              <w:rPr>
                <w:rFonts w:ascii="Arial" w:eastAsia="Arial" w:hAnsi="Arial" w:cs="Arial"/>
                <w:sz w:val="18"/>
                <w:szCs w:val="18"/>
              </w:rPr>
              <w:t xml:space="preserve"> items supplied (Table view only)</w:t>
            </w:r>
          </w:p>
          <w:p w14:paraId="2632CEF9" w14:textId="77777777" w:rsidR="00A6600C" w:rsidRPr="005A1511" w:rsidRDefault="00A6600C" w:rsidP="00A6600C">
            <w:pPr>
              <w:spacing w:after="0" w:line="240" w:lineRule="auto"/>
              <w:rPr>
                <w:rFonts w:ascii="Arial" w:eastAsia="Arial" w:hAnsi="Arial" w:cs="Arial"/>
                <w:sz w:val="18"/>
                <w:szCs w:val="18"/>
              </w:rPr>
            </w:pPr>
          </w:p>
          <w:p w14:paraId="063AEAA5" w14:textId="60706C62" w:rsidR="00A6600C" w:rsidRPr="005A1511" w:rsidRDefault="00A6600C" w:rsidP="00A6600C">
            <w:pPr>
              <w:spacing w:after="0" w:line="240" w:lineRule="auto"/>
              <w:rPr>
                <w:rFonts w:ascii="Arial" w:eastAsia="Arial" w:hAnsi="Arial" w:cs="Arial"/>
                <w:sz w:val="18"/>
                <w:szCs w:val="18"/>
              </w:rPr>
            </w:pPr>
            <w:r w:rsidRPr="005A1511">
              <w:rPr>
                <w:rFonts w:ascii="Arial" w:eastAsia="Arial" w:hAnsi="Arial" w:cs="Arial"/>
                <w:sz w:val="18"/>
                <w:szCs w:val="18"/>
              </w:rPr>
              <w:t xml:space="preserve">The data is further broken down by 5-year age band in each graph.  Where no data exists for a given age band, that age band will not appear on the horizontal axis of the graphs.  </w:t>
            </w:r>
            <w:r w:rsidR="00A032BA" w:rsidRPr="005A1511">
              <w:rPr>
                <w:rFonts w:ascii="Arial" w:eastAsia="Arial" w:hAnsi="Arial" w:cs="Arial"/>
                <w:sz w:val="18"/>
                <w:szCs w:val="18"/>
              </w:rPr>
              <w:t xml:space="preserve">The Patient Group Direction for the pathway states that patients in scope should be aged between 16 and 64, but as the dashboard reports in discrete 5-year age bands, the lower limit for the numerators </w:t>
            </w:r>
            <w:r w:rsidR="00092BD4" w:rsidRPr="005A1511">
              <w:rPr>
                <w:rFonts w:ascii="Arial" w:eastAsia="Arial" w:hAnsi="Arial" w:cs="Arial"/>
                <w:sz w:val="18"/>
                <w:szCs w:val="18"/>
              </w:rPr>
              <w:t xml:space="preserve">is 15-19.  This means that any </w:t>
            </w:r>
            <w:r w:rsidR="000510D8" w:rsidRPr="005A1511">
              <w:rPr>
                <w:rFonts w:ascii="Arial" w:eastAsia="Arial" w:hAnsi="Arial" w:cs="Arial"/>
                <w:sz w:val="18"/>
                <w:szCs w:val="18"/>
              </w:rPr>
              <w:t xml:space="preserve">out-of-scope supply </w:t>
            </w:r>
            <w:r w:rsidR="000510D8" w:rsidRPr="005A1511">
              <w:rPr>
                <w:rFonts w:ascii="Arial" w:eastAsia="Arial" w:hAnsi="Arial" w:cs="Arial"/>
                <w:sz w:val="18"/>
                <w:szCs w:val="18"/>
              </w:rPr>
              <w:t>or FP10 prescribing to</w:t>
            </w:r>
            <w:r w:rsidR="000510D8" w:rsidRPr="005A1511">
              <w:rPr>
                <w:rFonts w:ascii="Arial" w:eastAsia="Arial" w:hAnsi="Arial" w:cs="Arial"/>
                <w:sz w:val="18"/>
                <w:szCs w:val="18"/>
              </w:rPr>
              <w:t xml:space="preserve"> patients aged 15 will be included in the data.</w:t>
            </w:r>
          </w:p>
          <w:p w14:paraId="17D1E847" w14:textId="77777777" w:rsidR="000C72D8" w:rsidRPr="005A1511" w:rsidRDefault="000C72D8" w:rsidP="000C72D8">
            <w:pPr>
              <w:spacing w:after="0" w:line="240" w:lineRule="auto"/>
              <w:rPr>
                <w:rFonts w:ascii="Arial" w:eastAsia="Arial" w:hAnsi="Arial" w:cs="Arial"/>
                <w:color w:val="auto"/>
                <w:sz w:val="18"/>
                <w:szCs w:val="18"/>
              </w:rPr>
            </w:pPr>
          </w:p>
          <w:p w14:paraId="2DA70AD6" w14:textId="77777777" w:rsidR="000C72D8" w:rsidRPr="005A1511" w:rsidRDefault="000C72D8" w:rsidP="000C72D8">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Organisation levels are derived from the GP practice of the patient receiving treatment under the selected pathway and month, based on the practice ODS code as captured in the Pharmacy First assessment.</w:t>
            </w:r>
          </w:p>
          <w:p w14:paraId="3D00A8A8" w14:textId="18190B70" w:rsidR="00D500FA" w:rsidRPr="005A1511" w:rsidRDefault="00D500FA" w:rsidP="00427030">
            <w:pPr>
              <w:spacing w:after="0" w:line="240" w:lineRule="auto"/>
              <w:jc w:val="both"/>
              <w:rPr>
                <w:rFonts w:ascii="Arial" w:eastAsia="Arial" w:hAnsi="Arial" w:cs="Arial"/>
                <w:color w:val="auto"/>
                <w:sz w:val="18"/>
                <w:szCs w:val="18"/>
              </w:rPr>
            </w:pPr>
          </w:p>
        </w:tc>
      </w:tr>
      <w:tr w:rsidR="008A3DD1" w:rsidRPr="005A1511" w14:paraId="22E6AE33" w14:textId="77777777" w:rsidTr="00427030">
        <w:trPr>
          <w:trHeight w:val="763"/>
        </w:trPr>
        <w:tc>
          <w:tcPr>
            <w:tcW w:w="534" w:type="dxa"/>
            <w:shd w:val="clear" w:color="auto" w:fill="auto"/>
          </w:tcPr>
          <w:p w14:paraId="5762A7B1" w14:textId="77777777" w:rsidR="00D500FA" w:rsidRPr="005A1511" w:rsidRDefault="00D500FA" w:rsidP="00427030">
            <w:pPr>
              <w:rPr>
                <w:rFonts w:ascii="Arial" w:eastAsia="Arial" w:hAnsi="Arial" w:cs="Arial"/>
                <w:color w:val="auto"/>
                <w:sz w:val="18"/>
                <w:szCs w:val="18"/>
              </w:rPr>
            </w:pPr>
            <w:r w:rsidRPr="005A1511">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7EC805AB" w14:textId="77777777" w:rsidR="00D500FA" w:rsidRPr="005A1511" w:rsidRDefault="00D500FA" w:rsidP="00427030">
            <w:pPr>
              <w:rPr>
                <w:rFonts w:ascii="Arial" w:eastAsia="Arial" w:hAnsi="Arial" w:cs="Arial"/>
                <w:color w:val="auto"/>
                <w:sz w:val="18"/>
                <w:szCs w:val="18"/>
              </w:rPr>
            </w:pPr>
            <w:r w:rsidRPr="005A1511">
              <w:rPr>
                <w:rFonts w:ascii="Arial" w:eastAsia="Arial" w:hAnsi="Arial" w:cs="Arial"/>
                <w:b/>
                <w:color w:val="auto"/>
                <w:sz w:val="18"/>
                <w:szCs w:val="18"/>
              </w:rPr>
              <w:t>Numerator</w:t>
            </w:r>
          </w:p>
        </w:tc>
        <w:tc>
          <w:tcPr>
            <w:tcW w:w="7938" w:type="dxa"/>
          </w:tcPr>
          <w:p w14:paraId="1E5AC737" w14:textId="675B3EEC" w:rsidR="00F91EFA" w:rsidRPr="005A1511" w:rsidRDefault="00947406" w:rsidP="00F91EFA">
            <w:pPr>
              <w:spacing w:after="0"/>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There are two numerators displayed in this comparator:</w:t>
            </w:r>
          </w:p>
          <w:p w14:paraId="6BD56411" w14:textId="77777777" w:rsidR="00947406" w:rsidRPr="005A1511" w:rsidRDefault="00947406" w:rsidP="00F91EFA">
            <w:pPr>
              <w:spacing w:after="0"/>
              <w:rPr>
                <w:rFonts w:ascii="Arial" w:hAnsi="Arial" w:cs="Arial"/>
                <w:color w:val="auto"/>
                <w:sz w:val="18"/>
                <w:szCs w:val="21"/>
                <w:shd w:val="clear" w:color="auto" w:fill="FFFFFF"/>
              </w:rPr>
            </w:pPr>
          </w:p>
          <w:p w14:paraId="503A66C8" w14:textId="2B062828" w:rsidR="00947406" w:rsidRPr="005A1511" w:rsidRDefault="00947406" w:rsidP="00FE0A59">
            <w:pPr>
              <w:pStyle w:val="ListParagraph"/>
              <w:numPr>
                <w:ilvl w:val="0"/>
                <w:numId w:val="21"/>
              </w:numPr>
              <w:spacing w:after="0"/>
              <w:rPr>
                <w:rFonts w:ascii="Arial" w:eastAsia="Arial" w:hAnsi="Arial" w:cs="Arial"/>
                <w:sz w:val="18"/>
                <w:szCs w:val="18"/>
              </w:rPr>
            </w:pPr>
            <w:r w:rsidRPr="005A1511">
              <w:rPr>
                <w:rFonts w:ascii="Arial" w:eastAsia="Arial" w:hAnsi="Arial" w:cs="Arial"/>
                <w:sz w:val="18"/>
                <w:szCs w:val="18"/>
              </w:rPr>
              <w:t xml:space="preserve">The total number of unique female patients </w:t>
            </w:r>
            <w:r w:rsidR="00082FF4" w:rsidRPr="005A1511">
              <w:rPr>
                <w:rFonts w:ascii="Arial" w:eastAsia="Arial" w:hAnsi="Arial" w:cs="Arial"/>
                <w:sz w:val="18"/>
                <w:szCs w:val="18"/>
              </w:rPr>
              <w:t>within the 5-year age bands 15-19 to 60-64</w:t>
            </w:r>
            <w:r w:rsidR="00BB11B3" w:rsidRPr="005A1511">
              <w:rPr>
                <w:rFonts w:ascii="Arial" w:eastAsia="Arial" w:hAnsi="Arial" w:cs="Arial"/>
                <w:sz w:val="18"/>
                <w:szCs w:val="18"/>
              </w:rPr>
              <w:t>,</w:t>
            </w:r>
            <w:r w:rsidRPr="005A1511">
              <w:rPr>
                <w:rFonts w:ascii="Arial" w:eastAsia="Arial" w:hAnsi="Arial" w:cs="Arial"/>
                <w:sz w:val="18"/>
                <w:szCs w:val="18"/>
              </w:rPr>
              <w:t xml:space="preserve"> who have been treated under the Uncomplicated UTI Pharmacy First clinical pathway, and have been supplied with nitrofurantoin 100mg modified-release capsules (generic or branded)</w:t>
            </w:r>
            <w:r w:rsidR="00996F74" w:rsidRPr="005A1511">
              <w:rPr>
                <w:rFonts w:ascii="Arial" w:eastAsia="Arial" w:hAnsi="Arial" w:cs="Arial"/>
                <w:sz w:val="18"/>
                <w:szCs w:val="18"/>
              </w:rPr>
              <w:t>.</w:t>
            </w:r>
            <w:r w:rsidRPr="005A1511">
              <w:rPr>
                <w:rFonts w:ascii="Arial" w:eastAsia="Arial" w:hAnsi="Arial" w:cs="Arial"/>
                <w:sz w:val="18"/>
                <w:szCs w:val="18"/>
              </w:rPr>
              <w:t xml:space="preserve"> </w:t>
            </w:r>
          </w:p>
          <w:p w14:paraId="0DC24A86" w14:textId="77777777" w:rsidR="00111C50" w:rsidRPr="005A1511" w:rsidRDefault="00111C50" w:rsidP="00111C50">
            <w:pPr>
              <w:pStyle w:val="ListParagraph"/>
              <w:spacing w:after="0"/>
              <w:rPr>
                <w:rFonts w:ascii="Arial" w:eastAsia="Arial" w:hAnsi="Arial" w:cs="Arial"/>
                <w:sz w:val="18"/>
                <w:szCs w:val="18"/>
              </w:rPr>
            </w:pPr>
          </w:p>
          <w:p w14:paraId="5D77C95F" w14:textId="61AF4BF5" w:rsidR="00947406" w:rsidRPr="005A1511" w:rsidRDefault="00947406" w:rsidP="00F5427B">
            <w:pPr>
              <w:pStyle w:val="ListParagraph"/>
              <w:numPr>
                <w:ilvl w:val="0"/>
                <w:numId w:val="21"/>
              </w:numPr>
              <w:spacing w:after="0"/>
              <w:rPr>
                <w:rFonts w:ascii="Arial" w:eastAsia="Arial" w:hAnsi="Arial" w:cs="Arial"/>
                <w:sz w:val="18"/>
                <w:szCs w:val="18"/>
              </w:rPr>
            </w:pPr>
            <w:r w:rsidRPr="005A1511">
              <w:rPr>
                <w:rFonts w:ascii="Arial" w:eastAsia="Arial" w:hAnsi="Arial" w:cs="Arial"/>
                <w:sz w:val="18"/>
                <w:szCs w:val="18"/>
              </w:rPr>
              <w:t xml:space="preserve">The total number of unique female patients </w:t>
            </w:r>
            <w:r w:rsidR="00BB11B3" w:rsidRPr="005A1511">
              <w:rPr>
                <w:rFonts w:ascii="Arial" w:eastAsia="Arial" w:hAnsi="Arial" w:cs="Arial"/>
                <w:sz w:val="18"/>
                <w:szCs w:val="18"/>
              </w:rPr>
              <w:t>within the 5-year age bands 15-19 to 60-64,</w:t>
            </w:r>
            <w:r w:rsidR="00BB11B3" w:rsidRPr="005A1511">
              <w:rPr>
                <w:rFonts w:ascii="Arial" w:eastAsia="Arial" w:hAnsi="Arial" w:cs="Arial"/>
                <w:sz w:val="18"/>
                <w:szCs w:val="18"/>
              </w:rPr>
              <w:t xml:space="preserve"> </w:t>
            </w:r>
            <w:r w:rsidRPr="005A1511">
              <w:rPr>
                <w:rFonts w:ascii="Arial" w:eastAsia="Arial" w:hAnsi="Arial" w:cs="Arial"/>
                <w:sz w:val="18"/>
                <w:szCs w:val="18"/>
              </w:rPr>
              <w:t>who have been prescribed nitrofurantoin 100mg modified-release capsules (generic or branded) with a quantity of 6 on an FP10 prescription</w:t>
            </w:r>
          </w:p>
          <w:p w14:paraId="5A8E5F31" w14:textId="21E5EE51" w:rsidR="00F5427B" w:rsidRPr="005A1511" w:rsidRDefault="00F5427B" w:rsidP="00427030">
            <w:pPr>
              <w:spacing w:after="0"/>
              <w:rPr>
                <w:rFonts w:ascii="Arial" w:eastAsia="Arial" w:hAnsi="Arial" w:cs="Arial"/>
                <w:color w:val="auto"/>
                <w:sz w:val="18"/>
                <w:szCs w:val="18"/>
              </w:rPr>
            </w:pPr>
          </w:p>
        </w:tc>
      </w:tr>
      <w:tr w:rsidR="008A3DD1" w:rsidRPr="005A1511" w14:paraId="7DD36B00" w14:textId="77777777" w:rsidTr="00427030">
        <w:trPr>
          <w:trHeight w:val="336"/>
        </w:trPr>
        <w:tc>
          <w:tcPr>
            <w:tcW w:w="534" w:type="dxa"/>
            <w:shd w:val="clear" w:color="auto" w:fill="auto"/>
          </w:tcPr>
          <w:p w14:paraId="06B59460" w14:textId="77777777" w:rsidR="00D500FA" w:rsidRPr="005A1511" w:rsidRDefault="00D500FA" w:rsidP="00427030">
            <w:pPr>
              <w:spacing w:after="0"/>
              <w:jc w:val="center"/>
              <w:rPr>
                <w:rFonts w:ascii="Arial" w:eastAsia="Arial" w:hAnsi="Arial" w:cs="Arial"/>
                <w:color w:val="auto"/>
                <w:sz w:val="18"/>
                <w:szCs w:val="18"/>
              </w:rPr>
            </w:pPr>
            <w:r w:rsidRPr="005A1511">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7F09E30A" w14:textId="77777777" w:rsidR="00D500FA" w:rsidRPr="005A1511" w:rsidRDefault="00D500FA" w:rsidP="00427030">
            <w:pPr>
              <w:rPr>
                <w:rFonts w:ascii="Arial" w:eastAsia="Arial" w:hAnsi="Arial" w:cs="Arial"/>
                <w:color w:val="auto"/>
                <w:sz w:val="18"/>
                <w:szCs w:val="18"/>
              </w:rPr>
            </w:pPr>
            <w:r w:rsidRPr="005A1511">
              <w:rPr>
                <w:rFonts w:ascii="Arial" w:eastAsia="Arial" w:hAnsi="Arial" w:cs="Arial"/>
                <w:b/>
                <w:color w:val="auto"/>
                <w:sz w:val="18"/>
                <w:szCs w:val="18"/>
              </w:rPr>
              <w:t>Denominator</w:t>
            </w:r>
          </w:p>
        </w:tc>
        <w:tc>
          <w:tcPr>
            <w:tcW w:w="7938" w:type="dxa"/>
          </w:tcPr>
          <w:p w14:paraId="3957F15E" w14:textId="77777777" w:rsidR="00D500FA" w:rsidRPr="005A1511" w:rsidRDefault="00D500FA" w:rsidP="00427030">
            <w:pPr>
              <w:spacing w:after="0"/>
              <w:rPr>
                <w:rFonts w:ascii="Arial" w:eastAsia="Arial" w:hAnsi="Arial" w:cs="Arial"/>
                <w:color w:val="auto"/>
                <w:sz w:val="18"/>
                <w:szCs w:val="18"/>
              </w:rPr>
            </w:pPr>
            <w:r w:rsidRPr="005A1511">
              <w:rPr>
                <w:rFonts w:ascii="Arial" w:eastAsia="Arial" w:hAnsi="Arial" w:cs="Arial"/>
                <w:color w:val="auto"/>
                <w:sz w:val="18"/>
                <w:szCs w:val="18"/>
              </w:rPr>
              <w:t>None.</w:t>
            </w:r>
          </w:p>
        </w:tc>
      </w:tr>
      <w:tr w:rsidR="008A3DD1" w:rsidRPr="005A1511" w14:paraId="01A05E17" w14:textId="77777777" w:rsidTr="00427030">
        <w:trPr>
          <w:trHeight w:val="520"/>
        </w:trPr>
        <w:tc>
          <w:tcPr>
            <w:tcW w:w="534" w:type="dxa"/>
            <w:shd w:val="clear" w:color="auto" w:fill="auto"/>
          </w:tcPr>
          <w:p w14:paraId="32BCE69F" w14:textId="77777777" w:rsidR="00D500FA" w:rsidRPr="005A1511" w:rsidRDefault="00D500FA" w:rsidP="00427030">
            <w:pPr>
              <w:rPr>
                <w:rFonts w:ascii="Arial" w:eastAsia="Arial" w:hAnsi="Arial" w:cs="Arial"/>
                <w:color w:val="auto"/>
                <w:sz w:val="18"/>
                <w:szCs w:val="18"/>
              </w:rPr>
            </w:pPr>
            <w:r w:rsidRPr="005A1511">
              <w:rPr>
                <w:rFonts w:ascii="Arial" w:eastAsia="Arial" w:hAnsi="Arial" w:cs="Arial"/>
                <w:color w:val="auto"/>
                <w:sz w:val="18"/>
                <w:szCs w:val="18"/>
              </w:rPr>
              <w:t>1.6</w:t>
            </w:r>
          </w:p>
        </w:tc>
        <w:tc>
          <w:tcPr>
            <w:tcW w:w="1417" w:type="dxa"/>
            <w:tcBorders>
              <w:top w:val="single" w:sz="4" w:space="0" w:color="000000"/>
            </w:tcBorders>
            <w:shd w:val="clear" w:color="auto" w:fill="D9D9D9"/>
          </w:tcPr>
          <w:p w14:paraId="13E832E9" w14:textId="77777777" w:rsidR="00D500FA" w:rsidRPr="005A1511" w:rsidRDefault="00D500FA" w:rsidP="00427030">
            <w:pPr>
              <w:rPr>
                <w:rFonts w:ascii="Arial" w:eastAsia="Arial" w:hAnsi="Arial" w:cs="Arial"/>
                <w:color w:val="auto"/>
                <w:sz w:val="18"/>
                <w:szCs w:val="18"/>
              </w:rPr>
            </w:pPr>
            <w:r w:rsidRPr="005A1511">
              <w:rPr>
                <w:rFonts w:ascii="Arial" w:eastAsia="Arial" w:hAnsi="Arial" w:cs="Arial"/>
                <w:b/>
                <w:color w:val="auto"/>
                <w:sz w:val="18"/>
                <w:szCs w:val="18"/>
              </w:rPr>
              <w:t>Methodology</w:t>
            </w:r>
          </w:p>
        </w:tc>
        <w:tc>
          <w:tcPr>
            <w:tcW w:w="7938" w:type="dxa"/>
          </w:tcPr>
          <w:p w14:paraId="4DF5E39E" w14:textId="77777777" w:rsidR="00D500FA" w:rsidRPr="005A1511" w:rsidRDefault="00D500FA" w:rsidP="0042703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Data is presented as numerator only.</w:t>
            </w:r>
          </w:p>
          <w:p w14:paraId="6D2A0F78" w14:textId="77777777" w:rsidR="00D500FA" w:rsidRPr="005A1511" w:rsidRDefault="00D500FA" w:rsidP="00427030">
            <w:pPr>
              <w:spacing w:after="0"/>
              <w:rPr>
                <w:rFonts w:ascii="Arial" w:eastAsia="Arial" w:hAnsi="Arial" w:cs="Arial"/>
                <w:color w:val="auto"/>
                <w:sz w:val="18"/>
                <w:szCs w:val="18"/>
              </w:rPr>
            </w:pPr>
          </w:p>
        </w:tc>
      </w:tr>
      <w:tr w:rsidR="00FC4AB9" w:rsidRPr="005A1511" w14:paraId="3549A271" w14:textId="77777777" w:rsidTr="00427030">
        <w:trPr>
          <w:trHeight w:val="520"/>
        </w:trPr>
        <w:tc>
          <w:tcPr>
            <w:tcW w:w="534" w:type="dxa"/>
            <w:shd w:val="clear" w:color="auto" w:fill="auto"/>
          </w:tcPr>
          <w:p w14:paraId="22855811" w14:textId="5DCD4275" w:rsidR="00FC4AB9" w:rsidRPr="005A1511" w:rsidRDefault="00FC4AB9" w:rsidP="00427030">
            <w:pPr>
              <w:rPr>
                <w:rFonts w:ascii="Arial" w:eastAsia="Arial" w:hAnsi="Arial" w:cs="Arial"/>
                <w:color w:val="auto"/>
                <w:sz w:val="18"/>
                <w:szCs w:val="18"/>
              </w:rPr>
            </w:pPr>
            <w:r w:rsidRPr="005A1511">
              <w:rPr>
                <w:rFonts w:ascii="Arial" w:eastAsia="Arial" w:hAnsi="Arial" w:cs="Arial"/>
                <w:color w:val="auto"/>
                <w:sz w:val="18"/>
                <w:szCs w:val="18"/>
              </w:rPr>
              <w:lastRenderedPageBreak/>
              <w:t>1.7</w:t>
            </w:r>
          </w:p>
        </w:tc>
        <w:tc>
          <w:tcPr>
            <w:tcW w:w="1417" w:type="dxa"/>
            <w:tcBorders>
              <w:top w:val="single" w:sz="4" w:space="0" w:color="000000"/>
            </w:tcBorders>
            <w:shd w:val="clear" w:color="auto" w:fill="D9D9D9"/>
          </w:tcPr>
          <w:p w14:paraId="70904BF4" w14:textId="53A5B995" w:rsidR="00FC4AB9" w:rsidRPr="005A1511" w:rsidRDefault="00FC4AB9" w:rsidP="00427030">
            <w:pPr>
              <w:rPr>
                <w:rFonts w:ascii="Arial" w:eastAsia="Arial" w:hAnsi="Arial" w:cs="Arial"/>
                <w:b/>
                <w:color w:val="auto"/>
                <w:sz w:val="18"/>
                <w:szCs w:val="18"/>
              </w:rPr>
            </w:pPr>
            <w:r w:rsidRPr="005A1511">
              <w:rPr>
                <w:rFonts w:ascii="Arial" w:eastAsia="Arial" w:hAnsi="Arial" w:cs="Arial"/>
                <w:b/>
                <w:color w:val="auto"/>
                <w:sz w:val="18"/>
                <w:szCs w:val="18"/>
              </w:rPr>
              <w:t>Medicines</w:t>
            </w:r>
          </w:p>
        </w:tc>
        <w:tc>
          <w:tcPr>
            <w:tcW w:w="7938" w:type="dxa"/>
          </w:tcPr>
          <w:p w14:paraId="6B1A8E02" w14:textId="77777777" w:rsidR="00FC4AB9" w:rsidRPr="005A1511" w:rsidRDefault="00607484" w:rsidP="00427030">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For this comparator, the data is limited to the Pharmacy First supply and FP10 prescribing of:</w:t>
            </w:r>
          </w:p>
          <w:p w14:paraId="0A9851D5" w14:textId="77777777" w:rsidR="00607484" w:rsidRPr="005A1511" w:rsidRDefault="00607484" w:rsidP="00427030">
            <w:pPr>
              <w:spacing w:after="0" w:line="240" w:lineRule="auto"/>
              <w:rPr>
                <w:rFonts w:ascii="Arial" w:eastAsia="Arial" w:hAnsi="Arial" w:cs="Arial"/>
                <w:color w:val="auto"/>
                <w:sz w:val="18"/>
                <w:szCs w:val="18"/>
              </w:rPr>
            </w:pPr>
          </w:p>
          <w:p w14:paraId="7F0C7F8B" w14:textId="22E41B4A" w:rsidR="00AC469F" w:rsidRPr="005A1511" w:rsidRDefault="00AC469F" w:rsidP="00AC469F">
            <w:pPr>
              <w:pStyle w:val="ListParagraph"/>
              <w:numPr>
                <w:ilvl w:val="0"/>
                <w:numId w:val="22"/>
              </w:numPr>
              <w:spacing w:after="0" w:line="240" w:lineRule="auto"/>
              <w:rPr>
                <w:rFonts w:ascii="Arial" w:eastAsia="Arial" w:hAnsi="Arial" w:cs="Arial"/>
                <w:sz w:val="18"/>
                <w:szCs w:val="18"/>
              </w:rPr>
            </w:pPr>
            <w:r w:rsidRPr="005A1511">
              <w:rPr>
                <w:rFonts w:ascii="Arial" w:eastAsia="Arial" w:hAnsi="Arial" w:cs="Arial"/>
                <w:sz w:val="18"/>
                <w:szCs w:val="18"/>
              </w:rPr>
              <w:t>Nitrofurantoin 100mg modified-release capsules (BNF Code 0501130R0AAAGAG)</w:t>
            </w:r>
          </w:p>
          <w:p w14:paraId="737BF100" w14:textId="77777777" w:rsidR="00607484" w:rsidRPr="005A1511" w:rsidRDefault="00AC469F" w:rsidP="00AC469F">
            <w:pPr>
              <w:pStyle w:val="ListParagraph"/>
              <w:numPr>
                <w:ilvl w:val="0"/>
                <w:numId w:val="22"/>
              </w:numPr>
              <w:spacing w:after="0" w:line="240" w:lineRule="auto"/>
              <w:rPr>
                <w:rFonts w:ascii="Arial" w:eastAsia="Arial" w:hAnsi="Arial" w:cs="Arial"/>
                <w:sz w:val="18"/>
                <w:szCs w:val="18"/>
              </w:rPr>
            </w:pPr>
            <w:r w:rsidRPr="005A1511">
              <w:rPr>
                <w:rFonts w:ascii="Arial" w:eastAsia="Arial" w:hAnsi="Arial" w:cs="Arial"/>
                <w:sz w:val="18"/>
                <w:szCs w:val="18"/>
              </w:rPr>
              <w:t xml:space="preserve">Macrobid 100mg modified-release capsules (BNF Code 0501130R0BGAAAG) </w:t>
            </w:r>
          </w:p>
          <w:p w14:paraId="6ABED04A" w14:textId="519507B6" w:rsidR="00AC469F" w:rsidRPr="005A1511" w:rsidRDefault="00AC469F" w:rsidP="00AC469F">
            <w:pPr>
              <w:pStyle w:val="ListParagraph"/>
              <w:spacing w:after="0" w:line="240" w:lineRule="auto"/>
              <w:rPr>
                <w:rFonts w:ascii="Arial" w:eastAsia="Arial" w:hAnsi="Arial" w:cs="Arial"/>
                <w:sz w:val="18"/>
                <w:szCs w:val="18"/>
              </w:rPr>
            </w:pPr>
          </w:p>
        </w:tc>
      </w:tr>
      <w:tr w:rsidR="0040431B" w:rsidRPr="005A1511" w14:paraId="2575E96E" w14:textId="77777777" w:rsidTr="00427030">
        <w:trPr>
          <w:trHeight w:val="260"/>
        </w:trPr>
        <w:tc>
          <w:tcPr>
            <w:tcW w:w="9889" w:type="dxa"/>
            <w:gridSpan w:val="3"/>
            <w:shd w:val="clear" w:color="auto" w:fill="D9D9D9"/>
          </w:tcPr>
          <w:p w14:paraId="004656A0" w14:textId="77777777" w:rsidR="00D500FA" w:rsidRPr="005A1511" w:rsidRDefault="00D500FA" w:rsidP="00427030">
            <w:pPr>
              <w:tabs>
                <w:tab w:val="left" w:pos="2257"/>
              </w:tabs>
              <w:spacing w:after="0"/>
              <w:rPr>
                <w:rFonts w:ascii="Arial" w:eastAsia="Arial" w:hAnsi="Arial" w:cs="Arial"/>
                <w:color w:val="auto"/>
                <w:sz w:val="18"/>
                <w:szCs w:val="18"/>
              </w:rPr>
            </w:pPr>
            <w:r w:rsidRPr="005A1511">
              <w:rPr>
                <w:rFonts w:ascii="Arial" w:eastAsia="Arial" w:hAnsi="Arial" w:cs="Arial"/>
                <w:b/>
                <w:color w:val="auto"/>
                <w:sz w:val="18"/>
                <w:szCs w:val="18"/>
              </w:rPr>
              <w:t>Section 2: Rationale</w:t>
            </w:r>
            <w:r w:rsidRPr="005A1511">
              <w:rPr>
                <w:rFonts w:ascii="Arial" w:eastAsia="Arial" w:hAnsi="Arial" w:cs="Arial"/>
                <w:b/>
                <w:color w:val="auto"/>
                <w:sz w:val="18"/>
                <w:szCs w:val="18"/>
              </w:rPr>
              <w:tab/>
            </w:r>
          </w:p>
        </w:tc>
      </w:tr>
      <w:tr w:rsidR="0040431B" w:rsidRPr="005A1511" w14:paraId="470BA15E" w14:textId="77777777" w:rsidTr="00427030">
        <w:trPr>
          <w:trHeight w:val="880"/>
        </w:trPr>
        <w:tc>
          <w:tcPr>
            <w:tcW w:w="534" w:type="dxa"/>
            <w:shd w:val="clear" w:color="auto" w:fill="auto"/>
          </w:tcPr>
          <w:p w14:paraId="3788F3DE" w14:textId="77777777" w:rsidR="00D500FA" w:rsidRPr="005A1511" w:rsidRDefault="00D500FA" w:rsidP="00427030">
            <w:pPr>
              <w:rPr>
                <w:rFonts w:ascii="Arial" w:eastAsia="Arial" w:hAnsi="Arial" w:cs="Arial"/>
                <w:color w:val="auto"/>
                <w:sz w:val="18"/>
                <w:szCs w:val="18"/>
              </w:rPr>
            </w:pPr>
            <w:r w:rsidRPr="005A1511">
              <w:rPr>
                <w:rFonts w:ascii="Arial" w:eastAsia="Arial" w:hAnsi="Arial" w:cs="Arial"/>
                <w:color w:val="auto"/>
                <w:sz w:val="18"/>
                <w:szCs w:val="18"/>
              </w:rPr>
              <w:t>2.1</w:t>
            </w:r>
          </w:p>
          <w:p w14:paraId="1C0063FE" w14:textId="77777777" w:rsidR="00D500FA" w:rsidRPr="005A1511" w:rsidRDefault="00D500FA" w:rsidP="00427030">
            <w:pPr>
              <w:rPr>
                <w:rFonts w:ascii="Arial" w:eastAsia="Arial" w:hAnsi="Arial" w:cs="Arial"/>
                <w:color w:val="auto"/>
                <w:sz w:val="18"/>
                <w:szCs w:val="18"/>
              </w:rPr>
            </w:pPr>
          </w:p>
        </w:tc>
        <w:tc>
          <w:tcPr>
            <w:tcW w:w="1417" w:type="dxa"/>
            <w:tcBorders>
              <w:bottom w:val="single" w:sz="4" w:space="0" w:color="000000"/>
            </w:tcBorders>
            <w:shd w:val="clear" w:color="auto" w:fill="D9D9D9"/>
          </w:tcPr>
          <w:p w14:paraId="5608C0AB" w14:textId="77777777" w:rsidR="00D500FA" w:rsidRPr="005A1511" w:rsidRDefault="00D500FA" w:rsidP="00427030">
            <w:pPr>
              <w:rPr>
                <w:rFonts w:ascii="Arial" w:eastAsia="Arial" w:hAnsi="Arial" w:cs="Arial"/>
                <w:color w:val="auto"/>
                <w:sz w:val="18"/>
                <w:szCs w:val="18"/>
              </w:rPr>
            </w:pPr>
            <w:r w:rsidRPr="005A1511">
              <w:rPr>
                <w:rFonts w:ascii="Arial" w:eastAsia="Arial" w:hAnsi="Arial" w:cs="Arial"/>
                <w:b/>
                <w:color w:val="auto"/>
                <w:sz w:val="18"/>
                <w:szCs w:val="18"/>
              </w:rPr>
              <w:t>Purpose and Limitations</w:t>
            </w:r>
          </w:p>
        </w:tc>
        <w:tc>
          <w:tcPr>
            <w:tcW w:w="7938" w:type="dxa"/>
          </w:tcPr>
          <w:p w14:paraId="77AFD947" w14:textId="77777777" w:rsidR="00BB11B3" w:rsidRPr="005A1511" w:rsidRDefault="00BB11B3" w:rsidP="00BB11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The purpose of this dashboard is to help support clinicians and ICBs monitor access to infection pathways and monitor exposure to medicines including antimicrobials for defined populations. </w:t>
            </w:r>
          </w:p>
          <w:p w14:paraId="302F7FAA" w14:textId="77777777" w:rsidR="00BB11B3" w:rsidRPr="005A1511" w:rsidRDefault="00BB11B3" w:rsidP="00BB11B3">
            <w:pPr>
              <w:spacing w:after="0" w:line="240" w:lineRule="auto"/>
              <w:rPr>
                <w:rFonts w:ascii="Arial" w:eastAsia="Arial" w:hAnsi="Arial" w:cs="Arial"/>
                <w:color w:val="auto"/>
                <w:sz w:val="18"/>
                <w:szCs w:val="18"/>
              </w:rPr>
            </w:pPr>
          </w:p>
          <w:p w14:paraId="294174CD" w14:textId="77777777" w:rsidR="00BB11B3" w:rsidRPr="005A1511" w:rsidRDefault="00BB11B3" w:rsidP="00BB11B3">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To enable this, patient consultation data has been attributed to the ICB with which the patient is currently registered at a General Practice, based on the General Practice ODS code as reported in the Pharmacy First consultation data set. </w:t>
            </w:r>
          </w:p>
          <w:p w14:paraId="37723496" w14:textId="77777777" w:rsidR="006E46DD" w:rsidRPr="005A1511" w:rsidRDefault="006E46DD" w:rsidP="006E46DD">
            <w:pPr>
              <w:spacing w:after="0" w:line="240" w:lineRule="auto"/>
              <w:rPr>
                <w:rFonts w:ascii="Arial" w:eastAsia="Arial" w:hAnsi="Arial" w:cs="Arial"/>
                <w:color w:val="auto"/>
                <w:sz w:val="18"/>
                <w:szCs w:val="18"/>
              </w:rPr>
            </w:pPr>
          </w:p>
          <w:p w14:paraId="33582AB2" w14:textId="6775F6FB" w:rsidR="006E46DD" w:rsidRPr="005A1511" w:rsidRDefault="006E46DD" w:rsidP="006E46DD">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This comparator allows </w:t>
            </w:r>
            <w:r w:rsidR="00BB11B3" w:rsidRPr="005A1511">
              <w:rPr>
                <w:rFonts w:ascii="Arial" w:eastAsia="Arial" w:hAnsi="Arial" w:cs="Arial"/>
                <w:color w:val="auto"/>
                <w:sz w:val="18"/>
                <w:szCs w:val="18"/>
              </w:rPr>
              <w:t>ICBs</w:t>
            </w:r>
            <w:r w:rsidRPr="005A1511">
              <w:rPr>
                <w:rFonts w:ascii="Arial" w:eastAsia="Arial" w:hAnsi="Arial" w:cs="Arial"/>
                <w:color w:val="auto"/>
                <w:sz w:val="18"/>
                <w:szCs w:val="18"/>
              </w:rPr>
              <w:t xml:space="preserve"> to identify the use of Nitrofurantoin MR 100mg by female patients aged 1</w:t>
            </w:r>
            <w:r w:rsidR="00CF043B" w:rsidRPr="005A1511">
              <w:rPr>
                <w:rFonts w:ascii="Arial" w:eastAsia="Arial" w:hAnsi="Arial" w:cs="Arial"/>
                <w:color w:val="auto"/>
                <w:sz w:val="18"/>
                <w:szCs w:val="18"/>
              </w:rPr>
              <w:t>6</w:t>
            </w:r>
            <w:r w:rsidRPr="005A1511">
              <w:rPr>
                <w:rFonts w:ascii="Arial" w:eastAsia="Arial" w:hAnsi="Arial" w:cs="Arial"/>
                <w:color w:val="auto"/>
                <w:sz w:val="18"/>
                <w:szCs w:val="18"/>
              </w:rPr>
              <w:t xml:space="preserve"> to 64 years by both the usual GP practice pathway and by the Pharmacy First pathway. </w:t>
            </w:r>
          </w:p>
          <w:p w14:paraId="586ABE16" w14:textId="77777777" w:rsidR="006E46DD" w:rsidRPr="005A1511" w:rsidRDefault="006E46DD" w:rsidP="006E46DD">
            <w:pPr>
              <w:spacing w:after="0" w:line="240" w:lineRule="auto"/>
              <w:rPr>
                <w:rFonts w:ascii="Arial" w:eastAsia="Arial" w:hAnsi="Arial" w:cs="Arial"/>
                <w:color w:val="auto"/>
                <w:sz w:val="18"/>
                <w:szCs w:val="18"/>
              </w:rPr>
            </w:pPr>
          </w:p>
          <w:p w14:paraId="120B4084" w14:textId="7B8F6D2D" w:rsidR="006E46DD" w:rsidRPr="005A1511" w:rsidRDefault="006E46DD" w:rsidP="006E46DD">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NHS GP practice prescribing of nitrofurantoin MR 100mg capsules</w:t>
            </w:r>
            <w:r w:rsidR="00BB11B3" w:rsidRPr="005A1511">
              <w:rPr>
                <w:rFonts w:ascii="Arial" w:eastAsia="Arial" w:hAnsi="Arial" w:cs="Arial"/>
                <w:color w:val="auto"/>
                <w:sz w:val="18"/>
                <w:szCs w:val="18"/>
              </w:rPr>
              <w:t xml:space="preserve"> with a </w:t>
            </w:r>
            <w:r w:rsidRPr="005A1511">
              <w:rPr>
                <w:rFonts w:ascii="Arial" w:eastAsia="Arial" w:hAnsi="Arial" w:cs="Arial"/>
                <w:color w:val="auto"/>
                <w:sz w:val="18"/>
                <w:szCs w:val="18"/>
              </w:rPr>
              <w:t>quantity</w:t>
            </w:r>
            <w:r w:rsidR="00BB11B3" w:rsidRPr="005A1511">
              <w:rPr>
                <w:rFonts w:ascii="Arial" w:eastAsia="Arial" w:hAnsi="Arial" w:cs="Arial"/>
                <w:color w:val="auto"/>
                <w:sz w:val="18"/>
                <w:szCs w:val="18"/>
              </w:rPr>
              <w:t xml:space="preserve"> of 6 </w:t>
            </w:r>
            <w:r w:rsidRPr="005A1511">
              <w:rPr>
                <w:rFonts w:ascii="Arial" w:eastAsia="Arial" w:hAnsi="Arial" w:cs="Arial"/>
                <w:color w:val="auto"/>
                <w:sz w:val="18"/>
                <w:szCs w:val="18"/>
              </w:rPr>
              <w:t xml:space="preserve">via FP10 is considered likely to have been prescribed for an uncomplicated UTI, but as FP10 data does not include a clinical indication this </w:t>
            </w:r>
            <w:r w:rsidR="00AA12A5" w:rsidRPr="005A1511">
              <w:rPr>
                <w:rFonts w:ascii="Arial" w:eastAsia="Arial" w:hAnsi="Arial" w:cs="Arial"/>
                <w:color w:val="auto"/>
                <w:sz w:val="18"/>
                <w:szCs w:val="18"/>
              </w:rPr>
              <w:t>cannot</w:t>
            </w:r>
            <w:r w:rsidRPr="005A1511">
              <w:rPr>
                <w:rFonts w:ascii="Arial" w:eastAsia="Arial" w:hAnsi="Arial" w:cs="Arial"/>
                <w:color w:val="auto"/>
                <w:sz w:val="18"/>
                <w:szCs w:val="18"/>
              </w:rPr>
              <w:t xml:space="preserve"> be confirmed.</w:t>
            </w:r>
          </w:p>
          <w:p w14:paraId="54B6B85B" w14:textId="77777777" w:rsidR="006E46DD" w:rsidRPr="005A1511" w:rsidRDefault="006E46DD" w:rsidP="006E46DD">
            <w:pPr>
              <w:spacing w:after="0" w:line="240" w:lineRule="auto"/>
              <w:rPr>
                <w:rFonts w:ascii="Arial" w:eastAsia="Arial" w:hAnsi="Arial" w:cs="Arial"/>
                <w:color w:val="auto"/>
                <w:sz w:val="18"/>
                <w:szCs w:val="18"/>
              </w:rPr>
            </w:pPr>
          </w:p>
          <w:p w14:paraId="00CB61F0" w14:textId="3BEDF034" w:rsidR="006E46DD" w:rsidRPr="005A1511" w:rsidRDefault="006E46DD" w:rsidP="006E46DD">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Note that while the Pharmacy First clinical pathway for suspected uncomplicated UTI can only supply a 3-day course of nitrofurantoin</w:t>
            </w:r>
            <w:r w:rsidR="00AA12A5" w:rsidRPr="005A1511">
              <w:rPr>
                <w:rFonts w:ascii="Arial" w:eastAsia="Arial" w:hAnsi="Arial" w:cs="Arial"/>
                <w:color w:val="auto"/>
                <w:sz w:val="18"/>
                <w:szCs w:val="18"/>
              </w:rPr>
              <w:t>, p</w:t>
            </w:r>
            <w:r w:rsidRPr="005A1511">
              <w:rPr>
                <w:rFonts w:ascii="Arial" w:eastAsia="Arial" w:hAnsi="Arial" w:cs="Arial"/>
                <w:color w:val="auto"/>
                <w:sz w:val="18"/>
                <w:szCs w:val="18"/>
              </w:rPr>
              <w:t>atients consulting other NHS pathways may be supplied or prescribed a different duration nitrofurantoin, and/or a different antibiotic to treat uncomplicated UTI.</w:t>
            </w:r>
          </w:p>
          <w:p w14:paraId="0E1397CC" w14:textId="77777777" w:rsidR="0060437F" w:rsidRPr="005A1511" w:rsidRDefault="0060437F" w:rsidP="006E46DD">
            <w:pPr>
              <w:spacing w:after="0" w:line="240" w:lineRule="auto"/>
              <w:rPr>
                <w:rFonts w:ascii="Arial" w:eastAsia="Arial" w:hAnsi="Arial" w:cs="Arial"/>
                <w:color w:val="auto"/>
                <w:sz w:val="18"/>
                <w:szCs w:val="18"/>
              </w:rPr>
            </w:pPr>
          </w:p>
          <w:p w14:paraId="167F636E" w14:textId="651C63C5" w:rsidR="0060437F" w:rsidRPr="005A1511" w:rsidRDefault="0060437F" w:rsidP="006E46DD">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The Patient Group Direction for the pathway states that </w:t>
            </w:r>
            <w:r w:rsidR="00AB0B33" w:rsidRPr="005A1511">
              <w:rPr>
                <w:rFonts w:ascii="Arial" w:eastAsia="Arial" w:hAnsi="Arial" w:cs="Arial"/>
                <w:color w:val="auto"/>
                <w:sz w:val="18"/>
                <w:szCs w:val="18"/>
              </w:rPr>
              <w:t xml:space="preserve">the supplied quantity of nitrofurantoin MR 100mg capsules should be 6, but there is evidence of supply where the quantity differs.  At present, such consultation activity is included in the Pharmacy First element of this comparator </w:t>
            </w:r>
            <w:r w:rsidR="002A0CB3" w:rsidRPr="005A1511">
              <w:rPr>
                <w:rFonts w:ascii="Arial" w:eastAsia="Arial" w:hAnsi="Arial" w:cs="Arial"/>
                <w:color w:val="auto"/>
                <w:sz w:val="18"/>
                <w:szCs w:val="18"/>
              </w:rPr>
              <w:t xml:space="preserve">but </w:t>
            </w:r>
            <w:r w:rsidR="00AB0B33" w:rsidRPr="005A1511">
              <w:rPr>
                <w:rFonts w:ascii="Arial" w:eastAsia="Arial" w:hAnsi="Arial" w:cs="Arial"/>
                <w:color w:val="auto"/>
                <w:sz w:val="18"/>
                <w:szCs w:val="18"/>
              </w:rPr>
              <w:t xml:space="preserve">not in the FP10 graph, where a filter is placed on prescribed quantity.  Please refer to </w:t>
            </w:r>
            <w:hyperlink w:anchor="_Variation_in_Nitrofurantion" w:history="1">
              <w:r w:rsidR="00172F57" w:rsidRPr="005A1511">
                <w:rPr>
                  <w:rStyle w:val="Hyperlink"/>
                  <w:rFonts w:ascii="Arial" w:eastAsia="Arial" w:hAnsi="Arial" w:cs="Arial"/>
                  <w:sz w:val="18"/>
                  <w:szCs w:val="18"/>
                </w:rPr>
                <w:t xml:space="preserve">Variation in </w:t>
              </w:r>
              <w:r w:rsidR="00641FA4" w:rsidRPr="005A1511">
                <w:rPr>
                  <w:rStyle w:val="Hyperlink"/>
                  <w:rFonts w:ascii="Arial" w:eastAsia="Arial" w:hAnsi="Arial" w:cs="Arial"/>
                  <w:sz w:val="18"/>
                  <w:szCs w:val="18"/>
                </w:rPr>
                <w:t>Nitrofurantoin</w:t>
              </w:r>
              <w:r w:rsidR="00172F57" w:rsidRPr="005A1511">
                <w:rPr>
                  <w:rStyle w:val="Hyperlink"/>
                  <w:rFonts w:ascii="Arial" w:eastAsia="Arial" w:hAnsi="Arial" w:cs="Arial"/>
                  <w:sz w:val="18"/>
                  <w:szCs w:val="18"/>
                </w:rPr>
                <w:t xml:space="preserve"> MR 100mg quantities</w:t>
              </w:r>
            </w:hyperlink>
            <w:r w:rsidR="00172F57" w:rsidRPr="005A1511">
              <w:rPr>
                <w:rFonts w:ascii="Arial" w:eastAsia="Arial" w:hAnsi="Arial" w:cs="Arial"/>
                <w:color w:val="auto"/>
                <w:sz w:val="18"/>
                <w:szCs w:val="18"/>
              </w:rPr>
              <w:t xml:space="preserve"> </w:t>
            </w:r>
            <w:r w:rsidR="00641FA4" w:rsidRPr="005A1511">
              <w:rPr>
                <w:rFonts w:ascii="Arial" w:eastAsia="Arial" w:hAnsi="Arial" w:cs="Arial"/>
                <w:color w:val="auto"/>
                <w:sz w:val="18"/>
                <w:szCs w:val="18"/>
              </w:rPr>
              <w:t xml:space="preserve">in Appendix 2 </w:t>
            </w:r>
            <w:r w:rsidR="00AB0B33" w:rsidRPr="005A1511">
              <w:rPr>
                <w:rFonts w:ascii="Arial" w:eastAsia="Arial" w:hAnsi="Arial" w:cs="Arial"/>
                <w:color w:val="auto"/>
                <w:sz w:val="18"/>
                <w:szCs w:val="18"/>
              </w:rPr>
              <w:t>for more information.</w:t>
            </w:r>
          </w:p>
          <w:p w14:paraId="1578F6BA" w14:textId="77777777" w:rsidR="006E46DD" w:rsidRPr="005A1511" w:rsidRDefault="006E46DD" w:rsidP="006E46DD">
            <w:pPr>
              <w:spacing w:after="0" w:line="240" w:lineRule="auto"/>
              <w:rPr>
                <w:rFonts w:ascii="Arial" w:eastAsia="Arial" w:hAnsi="Arial" w:cs="Arial"/>
                <w:color w:val="auto"/>
                <w:sz w:val="18"/>
                <w:szCs w:val="18"/>
              </w:rPr>
            </w:pPr>
          </w:p>
          <w:p w14:paraId="5C9DFC6F" w14:textId="77777777" w:rsidR="006E46DD" w:rsidRPr="005A1511" w:rsidRDefault="006E46DD" w:rsidP="006E46DD">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Nitrofurantoin 50mg immediate release preparations may also be supplied via a Pharmacy First consultation for Uncomplicated UTI, and consultations supplying this formulation have been excluded from this comparator to facilitate comparison with nitrofurantoin prescribed by FP10.</w:t>
            </w:r>
          </w:p>
          <w:p w14:paraId="33EA22E0" w14:textId="77777777" w:rsidR="006E46DD" w:rsidRPr="005A1511" w:rsidRDefault="006E46DD" w:rsidP="006E46DD">
            <w:pPr>
              <w:spacing w:after="0" w:line="240" w:lineRule="auto"/>
              <w:rPr>
                <w:rFonts w:ascii="Arial" w:eastAsia="Arial" w:hAnsi="Arial" w:cs="Arial"/>
                <w:color w:val="auto"/>
                <w:sz w:val="18"/>
                <w:szCs w:val="18"/>
              </w:rPr>
            </w:pPr>
          </w:p>
          <w:p w14:paraId="3848C6CA" w14:textId="77777777" w:rsidR="006E46DD" w:rsidRPr="005A1511" w:rsidRDefault="006E46DD" w:rsidP="006E46DD">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This comparator is unable to include use of Nitrofurantoin MR 100mg by female patients consulting other healthcare pathways, such as NHS urgent care or private Community Pharmacy UTI services.</w:t>
            </w:r>
          </w:p>
          <w:p w14:paraId="71899AFC" w14:textId="5AE511B9" w:rsidR="00BC50B3" w:rsidRPr="005A1511" w:rsidRDefault="00BC50B3" w:rsidP="006E46DD">
            <w:pPr>
              <w:spacing w:after="0" w:line="240" w:lineRule="auto"/>
              <w:rPr>
                <w:rFonts w:ascii="Arial" w:eastAsia="Arial" w:hAnsi="Arial" w:cs="Arial"/>
                <w:color w:val="auto"/>
                <w:sz w:val="18"/>
                <w:szCs w:val="18"/>
              </w:rPr>
            </w:pPr>
          </w:p>
        </w:tc>
      </w:tr>
    </w:tbl>
    <w:p w14:paraId="27F86A0B" w14:textId="4E46AAF9" w:rsidR="003C251E" w:rsidRPr="005A1511" w:rsidRDefault="003C251E" w:rsidP="00190109">
      <w:pPr>
        <w:rPr>
          <w:rFonts w:ascii="Arial" w:eastAsia="Arial" w:hAnsi="Arial" w:cs="Arial"/>
          <w:b/>
          <w:color w:val="C00000"/>
          <w:sz w:val="20"/>
          <w:szCs w:val="20"/>
        </w:rPr>
      </w:pPr>
      <w:r w:rsidRPr="005A1511">
        <w:rPr>
          <w:rFonts w:ascii="Arial" w:hAnsi="Arial" w:cs="Arial"/>
          <w:color w:val="C00000"/>
        </w:rPr>
        <w:br w:type="page"/>
      </w:r>
    </w:p>
    <w:p w14:paraId="764FD3C1" w14:textId="5C7368B0" w:rsidR="00D94A3E" w:rsidRPr="005A1511" w:rsidRDefault="00BA0BA9" w:rsidP="00CC56ED">
      <w:pPr>
        <w:pStyle w:val="Heading2"/>
      </w:pPr>
      <w:bookmarkStart w:id="40" w:name="_Toc189144443"/>
      <w:r w:rsidRPr="005A1511">
        <w:lastRenderedPageBreak/>
        <w:t>Comparator: Monthly Summary</w:t>
      </w:r>
      <w:bookmarkEnd w:id="40"/>
    </w:p>
    <w:p w14:paraId="17C5A31E" w14:textId="77777777" w:rsidR="000E1F77" w:rsidRPr="005A1511" w:rsidRDefault="000E1F77" w:rsidP="000E1F77">
      <w:pPr>
        <w:rPr>
          <w:rFonts w:ascii="Arial" w:hAnsi="Arial" w:cs="Arial"/>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A3DD1" w:rsidRPr="005A1511" w14:paraId="55FB42B0" w14:textId="77777777">
        <w:tc>
          <w:tcPr>
            <w:tcW w:w="9889" w:type="dxa"/>
            <w:gridSpan w:val="3"/>
            <w:shd w:val="clear" w:color="auto" w:fill="D9D9D9"/>
          </w:tcPr>
          <w:p w14:paraId="6821064A" w14:textId="3952B705" w:rsidR="00810077" w:rsidRPr="005A1511" w:rsidRDefault="00855C24">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 xml:space="preserve">Section 1: </w:t>
            </w:r>
            <w:r w:rsidR="009832CA" w:rsidRPr="005A1511">
              <w:rPr>
                <w:rFonts w:ascii="Arial" w:eastAsia="Arial" w:hAnsi="Arial" w:cs="Arial"/>
                <w:b/>
                <w:color w:val="auto"/>
                <w:sz w:val="18"/>
                <w:szCs w:val="18"/>
              </w:rPr>
              <w:t>Introduction / Overview</w:t>
            </w:r>
          </w:p>
        </w:tc>
      </w:tr>
      <w:tr w:rsidR="008A3DD1" w:rsidRPr="005A1511" w14:paraId="7BE2B55D" w14:textId="77777777">
        <w:tc>
          <w:tcPr>
            <w:tcW w:w="534" w:type="dxa"/>
            <w:shd w:val="clear" w:color="auto" w:fill="auto"/>
          </w:tcPr>
          <w:p w14:paraId="233A32CE" w14:textId="77777777" w:rsidR="00810077" w:rsidRPr="005A1511" w:rsidRDefault="00855C24">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1.1</w:t>
            </w:r>
          </w:p>
          <w:p w14:paraId="0ABBCCA6" w14:textId="77777777" w:rsidR="00810077" w:rsidRPr="005A1511" w:rsidRDefault="00810077">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61A6BE8A" w14:textId="77777777" w:rsidR="00810077" w:rsidRPr="005A1511" w:rsidRDefault="00855C24">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Title</w:t>
            </w:r>
          </w:p>
        </w:tc>
        <w:tc>
          <w:tcPr>
            <w:tcW w:w="7938" w:type="dxa"/>
          </w:tcPr>
          <w:p w14:paraId="54E8A3DA" w14:textId="746A16C8" w:rsidR="00810077" w:rsidRPr="005A1511" w:rsidRDefault="00BA0BA9">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Monthly Summary</w:t>
            </w:r>
          </w:p>
        </w:tc>
      </w:tr>
      <w:tr w:rsidR="008A3DD1" w:rsidRPr="005A1511" w14:paraId="7C12FB18" w14:textId="77777777">
        <w:tc>
          <w:tcPr>
            <w:tcW w:w="534" w:type="dxa"/>
            <w:shd w:val="clear" w:color="auto" w:fill="auto"/>
          </w:tcPr>
          <w:p w14:paraId="4354A274" w14:textId="77777777" w:rsidR="00AB3745" w:rsidRPr="005A1511" w:rsidRDefault="00AB3745" w:rsidP="00AB3745">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20E904C0" w14:textId="77777777" w:rsidR="00AB3745" w:rsidRPr="005A1511" w:rsidRDefault="00AB3745" w:rsidP="00AB3745">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Definition</w:t>
            </w:r>
          </w:p>
        </w:tc>
        <w:tc>
          <w:tcPr>
            <w:tcW w:w="7938" w:type="dxa"/>
          </w:tcPr>
          <w:p w14:paraId="1CA6B638" w14:textId="77777777" w:rsidR="002A1BE4" w:rsidRPr="005A1511" w:rsidRDefault="002A1BE4" w:rsidP="002A1BE4">
            <w:pPr>
              <w:tabs>
                <w:tab w:val="left" w:pos="1026"/>
              </w:tabs>
              <w:spacing w:after="0"/>
              <w:rPr>
                <w:rFonts w:ascii="Arial" w:eastAsia="Arial" w:hAnsi="Arial" w:cs="Arial"/>
                <w:color w:val="auto"/>
                <w:sz w:val="18"/>
                <w:szCs w:val="18"/>
              </w:rPr>
            </w:pPr>
            <w:r w:rsidRPr="005A1511">
              <w:rPr>
                <w:rFonts w:ascii="Arial" w:eastAsia="Arial" w:hAnsi="Arial" w:cs="Arial"/>
                <w:color w:val="auto"/>
                <w:sz w:val="18"/>
                <w:szCs w:val="18"/>
              </w:rPr>
              <w:t>This comparator provides the selected organisation with an overview of the Pharmacy First service for all 7 clinical pathways for the selected month, reporting data from 3 different comparators in the same view:</w:t>
            </w:r>
          </w:p>
          <w:p w14:paraId="42A936F2" w14:textId="77777777" w:rsidR="002A1BE4" w:rsidRPr="005A1511" w:rsidRDefault="002A1BE4" w:rsidP="002A1BE4">
            <w:pPr>
              <w:tabs>
                <w:tab w:val="left" w:pos="1026"/>
              </w:tabs>
              <w:spacing w:after="0"/>
              <w:rPr>
                <w:rFonts w:ascii="Arial" w:eastAsia="Arial" w:hAnsi="Arial" w:cs="Arial"/>
                <w:color w:val="auto"/>
                <w:sz w:val="18"/>
                <w:szCs w:val="18"/>
              </w:rPr>
            </w:pPr>
          </w:p>
          <w:p w14:paraId="70ADA905" w14:textId="77777777" w:rsidR="002A1BE4" w:rsidRPr="005A1511" w:rsidRDefault="002A1BE4" w:rsidP="0099602B">
            <w:pPr>
              <w:numPr>
                <w:ilvl w:val="0"/>
                <w:numId w:val="33"/>
              </w:numPr>
              <w:tabs>
                <w:tab w:val="left" w:pos="1026"/>
              </w:tabs>
              <w:spacing w:after="0"/>
              <w:rPr>
                <w:rFonts w:ascii="Arial" w:eastAsia="Arial" w:hAnsi="Arial" w:cs="Arial"/>
                <w:color w:val="auto"/>
                <w:sz w:val="18"/>
                <w:szCs w:val="18"/>
              </w:rPr>
            </w:pPr>
            <w:r w:rsidRPr="005A1511">
              <w:rPr>
                <w:rFonts w:ascii="Arial" w:eastAsia="Arial" w:hAnsi="Arial" w:cs="Arial"/>
                <w:color w:val="auto"/>
                <w:sz w:val="18"/>
                <w:szCs w:val="18"/>
              </w:rPr>
              <w:t>Population Access</w:t>
            </w:r>
          </w:p>
          <w:p w14:paraId="513A0D1E" w14:textId="77777777" w:rsidR="002A1BE4" w:rsidRPr="005A1511" w:rsidRDefault="002A1BE4" w:rsidP="0099602B">
            <w:pPr>
              <w:numPr>
                <w:ilvl w:val="0"/>
                <w:numId w:val="33"/>
              </w:numPr>
              <w:tabs>
                <w:tab w:val="left" w:pos="1026"/>
              </w:tabs>
              <w:spacing w:after="0"/>
              <w:rPr>
                <w:rFonts w:ascii="Arial" w:eastAsia="Arial" w:hAnsi="Arial" w:cs="Arial"/>
                <w:color w:val="auto"/>
                <w:sz w:val="18"/>
                <w:szCs w:val="18"/>
              </w:rPr>
            </w:pPr>
            <w:r w:rsidRPr="005A1511">
              <w:rPr>
                <w:rFonts w:ascii="Arial" w:eastAsia="Arial" w:hAnsi="Arial" w:cs="Arial"/>
                <w:color w:val="auto"/>
                <w:sz w:val="18"/>
                <w:szCs w:val="18"/>
              </w:rPr>
              <w:t>Consultation Outcome</w:t>
            </w:r>
          </w:p>
          <w:p w14:paraId="3B160BBE" w14:textId="77777777" w:rsidR="002A1BE4" w:rsidRPr="005A1511" w:rsidRDefault="002A1BE4" w:rsidP="0099602B">
            <w:pPr>
              <w:numPr>
                <w:ilvl w:val="0"/>
                <w:numId w:val="33"/>
              </w:numPr>
              <w:tabs>
                <w:tab w:val="left" w:pos="1026"/>
              </w:tabs>
              <w:spacing w:after="0"/>
              <w:rPr>
                <w:rFonts w:ascii="Arial" w:eastAsia="Arial" w:hAnsi="Arial" w:cs="Arial"/>
                <w:color w:val="auto"/>
                <w:sz w:val="18"/>
                <w:szCs w:val="18"/>
              </w:rPr>
            </w:pPr>
            <w:r w:rsidRPr="005A1511">
              <w:rPr>
                <w:rFonts w:ascii="Arial" w:eastAsia="Arial" w:hAnsi="Arial" w:cs="Arial"/>
                <w:color w:val="auto"/>
                <w:sz w:val="18"/>
                <w:szCs w:val="18"/>
              </w:rPr>
              <w:t>Consultation Mode</w:t>
            </w:r>
          </w:p>
          <w:p w14:paraId="57CD5BAD" w14:textId="77777777" w:rsidR="002A1BE4" w:rsidRPr="005A1511" w:rsidRDefault="002A1BE4" w:rsidP="002A1BE4">
            <w:pPr>
              <w:tabs>
                <w:tab w:val="left" w:pos="1026"/>
              </w:tabs>
              <w:spacing w:after="0"/>
              <w:rPr>
                <w:rFonts w:ascii="Arial" w:eastAsia="Arial" w:hAnsi="Arial" w:cs="Arial"/>
                <w:color w:val="auto"/>
                <w:sz w:val="18"/>
                <w:szCs w:val="18"/>
              </w:rPr>
            </w:pPr>
          </w:p>
          <w:p w14:paraId="7C42EC03" w14:textId="12839581" w:rsidR="002A1BE4" w:rsidRPr="005A1511" w:rsidRDefault="002A1BE4" w:rsidP="002A1BE4">
            <w:pPr>
              <w:tabs>
                <w:tab w:val="left" w:pos="1026"/>
              </w:tabs>
              <w:spacing w:after="0"/>
              <w:rPr>
                <w:rFonts w:ascii="Arial" w:eastAsia="Arial" w:hAnsi="Arial" w:cs="Arial"/>
                <w:color w:val="auto"/>
                <w:sz w:val="18"/>
                <w:szCs w:val="18"/>
              </w:rPr>
            </w:pPr>
            <w:r w:rsidRPr="005A1511">
              <w:rPr>
                <w:rFonts w:ascii="Arial" w:eastAsia="Arial" w:hAnsi="Arial" w:cs="Arial"/>
                <w:color w:val="auto"/>
                <w:sz w:val="18"/>
                <w:szCs w:val="18"/>
              </w:rPr>
              <w:t xml:space="preserve">Population Access is reported as a separate comparator in the dashboard and details are provided </w:t>
            </w:r>
            <w:hyperlink w:anchor="_Comparator:_Population_Access" w:history="1">
              <w:r w:rsidRPr="005A1511">
                <w:rPr>
                  <w:rStyle w:val="Hyperlink"/>
                  <w:rFonts w:ascii="Arial" w:eastAsia="Arial" w:hAnsi="Arial" w:cs="Arial"/>
                  <w:sz w:val="18"/>
                  <w:szCs w:val="18"/>
                </w:rPr>
                <w:t>here</w:t>
              </w:r>
            </w:hyperlink>
            <w:r w:rsidRPr="005A1511">
              <w:rPr>
                <w:rFonts w:ascii="Arial" w:eastAsia="Arial" w:hAnsi="Arial" w:cs="Arial"/>
                <w:color w:val="auto"/>
                <w:sz w:val="18"/>
                <w:szCs w:val="18"/>
              </w:rPr>
              <w:t>.</w:t>
            </w:r>
          </w:p>
          <w:p w14:paraId="2E652C12" w14:textId="77777777" w:rsidR="002A1BE4" w:rsidRPr="005A1511" w:rsidRDefault="002A1BE4" w:rsidP="002A1BE4">
            <w:pPr>
              <w:tabs>
                <w:tab w:val="left" w:pos="1026"/>
              </w:tabs>
              <w:spacing w:after="0"/>
              <w:rPr>
                <w:rFonts w:ascii="Arial" w:eastAsia="Arial" w:hAnsi="Arial" w:cs="Arial"/>
                <w:color w:val="auto"/>
                <w:sz w:val="18"/>
                <w:szCs w:val="18"/>
              </w:rPr>
            </w:pPr>
          </w:p>
          <w:p w14:paraId="7A58877A" w14:textId="69DDA229" w:rsidR="002A1BE4" w:rsidRPr="005A1511" w:rsidRDefault="002A1BE4" w:rsidP="002A1BE4">
            <w:pPr>
              <w:tabs>
                <w:tab w:val="left" w:pos="1026"/>
              </w:tabs>
              <w:spacing w:after="0"/>
              <w:rPr>
                <w:rFonts w:ascii="Arial" w:eastAsia="Arial" w:hAnsi="Arial" w:cs="Arial"/>
                <w:color w:val="auto"/>
                <w:sz w:val="18"/>
                <w:szCs w:val="18"/>
              </w:rPr>
            </w:pPr>
            <w:r w:rsidRPr="005A1511">
              <w:rPr>
                <w:rFonts w:ascii="Arial" w:eastAsia="Arial" w:hAnsi="Arial" w:cs="Arial"/>
                <w:color w:val="auto"/>
                <w:sz w:val="18"/>
                <w:szCs w:val="18"/>
              </w:rPr>
              <w:t xml:space="preserve">Consultation Outcome is reported as a separate comparator in the dashboard and details are provided </w:t>
            </w:r>
            <w:hyperlink w:anchor="_Comparator:_Pathway_by" w:history="1">
              <w:r w:rsidRPr="005A1511">
                <w:rPr>
                  <w:rStyle w:val="Hyperlink"/>
                  <w:rFonts w:ascii="Arial" w:eastAsia="Arial" w:hAnsi="Arial" w:cs="Arial"/>
                  <w:sz w:val="18"/>
                  <w:szCs w:val="18"/>
                </w:rPr>
                <w:t>here</w:t>
              </w:r>
            </w:hyperlink>
            <w:r w:rsidRPr="005A1511">
              <w:rPr>
                <w:rFonts w:ascii="Arial" w:eastAsia="Arial" w:hAnsi="Arial" w:cs="Arial"/>
                <w:color w:val="auto"/>
                <w:sz w:val="18"/>
                <w:szCs w:val="18"/>
              </w:rPr>
              <w:t>.</w:t>
            </w:r>
          </w:p>
          <w:p w14:paraId="4BA6D700" w14:textId="77777777" w:rsidR="00C3459D" w:rsidRPr="005A1511" w:rsidRDefault="00C3459D" w:rsidP="001B166E">
            <w:pPr>
              <w:tabs>
                <w:tab w:val="left" w:pos="1026"/>
              </w:tabs>
              <w:spacing w:after="0"/>
              <w:rPr>
                <w:rFonts w:ascii="Arial" w:eastAsia="Arial" w:hAnsi="Arial" w:cs="Arial"/>
                <w:color w:val="auto"/>
                <w:sz w:val="18"/>
                <w:szCs w:val="18"/>
              </w:rPr>
            </w:pPr>
          </w:p>
          <w:p w14:paraId="2BDBBA70" w14:textId="446CD050" w:rsidR="00023DCB" w:rsidRPr="005A1511" w:rsidRDefault="00023DCB" w:rsidP="00023DCB">
            <w:pPr>
              <w:tabs>
                <w:tab w:val="left" w:pos="1026"/>
              </w:tabs>
              <w:spacing w:after="0"/>
              <w:rPr>
                <w:rFonts w:ascii="Arial" w:eastAsia="Arial" w:hAnsi="Arial" w:cs="Arial"/>
                <w:color w:val="auto"/>
                <w:sz w:val="18"/>
                <w:szCs w:val="18"/>
              </w:rPr>
            </w:pPr>
            <w:r w:rsidRPr="005A1511">
              <w:rPr>
                <w:rFonts w:ascii="Arial" w:eastAsia="Arial" w:hAnsi="Arial" w:cs="Arial"/>
                <w:color w:val="auto"/>
                <w:sz w:val="18"/>
                <w:szCs w:val="18"/>
              </w:rPr>
              <w:t>Consultation Mode is a metric unique to the Monthly Summary comparator and reports consultation mode by two categories</w:t>
            </w:r>
            <w:r w:rsidR="00AD5CDD" w:rsidRPr="005A1511">
              <w:rPr>
                <w:rFonts w:ascii="Arial" w:eastAsia="Arial" w:hAnsi="Arial" w:cs="Arial"/>
                <w:color w:val="auto"/>
                <w:sz w:val="18"/>
                <w:szCs w:val="18"/>
              </w:rPr>
              <w:t>:</w:t>
            </w:r>
          </w:p>
          <w:p w14:paraId="278C132F" w14:textId="77777777" w:rsidR="00023DCB" w:rsidRPr="005A1511" w:rsidRDefault="00023DCB" w:rsidP="00023DCB">
            <w:pPr>
              <w:tabs>
                <w:tab w:val="left" w:pos="1026"/>
              </w:tabs>
              <w:spacing w:after="0"/>
              <w:rPr>
                <w:rFonts w:ascii="Arial" w:eastAsia="Arial" w:hAnsi="Arial" w:cs="Arial"/>
                <w:color w:val="auto"/>
                <w:sz w:val="18"/>
                <w:szCs w:val="18"/>
              </w:rPr>
            </w:pPr>
          </w:p>
          <w:p w14:paraId="43C8CA44" w14:textId="77777777" w:rsidR="00023DCB" w:rsidRPr="005A1511" w:rsidRDefault="00023DCB" w:rsidP="0099602B">
            <w:pPr>
              <w:numPr>
                <w:ilvl w:val="0"/>
                <w:numId w:val="33"/>
              </w:numPr>
              <w:tabs>
                <w:tab w:val="left" w:pos="1026"/>
              </w:tabs>
              <w:spacing w:after="0"/>
              <w:rPr>
                <w:rFonts w:ascii="Arial" w:eastAsia="Arial" w:hAnsi="Arial" w:cs="Arial"/>
                <w:color w:val="auto"/>
                <w:sz w:val="18"/>
                <w:szCs w:val="18"/>
              </w:rPr>
            </w:pPr>
            <w:r w:rsidRPr="005A1511">
              <w:rPr>
                <w:rFonts w:ascii="Arial" w:eastAsia="Arial" w:hAnsi="Arial" w:cs="Arial"/>
                <w:color w:val="auto"/>
                <w:sz w:val="18"/>
                <w:szCs w:val="18"/>
              </w:rPr>
              <w:t xml:space="preserve">face to face </w:t>
            </w:r>
          </w:p>
          <w:p w14:paraId="09046487" w14:textId="77777777" w:rsidR="00023DCB" w:rsidRPr="005A1511" w:rsidRDefault="00023DCB" w:rsidP="0099602B">
            <w:pPr>
              <w:numPr>
                <w:ilvl w:val="0"/>
                <w:numId w:val="33"/>
              </w:numPr>
              <w:tabs>
                <w:tab w:val="left" w:pos="1026"/>
              </w:tabs>
              <w:spacing w:after="0"/>
              <w:rPr>
                <w:rFonts w:ascii="Arial" w:eastAsia="Arial" w:hAnsi="Arial" w:cs="Arial"/>
                <w:color w:val="auto"/>
                <w:sz w:val="18"/>
                <w:szCs w:val="18"/>
              </w:rPr>
            </w:pPr>
            <w:r w:rsidRPr="005A1511">
              <w:rPr>
                <w:rFonts w:ascii="Arial" w:eastAsia="Arial" w:hAnsi="Arial" w:cs="Arial"/>
                <w:color w:val="auto"/>
                <w:sz w:val="18"/>
                <w:szCs w:val="18"/>
              </w:rPr>
              <w:t>telemedicine</w:t>
            </w:r>
          </w:p>
          <w:p w14:paraId="3F24A8E9" w14:textId="77777777" w:rsidR="00023DCB" w:rsidRPr="005A1511" w:rsidRDefault="00023DCB" w:rsidP="00023DCB">
            <w:pPr>
              <w:tabs>
                <w:tab w:val="left" w:pos="1026"/>
              </w:tabs>
              <w:spacing w:after="0"/>
              <w:rPr>
                <w:rFonts w:ascii="Arial" w:eastAsia="Arial" w:hAnsi="Arial" w:cs="Arial"/>
                <w:color w:val="auto"/>
                <w:sz w:val="18"/>
                <w:szCs w:val="18"/>
              </w:rPr>
            </w:pPr>
          </w:p>
          <w:p w14:paraId="160F7382" w14:textId="6694ABE5" w:rsidR="00AD5CDD" w:rsidRPr="005A1511" w:rsidRDefault="00AD5CDD" w:rsidP="00AD5CDD">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The comparator shows, for</w:t>
            </w:r>
            <w:r w:rsidR="00AF4BD2" w:rsidRPr="005A1511">
              <w:rPr>
                <w:rFonts w:ascii="Arial" w:eastAsia="Arial" w:hAnsi="Arial" w:cs="Arial"/>
                <w:color w:val="auto"/>
                <w:sz w:val="18"/>
                <w:szCs w:val="18"/>
              </w:rPr>
              <w:t xml:space="preserve"> each clinical pathway in</w:t>
            </w:r>
            <w:r w:rsidRPr="005A1511">
              <w:rPr>
                <w:rFonts w:ascii="Arial" w:hAnsi="Arial" w:cs="Arial"/>
              </w:rPr>
              <w:t xml:space="preserve"> </w:t>
            </w:r>
            <w:r w:rsidRPr="005A1511">
              <w:rPr>
                <w:rFonts w:ascii="Arial" w:hAnsi="Arial" w:cs="Arial"/>
                <w:sz w:val="18"/>
                <w:szCs w:val="18"/>
              </w:rPr>
              <w:t xml:space="preserve">the </w:t>
            </w:r>
            <w:r w:rsidR="00684E2E" w:rsidRPr="005A1511">
              <w:rPr>
                <w:rFonts w:ascii="Arial" w:hAnsi="Arial" w:cs="Arial"/>
                <w:sz w:val="18"/>
                <w:szCs w:val="18"/>
              </w:rPr>
              <w:t xml:space="preserve">selected </w:t>
            </w:r>
            <w:r w:rsidRPr="005A1511">
              <w:rPr>
                <w:rFonts w:ascii="Arial" w:eastAsia="Arial" w:hAnsi="Arial" w:cs="Arial"/>
                <w:color w:val="auto"/>
                <w:sz w:val="18"/>
                <w:szCs w:val="18"/>
              </w:rPr>
              <w:t xml:space="preserve">month </w:t>
            </w:r>
            <w:r w:rsidR="00684E2E" w:rsidRPr="005A1511">
              <w:rPr>
                <w:rFonts w:ascii="Arial" w:eastAsia="Arial" w:hAnsi="Arial" w:cs="Arial"/>
                <w:color w:val="auto"/>
                <w:sz w:val="18"/>
                <w:szCs w:val="18"/>
              </w:rPr>
              <w:t xml:space="preserve">and </w:t>
            </w:r>
            <w:r w:rsidRPr="005A1511">
              <w:rPr>
                <w:rFonts w:ascii="Arial" w:eastAsia="Arial" w:hAnsi="Arial" w:cs="Arial"/>
                <w:color w:val="auto"/>
                <w:sz w:val="18"/>
                <w:szCs w:val="18"/>
              </w:rPr>
              <w:t>organisation</w:t>
            </w:r>
          </w:p>
          <w:p w14:paraId="69CF018A" w14:textId="77777777" w:rsidR="00AD5CDD" w:rsidRPr="005A1511" w:rsidRDefault="00AD5CDD" w:rsidP="00AD5CDD">
            <w:pPr>
              <w:spacing w:after="0" w:line="240" w:lineRule="auto"/>
              <w:rPr>
                <w:rFonts w:ascii="Arial" w:eastAsia="Arial" w:hAnsi="Arial" w:cs="Arial"/>
                <w:color w:val="auto"/>
                <w:sz w:val="18"/>
                <w:szCs w:val="18"/>
              </w:rPr>
            </w:pPr>
          </w:p>
          <w:p w14:paraId="475A4451" w14:textId="2597D255" w:rsidR="0099602B" w:rsidRPr="005A1511" w:rsidRDefault="00A8799C" w:rsidP="0099602B">
            <w:pPr>
              <w:numPr>
                <w:ilvl w:val="0"/>
                <w:numId w:val="33"/>
              </w:numPr>
              <w:tabs>
                <w:tab w:val="left" w:pos="1026"/>
              </w:tabs>
              <w:spacing w:after="0"/>
              <w:rPr>
                <w:rFonts w:ascii="Arial" w:eastAsia="Arial" w:hAnsi="Arial" w:cs="Arial"/>
                <w:color w:val="auto"/>
                <w:sz w:val="18"/>
                <w:szCs w:val="18"/>
              </w:rPr>
            </w:pPr>
            <w:r w:rsidRPr="005A1511">
              <w:rPr>
                <w:rFonts w:ascii="Arial" w:eastAsia="Arial" w:hAnsi="Arial" w:cs="Arial"/>
                <w:color w:val="auto"/>
                <w:sz w:val="18"/>
                <w:szCs w:val="18"/>
              </w:rPr>
              <w:t xml:space="preserve">The </w:t>
            </w:r>
            <w:r w:rsidR="0099602B" w:rsidRPr="005A1511">
              <w:rPr>
                <w:rFonts w:ascii="Arial" w:eastAsia="Arial" w:hAnsi="Arial" w:cs="Arial"/>
                <w:color w:val="auto"/>
                <w:sz w:val="18"/>
                <w:szCs w:val="18"/>
              </w:rPr>
              <w:t>proportion of consultations by consultation mode</w:t>
            </w:r>
          </w:p>
          <w:p w14:paraId="5D91D3F5" w14:textId="77777777" w:rsidR="0099602B" w:rsidRPr="005A1511" w:rsidRDefault="0099602B" w:rsidP="0099602B">
            <w:pPr>
              <w:numPr>
                <w:ilvl w:val="0"/>
                <w:numId w:val="33"/>
              </w:numPr>
              <w:tabs>
                <w:tab w:val="left" w:pos="1026"/>
              </w:tabs>
              <w:spacing w:after="0"/>
              <w:rPr>
                <w:rFonts w:ascii="Arial" w:eastAsia="Arial" w:hAnsi="Arial" w:cs="Arial"/>
                <w:color w:val="auto"/>
                <w:sz w:val="18"/>
                <w:szCs w:val="18"/>
              </w:rPr>
            </w:pPr>
            <w:r w:rsidRPr="005A1511">
              <w:rPr>
                <w:rFonts w:ascii="Arial" w:eastAsia="Arial" w:hAnsi="Arial" w:cs="Arial"/>
                <w:color w:val="auto"/>
                <w:sz w:val="18"/>
                <w:szCs w:val="18"/>
              </w:rPr>
              <w:t>Count of the number of consultations by consultation mode</w:t>
            </w:r>
          </w:p>
          <w:p w14:paraId="101F9E5B" w14:textId="0AC9AC82" w:rsidR="0099602B" w:rsidRPr="005A1511" w:rsidRDefault="0099602B" w:rsidP="0099602B">
            <w:pPr>
              <w:numPr>
                <w:ilvl w:val="0"/>
                <w:numId w:val="33"/>
              </w:numPr>
              <w:tabs>
                <w:tab w:val="left" w:pos="1026"/>
              </w:tabs>
              <w:spacing w:after="0"/>
              <w:rPr>
                <w:rFonts w:ascii="Arial" w:eastAsia="Arial" w:hAnsi="Arial" w:cs="Arial"/>
                <w:color w:val="auto"/>
                <w:sz w:val="18"/>
                <w:szCs w:val="18"/>
              </w:rPr>
            </w:pPr>
            <w:r w:rsidRPr="005A1511">
              <w:rPr>
                <w:rFonts w:ascii="Arial" w:eastAsia="Arial" w:hAnsi="Arial" w:cs="Arial"/>
                <w:color w:val="auto"/>
                <w:sz w:val="18"/>
                <w:szCs w:val="18"/>
              </w:rPr>
              <w:t>Count of the number of patients consulting by consultation mode (Table view only)</w:t>
            </w:r>
          </w:p>
          <w:p w14:paraId="280AB08C" w14:textId="04AFE842" w:rsidR="0099602B" w:rsidRPr="005A1511" w:rsidRDefault="0099602B" w:rsidP="0099602B">
            <w:pPr>
              <w:numPr>
                <w:ilvl w:val="0"/>
                <w:numId w:val="33"/>
              </w:numPr>
              <w:tabs>
                <w:tab w:val="left" w:pos="1026"/>
              </w:tabs>
              <w:spacing w:after="0"/>
              <w:rPr>
                <w:rFonts w:ascii="Arial" w:eastAsia="Arial" w:hAnsi="Arial" w:cs="Arial"/>
                <w:color w:val="auto"/>
                <w:sz w:val="18"/>
                <w:szCs w:val="18"/>
              </w:rPr>
            </w:pPr>
            <w:r w:rsidRPr="005A1511">
              <w:rPr>
                <w:rFonts w:ascii="Arial" w:eastAsia="Arial" w:hAnsi="Arial" w:cs="Arial"/>
                <w:color w:val="auto"/>
                <w:sz w:val="18"/>
                <w:szCs w:val="18"/>
              </w:rPr>
              <w:t>Count of the number of items of medicines supplied by consultation mode</w:t>
            </w:r>
            <w:r w:rsidR="008037D3" w:rsidRPr="005A1511">
              <w:rPr>
                <w:rFonts w:ascii="Arial" w:eastAsia="Arial" w:hAnsi="Arial" w:cs="Arial"/>
                <w:color w:val="auto"/>
                <w:sz w:val="18"/>
                <w:szCs w:val="18"/>
              </w:rPr>
              <w:t xml:space="preserve"> (Table view only)</w:t>
            </w:r>
          </w:p>
          <w:p w14:paraId="7E1F301A" w14:textId="77777777" w:rsidR="00AD5CDD" w:rsidRPr="005A1511" w:rsidRDefault="00AD5CDD" w:rsidP="00023DCB">
            <w:pPr>
              <w:tabs>
                <w:tab w:val="left" w:pos="1026"/>
              </w:tabs>
              <w:spacing w:after="0"/>
              <w:rPr>
                <w:rFonts w:ascii="Arial" w:eastAsia="Arial" w:hAnsi="Arial" w:cs="Arial"/>
                <w:color w:val="auto"/>
                <w:sz w:val="18"/>
                <w:szCs w:val="18"/>
              </w:rPr>
            </w:pPr>
          </w:p>
          <w:p w14:paraId="2F8D8D31" w14:textId="42DA8DC9" w:rsidR="00023DCB" w:rsidRPr="005A1511" w:rsidRDefault="00023DCB" w:rsidP="00023DCB">
            <w:pPr>
              <w:tabs>
                <w:tab w:val="left" w:pos="1026"/>
              </w:tabs>
              <w:spacing w:after="0"/>
              <w:rPr>
                <w:rFonts w:ascii="Arial" w:eastAsia="Arial" w:hAnsi="Arial" w:cs="Arial"/>
                <w:color w:val="auto"/>
                <w:sz w:val="18"/>
                <w:szCs w:val="18"/>
              </w:rPr>
            </w:pPr>
            <w:r w:rsidRPr="005A1511">
              <w:rPr>
                <w:rFonts w:ascii="Arial" w:eastAsia="Arial" w:hAnsi="Arial" w:cs="Arial"/>
                <w:color w:val="auto"/>
                <w:sz w:val="18"/>
                <w:szCs w:val="18"/>
              </w:rPr>
              <w:t xml:space="preserve">This data is available at </w:t>
            </w:r>
            <w:r w:rsidR="004F2B42" w:rsidRPr="005A1511">
              <w:rPr>
                <w:rFonts w:ascii="Arial" w:eastAsia="Arial" w:hAnsi="Arial" w:cs="Arial"/>
                <w:color w:val="auto"/>
                <w:sz w:val="18"/>
                <w:szCs w:val="18"/>
              </w:rPr>
              <w:t>ICB</w:t>
            </w:r>
            <w:r w:rsidRPr="005A1511">
              <w:rPr>
                <w:rFonts w:ascii="Arial" w:eastAsia="Arial" w:hAnsi="Arial" w:cs="Arial"/>
                <w:color w:val="auto"/>
                <w:sz w:val="18"/>
                <w:szCs w:val="18"/>
              </w:rPr>
              <w:t xml:space="preserve">, NHS </w:t>
            </w:r>
            <w:r w:rsidR="004F2B42" w:rsidRPr="005A1511">
              <w:rPr>
                <w:rFonts w:ascii="Arial" w:eastAsia="Arial" w:hAnsi="Arial" w:cs="Arial"/>
                <w:color w:val="auto"/>
                <w:sz w:val="18"/>
                <w:szCs w:val="18"/>
              </w:rPr>
              <w:t>r</w:t>
            </w:r>
            <w:r w:rsidRPr="005A1511">
              <w:rPr>
                <w:rFonts w:ascii="Arial" w:eastAsia="Arial" w:hAnsi="Arial" w:cs="Arial"/>
                <w:color w:val="auto"/>
                <w:sz w:val="18"/>
                <w:szCs w:val="18"/>
              </w:rPr>
              <w:t xml:space="preserve">egion and national </w:t>
            </w:r>
            <w:r w:rsidR="004F2B42" w:rsidRPr="005A1511">
              <w:rPr>
                <w:rFonts w:ascii="Arial" w:eastAsia="Arial" w:hAnsi="Arial" w:cs="Arial"/>
                <w:color w:val="auto"/>
                <w:sz w:val="18"/>
                <w:szCs w:val="18"/>
              </w:rPr>
              <w:t>(</w:t>
            </w:r>
            <w:r w:rsidRPr="005A1511">
              <w:rPr>
                <w:rFonts w:ascii="Arial" w:eastAsia="Arial" w:hAnsi="Arial" w:cs="Arial"/>
                <w:color w:val="auto"/>
                <w:sz w:val="18"/>
                <w:szCs w:val="18"/>
              </w:rPr>
              <w:t>England</w:t>
            </w:r>
            <w:r w:rsidR="004F2B42" w:rsidRPr="005A1511">
              <w:rPr>
                <w:rFonts w:ascii="Arial" w:eastAsia="Arial" w:hAnsi="Arial" w:cs="Arial"/>
                <w:color w:val="auto"/>
                <w:sz w:val="18"/>
                <w:szCs w:val="18"/>
              </w:rPr>
              <w:t>)</w:t>
            </w:r>
            <w:r w:rsidRPr="005A1511">
              <w:rPr>
                <w:rFonts w:ascii="Arial" w:eastAsia="Arial" w:hAnsi="Arial" w:cs="Arial"/>
                <w:color w:val="auto"/>
                <w:sz w:val="18"/>
                <w:szCs w:val="18"/>
              </w:rPr>
              <w:t xml:space="preserve"> organisational level</w:t>
            </w:r>
            <w:r w:rsidR="004F2B42" w:rsidRPr="005A1511">
              <w:rPr>
                <w:rFonts w:ascii="Arial" w:eastAsia="Arial" w:hAnsi="Arial" w:cs="Arial"/>
                <w:color w:val="auto"/>
                <w:sz w:val="18"/>
                <w:szCs w:val="18"/>
              </w:rPr>
              <w:t>s.</w:t>
            </w:r>
          </w:p>
          <w:p w14:paraId="0B26E4E5" w14:textId="77777777" w:rsidR="00023DCB" w:rsidRPr="005A1511" w:rsidRDefault="00023DCB" w:rsidP="001B166E">
            <w:pPr>
              <w:tabs>
                <w:tab w:val="left" w:pos="1026"/>
              </w:tabs>
              <w:spacing w:after="0"/>
              <w:rPr>
                <w:rFonts w:ascii="Arial" w:eastAsia="Arial" w:hAnsi="Arial" w:cs="Arial"/>
                <w:color w:val="auto"/>
                <w:sz w:val="18"/>
                <w:szCs w:val="18"/>
              </w:rPr>
            </w:pPr>
          </w:p>
          <w:p w14:paraId="2667ED9A" w14:textId="2EEE33ED" w:rsidR="001B166E" w:rsidRPr="005A1511" w:rsidRDefault="001B166E" w:rsidP="001B166E">
            <w:pPr>
              <w:tabs>
                <w:tab w:val="left" w:pos="1026"/>
              </w:tabs>
              <w:spacing w:after="0"/>
              <w:rPr>
                <w:rFonts w:ascii="Arial" w:eastAsia="Arial" w:hAnsi="Arial" w:cs="Arial"/>
                <w:color w:val="auto"/>
                <w:sz w:val="18"/>
                <w:szCs w:val="18"/>
              </w:rPr>
            </w:pPr>
          </w:p>
        </w:tc>
      </w:tr>
      <w:tr w:rsidR="005C5A79" w:rsidRPr="005A1511" w14:paraId="30211DFB" w14:textId="77777777" w:rsidTr="00A449FA">
        <w:trPr>
          <w:trHeight w:val="500"/>
        </w:trPr>
        <w:tc>
          <w:tcPr>
            <w:tcW w:w="534" w:type="dxa"/>
            <w:shd w:val="clear" w:color="auto" w:fill="auto"/>
          </w:tcPr>
          <w:p w14:paraId="7F37B2DD" w14:textId="77777777" w:rsidR="005C5A79" w:rsidRPr="005A1511" w:rsidRDefault="005C5A79" w:rsidP="005C5A79">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16D5BEE6" w14:textId="09B0C02D" w:rsidR="005C5A79" w:rsidRPr="005A1511" w:rsidRDefault="005C5A79" w:rsidP="005C5A79">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Reporting Details</w:t>
            </w:r>
          </w:p>
        </w:tc>
        <w:tc>
          <w:tcPr>
            <w:tcW w:w="7938" w:type="dxa"/>
          </w:tcPr>
          <w:p w14:paraId="369E83CC" w14:textId="2BBD28F2" w:rsidR="003C4002" w:rsidRPr="005A1511" w:rsidRDefault="004F2B42" w:rsidP="003C4002">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The comparator reports s</w:t>
            </w:r>
            <w:r w:rsidR="003C4002" w:rsidRPr="005A1511">
              <w:rPr>
                <w:rFonts w:ascii="Arial" w:eastAsia="Arial" w:hAnsi="Arial" w:cs="Arial"/>
                <w:color w:val="auto"/>
                <w:sz w:val="18"/>
                <w:szCs w:val="18"/>
              </w:rPr>
              <w:t xml:space="preserve">ingle-month totals calculated at ICB, NHS </w:t>
            </w:r>
            <w:r w:rsidRPr="005A1511">
              <w:rPr>
                <w:rFonts w:ascii="Arial" w:eastAsia="Arial" w:hAnsi="Arial" w:cs="Arial"/>
                <w:color w:val="auto"/>
                <w:sz w:val="18"/>
                <w:szCs w:val="18"/>
              </w:rPr>
              <w:t>r</w:t>
            </w:r>
            <w:r w:rsidR="003C4002" w:rsidRPr="005A1511">
              <w:rPr>
                <w:rFonts w:ascii="Arial" w:eastAsia="Arial" w:hAnsi="Arial" w:cs="Arial"/>
                <w:color w:val="auto"/>
                <w:sz w:val="18"/>
                <w:szCs w:val="18"/>
              </w:rPr>
              <w:t xml:space="preserve">egion and national levels by clinical pathway, for the selected organisation.  </w:t>
            </w:r>
          </w:p>
          <w:p w14:paraId="7A32FDDA" w14:textId="77777777" w:rsidR="003C4002" w:rsidRPr="005A1511" w:rsidRDefault="003C4002" w:rsidP="003C4002">
            <w:pPr>
              <w:spacing w:after="0" w:line="240" w:lineRule="auto"/>
              <w:rPr>
                <w:rFonts w:ascii="Arial" w:eastAsia="Arial" w:hAnsi="Arial" w:cs="Arial"/>
                <w:color w:val="auto"/>
                <w:sz w:val="18"/>
                <w:szCs w:val="18"/>
              </w:rPr>
            </w:pPr>
          </w:p>
          <w:p w14:paraId="11417EBF" w14:textId="77777777" w:rsidR="003C4002" w:rsidRPr="005A1511" w:rsidRDefault="003C4002" w:rsidP="003C4002">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Performance tiles show the total unique count of patients for each clinical pathway for the selected month and organisation, per 100,000 population.  These figures are expressed as integers.</w:t>
            </w:r>
          </w:p>
          <w:p w14:paraId="18A82441" w14:textId="77777777" w:rsidR="003C4002" w:rsidRPr="005A1511" w:rsidRDefault="003C4002" w:rsidP="003C4002">
            <w:pPr>
              <w:spacing w:after="0" w:line="240" w:lineRule="auto"/>
              <w:rPr>
                <w:rFonts w:ascii="Arial" w:eastAsia="Arial" w:hAnsi="Arial" w:cs="Arial"/>
                <w:color w:val="auto"/>
                <w:sz w:val="18"/>
                <w:szCs w:val="18"/>
              </w:rPr>
            </w:pPr>
          </w:p>
          <w:p w14:paraId="0583944E" w14:textId="658E48E8" w:rsidR="003C4002" w:rsidRPr="005A1511" w:rsidRDefault="003C4002" w:rsidP="003C4002">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Organisation levels are derived from the </w:t>
            </w:r>
            <w:r w:rsidR="008936D9" w:rsidRPr="005A1511">
              <w:rPr>
                <w:rFonts w:ascii="Arial" w:eastAsia="Arial" w:hAnsi="Arial" w:cs="Arial"/>
                <w:color w:val="auto"/>
                <w:sz w:val="18"/>
                <w:szCs w:val="18"/>
              </w:rPr>
              <w:t>General Practice</w:t>
            </w:r>
            <w:r w:rsidRPr="005A1511">
              <w:rPr>
                <w:rFonts w:ascii="Arial" w:eastAsia="Arial" w:hAnsi="Arial" w:cs="Arial"/>
                <w:color w:val="auto"/>
                <w:sz w:val="18"/>
                <w:szCs w:val="18"/>
              </w:rPr>
              <w:t xml:space="preserve"> of the patient receiving treatment under the selected pathway and month, based on the practice ODS code as captured in the Pharmacy First assessment.</w:t>
            </w:r>
          </w:p>
          <w:p w14:paraId="23DD1AC7" w14:textId="77777777" w:rsidR="003C4002" w:rsidRPr="005A1511" w:rsidRDefault="003C4002" w:rsidP="003C4002">
            <w:pPr>
              <w:spacing w:after="0" w:line="240" w:lineRule="auto"/>
              <w:rPr>
                <w:rFonts w:ascii="Arial" w:eastAsia="Arial" w:hAnsi="Arial" w:cs="Arial"/>
                <w:color w:val="auto"/>
                <w:sz w:val="18"/>
                <w:szCs w:val="18"/>
              </w:rPr>
            </w:pPr>
          </w:p>
          <w:p w14:paraId="7458FEBC" w14:textId="4403C5B7" w:rsidR="003C4002" w:rsidRPr="005A1511" w:rsidRDefault="003C4002" w:rsidP="003C4002">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Practice list sizes are derived from the </w:t>
            </w:r>
            <w:r w:rsidR="008936D9" w:rsidRPr="005A1511">
              <w:rPr>
                <w:rFonts w:ascii="Arial" w:eastAsia="Arial" w:hAnsi="Arial" w:cs="Arial"/>
                <w:color w:val="auto"/>
                <w:sz w:val="18"/>
                <w:szCs w:val="18"/>
              </w:rPr>
              <w:t>General Practice</w:t>
            </w:r>
            <w:r w:rsidRPr="005A1511">
              <w:rPr>
                <w:rFonts w:ascii="Arial" w:eastAsia="Arial" w:hAnsi="Arial" w:cs="Arial"/>
                <w:color w:val="auto"/>
                <w:sz w:val="18"/>
                <w:szCs w:val="18"/>
              </w:rPr>
              <w:t xml:space="preserve"> of the patient receiving treatment under the selected pathway and month, based on the practice ODS code as captured in the Pharmacy First assessment.</w:t>
            </w:r>
          </w:p>
          <w:p w14:paraId="7BC42DE1" w14:textId="4C2A9742" w:rsidR="005C5A79" w:rsidRPr="005A1511" w:rsidRDefault="005C5A79" w:rsidP="005C5A79">
            <w:pPr>
              <w:spacing w:after="0" w:line="240" w:lineRule="auto"/>
              <w:jc w:val="both"/>
              <w:rPr>
                <w:rFonts w:ascii="Arial" w:eastAsia="Arial" w:hAnsi="Arial" w:cs="Arial"/>
                <w:color w:val="auto"/>
                <w:sz w:val="18"/>
                <w:szCs w:val="18"/>
              </w:rPr>
            </w:pPr>
          </w:p>
        </w:tc>
      </w:tr>
      <w:tr w:rsidR="005C5A79" w:rsidRPr="005A1511" w14:paraId="0ABEE7B8" w14:textId="77777777">
        <w:trPr>
          <w:trHeight w:val="780"/>
        </w:trPr>
        <w:tc>
          <w:tcPr>
            <w:tcW w:w="534" w:type="dxa"/>
            <w:shd w:val="clear" w:color="auto" w:fill="auto"/>
          </w:tcPr>
          <w:p w14:paraId="0187E8CD" w14:textId="77777777" w:rsidR="005C5A79" w:rsidRPr="005A1511" w:rsidRDefault="005C5A79" w:rsidP="005C5A79">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55FA9FF1" w14:textId="77777777" w:rsidR="005C5A79" w:rsidRPr="005A1511" w:rsidRDefault="005C5A79" w:rsidP="005C5A79">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Numerator</w:t>
            </w:r>
          </w:p>
        </w:tc>
        <w:tc>
          <w:tcPr>
            <w:tcW w:w="7938" w:type="dxa"/>
          </w:tcPr>
          <w:p w14:paraId="33DA9823" w14:textId="77777777" w:rsidR="002460C5" w:rsidRPr="005A1511" w:rsidRDefault="002460C5" w:rsidP="002460C5">
            <w:p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 xml:space="preserve">Consultation Mode is a metric unique to the Monthly Summary comparator </w:t>
            </w:r>
          </w:p>
          <w:p w14:paraId="640B43AA" w14:textId="77777777" w:rsidR="002460C5" w:rsidRPr="005A1511" w:rsidRDefault="002460C5" w:rsidP="002460C5">
            <w:pPr>
              <w:spacing w:after="0" w:line="240" w:lineRule="auto"/>
              <w:rPr>
                <w:rFonts w:ascii="Arial" w:hAnsi="Arial" w:cs="Arial"/>
                <w:color w:val="auto"/>
                <w:sz w:val="18"/>
                <w:szCs w:val="21"/>
                <w:shd w:val="clear" w:color="auto" w:fill="FFFFFF"/>
              </w:rPr>
            </w:pPr>
          </w:p>
          <w:p w14:paraId="1F2FBF81" w14:textId="77777777" w:rsidR="002460C5" w:rsidRPr="005A1511" w:rsidRDefault="002460C5" w:rsidP="002460C5">
            <w:pPr>
              <w:numPr>
                <w:ilvl w:val="0"/>
                <w:numId w:val="40"/>
              </w:numPr>
              <w:spacing w:after="0" w:line="240" w:lineRule="auto"/>
              <w:rPr>
                <w:rFonts w:ascii="Arial" w:hAnsi="Arial" w:cs="Arial"/>
                <w:color w:val="auto"/>
                <w:sz w:val="18"/>
                <w:szCs w:val="21"/>
                <w:shd w:val="clear" w:color="auto" w:fill="FFFFFF"/>
              </w:rPr>
            </w:pPr>
            <w:r w:rsidRPr="005A1511">
              <w:rPr>
                <w:rFonts w:ascii="Arial" w:hAnsi="Arial" w:cs="Arial"/>
                <w:color w:val="auto"/>
                <w:sz w:val="18"/>
                <w:szCs w:val="21"/>
                <w:shd w:val="clear" w:color="auto" w:fill="FFFFFF"/>
              </w:rPr>
              <w:t>The total number of Pharmacy First consultations for both consultation modes, by each  clinical pathway, for the selected organisation and month</w:t>
            </w:r>
          </w:p>
          <w:p w14:paraId="74D76F9A" w14:textId="77777777" w:rsidR="0079419E" w:rsidRPr="005A1511" w:rsidRDefault="0079419E" w:rsidP="005C5A79">
            <w:pPr>
              <w:spacing w:after="0" w:line="240" w:lineRule="auto"/>
              <w:rPr>
                <w:rFonts w:ascii="Arial" w:eastAsia="Arial" w:hAnsi="Arial" w:cs="Arial"/>
                <w:color w:val="auto"/>
                <w:sz w:val="18"/>
                <w:szCs w:val="18"/>
              </w:rPr>
            </w:pPr>
          </w:p>
          <w:p w14:paraId="6E9CA6FB" w14:textId="316A3180" w:rsidR="002460C5" w:rsidRPr="005A1511" w:rsidRDefault="002460C5" w:rsidP="005C5A79">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Please refer to the Population Access and </w:t>
            </w:r>
            <w:r w:rsidR="00E25588" w:rsidRPr="005A1511">
              <w:rPr>
                <w:rFonts w:ascii="Arial" w:eastAsia="Arial" w:hAnsi="Arial" w:cs="Arial"/>
                <w:color w:val="auto"/>
                <w:sz w:val="18"/>
                <w:szCs w:val="18"/>
              </w:rPr>
              <w:t>Pathway by Consultation Outcome specifications for numerator details.</w:t>
            </w:r>
          </w:p>
        </w:tc>
      </w:tr>
      <w:tr w:rsidR="005C5A79" w:rsidRPr="005A1511" w14:paraId="4F42B451" w14:textId="77777777">
        <w:trPr>
          <w:trHeight w:val="820"/>
        </w:trPr>
        <w:tc>
          <w:tcPr>
            <w:tcW w:w="534" w:type="dxa"/>
            <w:shd w:val="clear" w:color="auto" w:fill="auto"/>
          </w:tcPr>
          <w:p w14:paraId="58CC2D1F" w14:textId="77777777" w:rsidR="005C5A79" w:rsidRPr="005A1511" w:rsidRDefault="005C5A79" w:rsidP="005C5A79">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2BEBEFB4" w14:textId="77777777" w:rsidR="005C5A79" w:rsidRPr="005A1511" w:rsidRDefault="005C5A79" w:rsidP="005C5A79">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Denominator</w:t>
            </w:r>
          </w:p>
        </w:tc>
        <w:tc>
          <w:tcPr>
            <w:tcW w:w="7938" w:type="dxa"/>
          </w:tcPr>
          <w:p w14:paraId="19EDE240" w14:textId="77777777" w:rsidR="0009373C" w:rsidRPr="005A1511" w:rsidRDefault="0009373C" w:rsidP="0009373C">
            <w:pPr>
              <w:spacing w:after="0" w:line="240" w:lineRule="auto"/>
              <w:rPr>
                <w:rFonts w:ascii="Arial" w:hAnsi="Arial" w:cs="Arial"/>
                <w:color w:val="auto"/>
                <w:sz w:val="18"/>
                <w:szCs w:val="21"/>
                <w:shd w:val="clear" w:color="auto" w:fill="FFFFFF"/>
              </w:rPr>
            </w:pPr>
            <w:r w:rsidRPr="005A1511">
              <w:rPr>
                <w:rFonts w:ascii="Arial" w:hAnsi="Arial" w:cs="Arial"/>
                <w:sz w:val="18"/>
                <w:szCs w:val="21"/>
                <w:shd w:val="clear" w:color="auto" w:fill="FFFFFF"/>
              </w:rPr>
              <w:t>Consultation Mode is a metric unique to the Monthly Summary comparator</w:t>
            </w:r>
          </w:p>
          <w:p w14:paraId="560D79C8" w14:textId="77777777" w:rsidR="0009373C" w:rsidRPr="005A1511" w:rsidRDefault="0009373C" w:rsidP="0009373C">
            <w:pPr>
              <w:spacing w:after="0" w:line="240" w:lineRule="auto"/>
              <w:rPr>
                <w:rFonts w:ascii="Arial" w:hAnsi="Arial" w:cs="Arial"/>
                <w:color w:val="auto"/>
                <w:sz w:val="18"/>
                <w:szCs w:val="21"/>
                <w:shd w:val="clear" w:color="auto" w:fill="FFFFFF"/>
              </w:rPr>
            </w:pPr>
          </w:p>
          <w:p w14:paraId="5E05C0E6" w14:textId="77777777" w:rsidR="0009373C" w:rsidRPr="005A1511" w:rsidRDefault="0009373C" w:rsidP="0009373C">
            <w:pPr>
              <w:pStyle w:val="ListParagraph"/>
              <w:numPr>
                <w:ilvl w:val="0"/>
                <w:numId w:val="41"/>
              </w:numPr>
              <w:spacing w:after="0" w:line="240" w:lineRule="auto"/>
              <w:rPr>
                <w:rFonts w:ascii="Arial" w:eastAsia="Arial" w:hAnsi="Arial" w:cs="Arial"/>
                <w:sz w:val="18"/>
                <w:szCs w:val="18"/>
              </w:rPr>
            </w:pPr>
            <w:r w:rsidRPr="005A1511">
              <w:rPr>
                <w:rFonts w:ascii="Arial" w:eastAsia="Arial" w:hAnsi="Arial" w:cs="Arial"/>
                <w:sz w:val="18"/>
                <w:szCs w:val="18"/>
              </w:rPr>
              <w:t>The total number of Pharmacy First consultations by each clinical pathway, for the selected organisation and month</w:t>
            </w:r>
          </w:p>
          <w:p w14:paraId="34F525E3" w14:textId="77777777" w:rsidR="0009373C" w:rsidRPr="005A1511" w:rsidRDefault="0009373C" w:rsidP="0009373C">
            <w:pPr>
              <w:spacing w:after="0" w:line="240" w:lineRule="auto"/>
              <w:rPr>
                <w:rFonts w:ascii="Arial" w:eastAsia="Arial" w:hAnsi="Arial" w:cs="Arial"/>
                <w:sz w:val="18"/>
                <w:szCs w:val="18"/>
              </w:rPr>
            </w:pPr>
          </w:p>
          <w:p w14:paraId="2B3FAE0D" w14:textId="1BEB766F" w:rsidR="0009373C" w:rsidRPr="005A1511" w:rsidRDefault="0009373C" w:rsidP="0009373C">
            <w:pPr>
              <w:spacing w:after="0" w:line="240" w:lineRule="auto"/>
              <w:rPr>
                <w:rFonts w:ascii="Arial" w:eastAsia="Arial" w:hAnsi="Arial" w:cs="Arial"/>
                <w:sz w:val="18"/>
                <w:szCs w:val="18"/>
              </w:rPr>
            </w:pPr>
            <w:r w:rsidRPr="005A1511">
              <w:rPr>
                <w:rFonts w:ascii="Arial" w:eastAsia="Arial" w:hAnsi="Arial" w:cs="Arial"/>
                <w:color w:val="auto"/>
                <w:sz w:val="18"/>
                <w:szCs w:val="18"/>
              </w:rPr>
              <w:t>Please refer to the Population Access and Pathway by Consultation Outcome specifications for denominator details.</w:t>
            </w:r>
          </w:p>
          <w:p w14:paraId="057AB371" w14:textId="6D09946D" w:rsidR="0095234A" w:rsidRPr="005A1511" w:rsidRDefault="0095234A" w:rsidP="00637E9A">
            <w:pPr>
              <w:spacing w:after="0" w:line="240" w:lineRule="auto"/>
              <w:rPr>
                <w:rFonts w:ascii="Arial" w:eastAsia="Arial" w:hAnsi="Arial" w:cs="Arial"/>
                <w:sz w:val="18"/>
                <w:szCs w:val="18"/>
              </w:rPr>
            </w:pPr>
          </w:p>
        </w:tc>
      </w:tr>
      <w:tr w:rsidR="005C5A79" w:rsidRPr="005A1511" w14:paraId="75E25CD1" w14:textId="77777777">
        <w:tc>
          <w:tcPr>
            <w:tcW w:w="534" w:type="dxa"/>
            <w:shd w:val="clear" w:color="auto" w:fill="auto"/>
          </w:tcPr>
          <w:p w14:paraId="4D0C5F17" w14:textId="77777777" w:rsidR="005C5A79" w:rsidRPr="005A1511" w:rsidRDefault="005C5A79" w:rsidP="005C5A79">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lastRenderedPageBreak/>
              <w:t>1.6</w:t>
            </w:r>
          </w:p>
        </w:tc>
        <w:tc>
          <w:tcPr>
            <w:tcW w:w="1417" w:type="dxa"/>
            <w:tcBorders>
              <w:top w:val="single" w:sz="4" w:space="0" w:color="000000"/>
            </w:tcBorders>
            <w:shd w:val="clear" w:color="auto" w:fill="D9D9D9"/>
          </w:tcPr>
          <w:p w14:paraId="6EA8E31F" w14:textId="77777777" w:rsidR="005C5A79" w:rsidRPr="005A1511" w:rsidRDefault="005C5A79" w:rsidP="005C5A79">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Methodology</w:t>
            </w:r>
          </w:p>
        </w:tc>
        <w:tc>
          <w:tcPr>
            <w:tcW w:w="7938" w:type="dxa"/>
          </w:tcPr>
          <w:p w14:paraId="516A11B1" w14:textId="479BFD93" w:rsidR="00B16742" w:rsidRPr="005A1511" w:rsidRDefault="00B16742" w:rsidP="00B16742">
            <w:pPr>
              <w:pStyle w:val="ListParagraph"/>
              <w:numPr>
                <w:ilvl w:val="0"/>
                <w:numId w:val="26"/>
              </w:numPr>
              <w:spacing w:after="0" w:line="240" w:lineRule="auto"/>
              <w:rPr>
                <w:rFonts w:ascii="Arial" w:eastAsia="Arial" w:hAnsi="Arial" w:cs="Arial"/>
                <w:sz w:val="18"/>
                <w:szCs w:val="18"/>
              </w:rPr>
            </w:pPr>
            <w:r w:rsidRPr="005A1511">
              <w:rPr>
                <w:rFonts w:ascii="Arial" w:eastAsia="Arial" w:hAnsi="Arial" w:cs="Arial"/>
                <w:sz w:val="18"/>
                <w:szCs w:val="18"/>
              </w:rPr>
              <w:t>Numerator divided by denominator, expressed as a percentage</w:t>
            </w:r>
          </w:p>
          <w:p w14:paraId="7916F968" w14:textId="77777777" w:rsidR="00D20B75" w:rsidRPr="005A1511" w:rsidRDefault="00D20B75" w:rsidP="00D20B75">
            <w:pPr>
              <w:spacing w:after="0" w:line="240" w:lineRule="auto"/>
              <w:rPr>
                <w:rFonts w:ascii="Arial" w:eastAsia="Arial" w:hAnsi="Arial" w:cs="Arial"/>
                <w:sz w:val="18"/>
                <w:szCs w:val="18"/>
              </w:rPr>
            </w:pPr>
          </w:p>
          <w:p w14:paraId="1FBD8680" w14:textId="77777777" w:rsidR="00D20B75" w:rsidRPr="005A1511" w:rsidRDefault="00D20B75" w:rsidP="00D20B75">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Consultation counts are also shown as an integer in the visualisation tooltip (hover), as well as in the Table and Graph (Values) views. </w:t>
            </w:r>
          </w:p>
          <w:p w14:paraId="6376E772" w14:textId="77777777" w:rsidR="005C5A79" w:rsidRPr="005A1511" w:rsidRDefault="005C5A79" w:rsidP="005C5A79">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 </w:t>
            </w:r>
          </w:p>
          <w:p w14:paraId="29D83937" w14:textId="02B60719" w:rsidR="00B4215D" w:rsidRPr="005A1511" w:rsidRDefault="00B4215D" w:rsidP="00B4215D">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The default view for the graphs </w:t>
            </w:r>
            <w:r w:rsidR="00941CCE" w:rsidRPr="005A1511">
              <w:rPr>
                <w:rFonts w:ascii="Arial" w:eastAsia="Arial" w:hAnsi="Arial" w:cs="Arial"/>
                <w:color w:val="auto"/>
                <w:sz w:val="18"/>
                <w:szCs w:val="18"/>
              </w:rPr>
              <w:t>shows</w:t>
            </w:r>
            <w:r w:rsidRPr="005A1511">
              <w:rPr>
                <w:rFonts w:ascii="Arial" w:eastAsia="Arial" w:hAnsi="Arial" w:cs="Arial"/>
                <w:color w:val="auto"/>
                <w:sz w:val="18"/>
                <w:szCs w:val="18"/>
              </w:rPr>
              <w:t xml:space="preserve"> the percentage composition of consultations by consultation outcome or mode, but the data can also be viewed as a graph showing actual values by selecting Graph (Values) from the view selector, or as a data table by selecting the Table view.</w:t>
            </w:r>
          </w:p>
          <w:p w14:paraId="6CD9AD83" w14:textId="6D333D58" w:rsidR="00B4215D" w:rsidRPr="005A1511" w:rsidRDefault="00B4215D" w:rsidP="005C5A79">
            <w:pPr>
              <w:spacing w:after="0" w:line="240" w:lineRule="auto"/>
              <w:rPr>
                <w:rFonts w:ascii="Arial" w:eastAsia="Arial" w:hAnsi="Arial" w:cs="Arial"/>
                <w:color w:val="auto"/>
                <w:sz w:val="18"/>
                <w:szCs w:val="18"/>
              </w:rPr>
            </w:pPr>
          </w:p>
        </w:tc>
      </w:tr>
      <w:tr w:rsidR="005C5A79" w:rsidRPr="005A1511" w14:paraId="37FD29F1" w14:textId="77777777">
        <w:tc>
          <w:tcPr>
            <w:tcW w:w="534" w:type="dxa"/>
            <w:shd w:val="clear" w:color="auto" w:fill="auto"/>
          </w:tcPr>
          <w:p w14:paraId="550ACF74" w14:textId="27E89545" w:rsidR="005C5A79" w:rsidRPr="005A1511" w:rsidRDefault="005C5A79" w:rsidP="005C5A79">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1.7</w:t>
            </w:r>
          </w:p>
        </w:tc>
        <w:tc>
          <w:tcPr>
            <w:tcW w:w="1417" w:type="dxa"/>
            <w:tcBorders>
              <w:top w:val="single" w:sz="4" w:space="0" w:color="000000"/>
            </w:tcBorders>
            <w:shd w:val="clear" w:color="auto" w:fill="D9D9D9"/>
          </w:tcPr>
          <w:p w14:paraId="1AC5817D" w14:textId="092B6364" w:rsidR="005C5A79" w:rsidRPr="005A1511" w:rsidRDefault="005C5A79" w:rsidP="005C5A79">
            <w:pPr>
              <w:spacing w:after="0" w:line="240" w:lineRule="auto"/>
              <w:rPr>
                <w:rFonts w:ascii="Arial" w:eastAsia="Arial" w:hAnsi="Arial" w:cs="Arial"/>
                <w:b/>
                <w:color w:val="auto"/>
                <w:sz w:val="18"/>
                <w:szCs w:val="18"/>
              </w:rPr>
            </w:pPr>
            <w:r w:rsidRPr="005A1511">
              <w:rPr>
                <w:rFonts w:ascii="Arial" w:eastAsia="Arial" w:hAnsi="Arial" w:cs="Arial"/>
                <w:b/>
                <w:color w:val="auto"/>
                <w:sz w:val="18"/>
                <w:szCs w:val="18"/>
              </w:rPr>
              <w:t>Medicines</w:t>
            </w:r>
          </w:p>
        </w:tc>
        <w:tc>
          <w:tcPr>
            <w:tcW w:w="7938" w:type="dxa"/>
          </w:tcPr>
          <w:p w14:paraId="260564EA" w14:textId="6306134A" w:rsidR="005C5A79" w:rsidRPr="005A1511" w:rsidRDefault="00B16742" w:rsidP="00B16742">
            <w:pPr>
              <w:spacing w:after="0" w:line="240" w:lineRule="auto"/>
              <w:rPr>
                <w:rFonts w:ascii="Arial" w:eastAsia="Arial" w:hAnsi="Arial" w:cs="Arial"/>
                <w:color w:val="auto"/>
                <w:sz w:val="18"/>
                <w:szCs w:val="18"/>
              </w:rPr>
            </w:pPr>
            <w:r w:rsidRPr="005A1511">
              <w:rPr>
                <w:rFonts w:ascii="Arial" w:eastAsia="Arial" w:hAnsi="Arial" w:cs="Arial"/>
                <w:sz w:val="18"/>
                <w:szCs w:val="18"/>
              </w:rPr>
              <w:t xml:space="preserve">Please refer to the Patient Group Directions for the relevant clinical pathway, which can be found at </w:t>
            </w:r>
            <w:hyperlink r:id="rId23" w:history="1">
              <w:r w:rsidRPr="005A1511">
                <w:rPr>
                  <w:rStyle w:val="Hyperlink"/>
                  <w:rFonts w:ascii="Arial" w:eastAsia="Arial" w:hAnsi="Arial" w:cs="Arial"/>
                  <w:sz w:val="18"/>
                  <w:szCs w:val="18"/>
                </w:rPr>
                <w:t>https://www.england.nhs.uk/publication/community-pharmacy-advanced-service-specification-nhs-pharmacy-first-service/</w:t>
              </w:r>
            </w:hyperlink>
          </w:p>
        </w:tc>
      </w:tr>
      <w:tr w:rsidR="005C5A79" w:rsidRPr="005A1511" w14:paraId="5FC140F0" w14:textId="77777777">
        <w:tc>
          <w:tcPr>
            <w:tcW w:w="9889" w:type="dxa"/>
            <w:gridSpan w:val="3"/>
            <w:shd w:val="clear" w:color="auto" w:fill="D9D9D9"/>
          </w:tcPr>
          <w:p w14:paraId="080FC33A" w14:textId="77777777" w:rsidR="005C5A79" w:rsidRPr="005A1511" w:rsidRDefault="005C5A79" w:rsidP="005C5A79">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Section 2: Rationale</w:t>
            </w:r>
          </w:p>
        </w:tc>
      </w:tr>
      <w:tr w:rsidR="005C5A79" w:rsidRPr="005A1511" w14:paraId="4CE5B6E1" w14:textId="77777777">
        <w:trPr>
          <w:trHeight w:val="1220"/>
        </w:trPr>
        <w:tc>
          <w:tcPr>
            <w:tcW w:w="534" w:type="dxa"/>
            <w:shd w:val="clear" w:color="auto" w:fill="auto"/>
          </w:tcPr>
          <w:p w14:paraId="13E53239" w14:textId="77777777" w:rsidR="005C5A79" w:rsidRPr="005A1511" w:rsidRDefault="005C5A79" w:rsidP="005C5A79">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2.1</w:t>
            </w:r>
          </w:p>
          <w:p w14:paraId="5AC471EC" w14:textId="77777777" w:rsidR="005C5A79" w:rsidRPr="005A1511" w:rsidRDefault="005C5A79" w:rsidP="005C5A79">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3D5353EF" w14:textId="5B4A3060" w:rsidR="005C5A79" w:rsidRPr="005A1511" w:rsidRDefault="005C5A79" w:rsidP="005C5A79">
            <w:pPr>
              <w:spacing w:after="0" w:line="240" w:lineRule="auto"/>
              <w:rPr>
                <w:rFonts w:ascii="Arial" w:eastAsia="Arial" w:hAnsi="Arial" w:cs="Arial"/>
                <w:color w:val="auto"/>
                <w:sz w:val="18"/>
                <w:szCs w:val="18"/>
              </w:rPr>
            </w:pPr>
            <w:r w:rsidRPr="005A1511">
              <w:rPr>
                <w:rFonts w:ascii="Arial" w:eastAsia="Arial" w:hAnsi="Arial" w:cs="Arial"/>
                <w:b/>
                <w:color w:val="auto"/>
                <w:sz w:val="18"/>
                <w:szCs w:val="18"/>
              </w:rPr>
              <w:t>Purpose and limitations</w:t>
            </w:r>
          </w:p>
        </w:tc>
        <w:tc>
          <w:tcPr>
            <w:tcW w:w="7938" w:type="dxa"/>
          </w:tcPr>
          <w:p w14:paraId="0963ECD2" w14:textId="77777777" w:rsidR="00B05F82" w:rsidRPr="005A1511" w:rsidRDefault="00B05F82" w:rsidP="00B05F82">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The purpose of this dashboard is to help support clinicians and ICBs monitor access to infection pathways and monitor exposure to medicines including antimicrobials for defined populations. </w:t>
            </w:r>
          </w:p>
          <w:p w14:paraId="5980FCD2" w14:textId="77777777" w:rsidR="00B05F82" w:rsidRPr="005A1511" w:rsidRDefault="00B05F82" w:rsidP="00B05F82">
            <w:pPr>
              <w:spacing w:after="0" w:line="240" w:lineRule="auto"/>
              <w:rPr>
                <w:rFonts w:ascii="Arial" w:eastAsia="Arial" w:hAnsi="Arial" w:cs="Arial"/>
                <w:color w:val="auto"/>
                <w:sz w:val="18"/>
                <w:szCs w:val="18"/>
              </w:rPr>
            </w:pPr>
          </w:p>
          <w:p w14:paraId="446FD789" w14:textId="77777777" w:rsidR="00B05F82" w:rsidRPr="005A1511" w:rsidRDefault="00B05F82" w:rsidP="00B05F82">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To enable this, patient consultation data has been attributed to the ICB with which the patient is currently registered at a General Practice, based on the General Practice ODS code as reported in the Pharmacy First consultation data set. </w:t>
            </w:r>
          </w:p>
          <w:p w14:paraId="03D50E59" w14:textId="77777777" w:rsidR="00F64854" w:rsidRPr="005A1511" w:rsidRDefault="00F64854" w:rsidP="00F64854">
            <w:pPr>
              <w:spacing w:after="0" w:line="240" w:lineRule="auto"/>
              <w:rPr>
                <w:rFonts w:ascii="Arial" w:eastAsia="Arial" w:hAnsi="Arial" w:cs="Arial"/>
                <w:color w:val="auto"/>
                <w:sz w:val="18"/>
                <w:szCs w:val="18"/>
              </w:rPr>
            </w:pPr>
          </w:p>
          <w:p w14:paraId="1F941745" w14:textId="77777777" w:rsidR="00F64854" w:rsidRPr="005A1511" w:rsidRDefault="00F64854" w:rsidP="00F64854">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This comparator provides a summary of all Pharmacy First consultations by selected organisation for selected month for population access, consultation outcome and consultation mode. This summary allows organisations to identify variation within the selected organisation across all 7 clinical pathways.</w:t>
            </w:r>
          </w:p>
          <w:p w14:paraId="0F4D689E" w14:textId="77777777" w:rsidR="00F64854" w:rsidRPr="005A1511" w:rsidRDefault="00F64854" w:rsidP="00F64854">
            <w:pPr>
              <w:spacing w:after="0" w:line="240" w:lineRule="auto"/>
              <w:rPr>
                <w:rFonts w:ascii="Arial" w:eastAsia="Arial" w:hAnsi="Arial" w:cs="Arial"/>
                <w:color w:val="auto"/>
                <w:sz w:val="18"/>
                <w:szCs w:val="18"/>
              </w:rPr>
            </w:pPr>
          </w:p>
          <w:p w14:paraId="27B331DE" w14:textId="20780CEE" w:rsidR="00F64854" w:rsidRPr="005A1511" w:rsidRDefault="00F64854" w:rsidP="00F64854">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Population Access and Consultation Outcome comparators can also be selected and viewed as individual comparators. However, Consultation Mode is only reported in the Monthly Summary view.</w:t>
            </w:r>
          </w:p>
          <w:p w14:paraId="208CDB88" w14:textId="77777777" w:rsidR="00F64854" w:rsidRPr="005A1511" w:rsidRDefault="00F64854" w:rsidP="00F64854">
            <w:pPr>
              <w:spacing w:after="0" w:line="240" w:lineRule="auto"/>
              <w:rPr>
                <w:rFonts w:ascii="Arial" w:eastAsia="Arial" w:hAnsi="Arial" w:cs="Arial"/>
                <w:color w:val="auto"/>
                <w:sz w:val="18"/>
                <w:szCs w:val="18"/>
              </w:rPr>
            </w:pPr>
          </w:p>
          <w:p w14:paraId="08C623E2" w14:textId="77777777" w:rsidR="00B05F82" w:rsidRPr="005A1511" w:rsidRDefault="00B05F82" w:rsidP="00B05F82">
            <w:pPr>
              <w:spacing w:after="0" w:line="240" w:lineRule="auto"/>
              <w:rPr>
                <w:rFonts w:ascii="Arial" w:eastAsia="Arial" w:hAnsi="Arial" w:cs="Arial"/>
                <w:color w:val="auto"/>
                <w:sz w:val="18"/>
                <w:szCs w:val="18"/>
              </w:rPr>
            </w:pPr>
            <w:r w:rsidRPr="005A1511">
              <w:rPr>
                <w:rFonts w:ascii="Arial" w:eastAsia="Arial" w:hAnsi="Arial" w:cs="Arial"/>
                <w:color w:val="auto"/>
                <w:sz w:val="18"/>
                <w:szCs w:val="18"/>
              </w:rPr>
              <w:t xml:space="preserve">Please note there is a known data issue with consultation outcome categories for pharmacies using the Sonar IT system – see </w:t>
            </w:r>
            <w:hyperlink w:anchor="_Incorrect_categorisation_of_1" w:history="1">
              <w:r w:rsidRPr="005A1511">
                <w:rPr>
                  <w:rStyle w:val="Hyperlink"/>
                  <w:rFonts w:ascii="Arial" w:eastAsia="Arial" w:hAnsi="Arial" w:cs="Arial"/>
                  <w:sz w:val="18"/>
                  <w:szCs w:val="18"/>
                </w:rPr>
                <w:t>Incorrect categorisation of consultation outcomes for Sonar pharmacy sites</w:t>
              </w:r>
            </w:hyperlink>
            <w:r w:rsidRPr="005A1511">
              <w:rPr>
                <w:rFonts w:ascii="Arial" w:eastAsia="Arial" w:hAnsi="Arial" w:cs="Arial"/>
                <w:color w:val="auto"/>
                <w:sz w:val="18"/>
                <w:szCs w:val="18"/>
              </w:rPr>
              <w:t xml:space="preserve"> for more information.</w:t>
            </w:r>
          </w:p>
          <w:p w14:paraId="40C7D290" w14:textId="11F29646" w:rsidR="005C5A79" w:rsidRPr="005A1511" w:rsidRDefault="005C5A79" w:rsidP="00F64854">
            <w:pPr>
              <w:spacing w:after="0" w:line="240" w:lineRule="auto"/>
              <w:rPr>
                <w:rFonts w:ascii="Arial" w:eastAsia="Arial" w:hAnsi="Arial" w:cs="Arial"/>
                <w:color w:val="auto"/>
                <w:sz w:val="18"/>
                <w:szCs w:val="18"/>
              </w:rPr>
            </w:pPr>
          </w:p>
        </w:tc>
      </w:tr>
    </w:tbl>
    <w:p w14:paraId="5D46A27E" w14:textId="77777777" w:rsidR="000E2C12" w:rsidRPr="005A1511" w:rsidRDefault="000E2C12">
      <w:pPr>
        <w:rPr>
          <w:rFonts w:ascii="Arial" w:eastAsia="Arial" w:hAnsi="Arial" w:cs="Arial"/>
          <w:b/>
          <w:sz w:val="20"/>
          <w:szCs w:val="20"/>
        </w:rPr>
      </w:pPr>
      <w:bookmarkStart w:id="41" w:name="_lrr7f08x7i1g" w:colFirst="0" w:colLast="0"/>
      <w:bookmarkStart w:id="42" w:name="_gghmqbu2rr0e" w:colFirst="0" w:colLast="0"/>
      <w:bookmarkStart w:id="43" w:name="49x2ik5" w:colFirst="0" w:colLast="0"/>
      <w:bookmarkEnd w:id="41"/>
      <w:bookmarkEnd w:id="42"/>
      <w:bookmarkEnd w:id="43"/>
      <w:r w:rsidRPr="005A1511">
        <w:rPr>
          <w:rFonts w:ascii="Arial" w:hAnsi="Arial" w:cs="Arial"/>
        </w:rPr>
        <w:br w:type="page"/>
      </w:r>
    </w:p>
    <w:p w14:paraId="06FC2D18" w14:textId="1FAD7AA4" w:rsidR="00FB7CD7" w:rsidRPr="005A1511" w:rsidRDefault="00E6424D" w:rsidP="00FB7CD7">
      <w:pPr>
        <w:pStyle w:val="Heading2"/>
      </w:pPr>
      <w:bookmarkStart w:id="44" w:name="_Toc189144444"/>
      <w:r w:rsidRPr="005A1511">
        <w:lastRenderedPageBreak/>
        <w:t>Datasets Section</w:t>
      </w:r>
      <w:bookmarkEnd w:id="44"/>
    </w:p>
    <w:p w14:paraId="3844EBF6" w14:textId="7C16C5CE" w:rsidR="00E6424D" w:rsidRPr="005A1511" w:rsidRDefault="006C5E95" w:rsidP="00E6424D">
      <w:pPr>
        <w:rPr>
          <w:rFonts w:ascii="Arial" w:hAnsi="Arial" w:cs="Arial"/>
        </w:rPr>
      </w:pPr>
      <w:r w:rsidRPr="005A1511">
        <w:rPr>
          <w:rFonts w:ascii="Arial" w:hAnsi="Arial" w:cs="Arial"/>
        </w:rPr>
        <w:t>The following datasets are available for download at ICB</w:t>
      </w:r>
      <w:r w:rsidR="0030335F" w:rsidRPr="005A1511">
        <w:rPr>
          <w:rFonts w:ascii="Arial" w:hAnsi="Arial" w:cs="Arial"/>
        </w:rPr>
        <w:t xml:space="preserve"> and</w:t>
      </w:r>
      <w:r w:rsidRPr="005A1511">
        <w:rPr>
          <w:rFonts w:ascii="Arial" w:hAnsi="Arial" w:cs="Arial"/>
        </w:rPr>
        <w:t xml:space="preserve"> Region levels:</w:t>
      </w:r>
    </w:p>
    <w:p w14:paraId="5D6BF42F" w14:textId="08A27018" w:rsidR="006C5E95" w:rsidRPr="005A1511" w:rsidRDefault="0030335F" w:rsidP="00EA7999">
      <w:pPr>
        <w:pStyle w:val="ListParagraph"/>
        <w:numPr>
          <w:ilvl w:val="0"/>
          <w:numId w:val="36"/>
        </w:numPr>
        <w:rPr>
          <w:rFonts w:ascii="Arial" w:hAnsi="Arial" w:cs="Arial"/>
        </w:rPr>
      </w:pPr>
      <w:r w:rsidRPr="005A1511">
        <w:rPr>
          <w:rFonts w:ascii="Arial" w:hAnsi="Arial" w:cs="Arial"/>
        </w:rPr>
        <w:t>Pathway by Consultation Outcome</w:t>
      </w:r>
    </w:p>
    <w:p w14:paraId="324DC547" w14:textId="26726422" w:rsidR="0030335F" w:rsidRPr="005A1511" w:rsidRDefault="0030335F" w:rsidP="00EA7999">
      <w:pPr>
        <w:pStyle w:val="ListParagraph"/>
        <w:numPr>
          <w:ilvl w:val="0"/>
          <w:numId w:val="36"/>
        </w:numPr>
        <w:rPr>
          <w:rFonts w:ascii="Arial" w:hAnsi="Arial" w:cs="Arial"/>
        </w:rPr>
      </w:pPr>
      <w:r w:rsidRPr="005A1511">
        <w:rPr>
          <w:rFonts w:ascii="Arial" w:hAnsi="Arial" w:cs="Arial"/>
        </w:rPr>
        <w:t>Pathway by Medicine Selected</w:t>
      </w:r>
    </w:p>
    <w:p w14:paraId="20900FAE" w14:textId="3C67290A" w:rsidR="0030335F" w:rsidRPr="005A1511" w:rsidRDefault="0030335F" w:rsidP="00EA7999">
      <w:pPr>
        <w:pStyle w:val="ListParagraph"/>
        <w:numPr>
          <w:ilvl w:val="0"/>
          <w:numId w:val="36"/>
        </w:numPr>
        <w:rPr>
          <w:rFonts w:ascii="Arial" w:hAnsi="Arial" w:cs="Arial"/>
        </w:rPr>
      </w:pPr>
      <w:r w:rsidRPr="005A1511">
        <w:rPr>
          <w:rFonts w:ascii="Arial" w:hAnsi="Arial" w:cs="Arial"/>
        </w:rPr>
        <w:t>Pathway by Medicine Selected</w:t>
      </w:r>
    </w:p>
    <w:p w14:paraId="22AE3EE9" w14:textId="2E3B65C8" w:rsidR="00FC6BE1" w:rsidRPr="005A1511" w:rsidRDefault="00FC6BE1" w:rsidP="00EA7999">
      <w:pPr>
        <w:pStyle w:val="ListParagraph"/>
        <w:numPr>
          <w:ilvl w:val="0"/>
          <w:numId w:val="36"/>
        </w:numPr>
        <w:rPr>
          <w:rFonts w:ascii="Arial" w:hAnsi="Arial" w:cs="Arial"/>
        </w:rPr>
      </w:pPr>
      <w:r w:rsidRPr="005A1511">
        <w:rPr>
          <w:rFonts w:ascii="Arial" w:hAnsi="Arial" w:cs="Arial"/>
        </w:rPr>
        <w:t>Pathway by Demographic</w:t>
      </w:r>
    </w:p>
    <w:p w14:paraId="55F951B6" w14:textId="631DDECC" w:rsidR="00FC6BE1" w:rsidRPr="005A1511" w:rsidRDefault="00FC6BE1" w:rsidP="00EA7999">
      <w:pPr>
        <w:pStyle w:val="ListParagraph"/>
        <w:numPr>
          <w:ilvl w:val="0"/>
          <w:numId w:val="36"/>
        </w:numPr>
        <w:rPr>
          <w:rFonts w:ascii="Arial" w:hAnsi="Arial" w:cs="Arial"/>
        </w:rPr>
      </w:pPr>
      <w:r w:rsidRPr="005A1511">
        <w:rPr>
          <w:rFonts w:ascii="Arial" w:hAnsi="Arial" w:cs="Arial"/>
        </w:rPr>
        <w:t>Uncomplicated UTI Pathway</w:t>
      </w:r>
    </w:p>
    <w:p w14:paraId="12A0DAE8" w14:textId="34B78477" w:rsidR="00035CFA" w:rsidRPr="005A1511" w:rsidRDefault="00035CFA" w:rsidP="00035CFA">
      <w:pPr>
        <w:rPr>
          <w:rFonts w:ascii="Arial" w:hAnsi="Arial" w:cs="Arial"/>
        </w:rPr>
      </w:pPr>
      <w:r w:rsidRPr="005A1511">
        <w:rPr>
          <w:rFonts w:ascii="Arial" w:hAnsi="Arial" w:cs="Arial"/>
        </w:rPr>
        <w:t xml:space="preserve">For each of these, </w:t>
      </w:r>
      <w:r w:rsidR="00E41D0C" w:rsidRPr="005A1511">
        <w:rPr>
          <w:rFonts w:ascii="Arial" w:hAnsi="Arial" w:cs="Arial"/>
        </w:rPr>
        <w:t>one or more month</w:t>
      </w:r>
      <w:r w:rsidR="008F494D" w:rsidRPr="005A1511">
        <w:rPr>
          <w:rFonts w:ascii="Arial" w:hAnsi="Arial" w:cs="Arial"/>
        </w:rPr>
        <w:t>s</w:t>
      </w:r>
      <w:r w:rsidR="00E41D0C" w:rsidRPr="005A1511">
        <w:rPr>
          <w:rFonts w:ascii="Arial" w:hAnsi="Arial" w:cs="Arial"/>
        </w:rPr>
        <w:t>, organisation</w:t>
      </w:r>
      <w:r w:rsidR="008F494D" w:rsidRPr="005A1511">
        <w:rPr>
          <w:rFonts w:ascii="Arial" w:hAnsi="Arial" w:cs="Arial"/>
        </w:rPr>
        <w:t>s</w:t>
      </w:r>
      <w:r w:rsidR="00E41D0C" w:rsidRPr="005A1511">
        <w:rPr>
          <w:rFonts w:ascii="Arial" w:hAnsi="Arial" w:cs="Arial"/>
        </w:rPr>
        <w:t xml:space="preserve"> and clinical pathway</w:t>
      </w:r>
      <w:r w:rsidR="008F494D" w:rsidRPr="005A1511">
        <w:rPr>
          <w:rFonts w:ascii="Arial" w:hAnsi="Arial" w:cs="Arial"/>
        </w:rPr>
        <w:t>s</w:t>
      </w:r>
      <w:r w:rsidR="00E41D0C" w:rsidRPr="005A1511">
        <w:rPr>
          <w:rFonts w:ascii="Arial" w:hAnsi="Arial" w:cs="Arial"/>
        </w:rPr>
        <w:t xml:space="preserve"> can be </w:t>
      </w:r>
      <w:r w:rsidR="00A35055" w:rsidRPr="005A1511">
        <w:rPr>
          <w:rFonts w:ascii="Arial" w:hAnsi="Arial" w:cs="Arial"/>
        </w:rPr>
        <w:t>selected.</w:t>
      </w:r>
    </w:p>
    <w:p w14:paraId="6F7CCE90" w14:textId="7A44AD44" w:rsidR="00FC6BE1" w:rsidRPr="005A1511" w:rsidRDefault="00FC6BE1" w:rsidP="00E6424D">
      <w:pPr>
        <w:rPr>
          <w:rFonts w:ascii="Arial" w:hAnsi="Arial" w:cs="Arial"/>
        </w:rPr>
      </w:pPr>
      <w:r w:rsidRPr="005A1511">
        <w:rPr>
          <w:rFonts w:ascii="Arial" w:hAnsi="Arial" w:cs="Arial"/>
        </w:rPr>
        <w:t>At National level, the following datasets can be accessed:</w:t>
      </w:r>
    </w:p>
    <w:p w14:paraId="26DD2395" w14:textId="7A77BC42" w:rsidR="00FC6BE1" w:rsidRPr="005A1511" w:rsidRDefault="00EB61E9" w:rsidP="00EA7999">
      <w:pPr>
        <w:pStyle w:val="ListParagraph"/>
        <w:numPr>
          <w:ilvl w:val="0"/>
          <w:numId w:val="35"/>
        </w:numPr>
        <w:rPr>
          <w:rFonts w:ascii="Arial" w:hAnsi="Arial" w:cs="Arial"/>
        </w:rPr>
      </w:pPr>
      <w:r w:rsidRPr="005A1511">
        <w:rPr>
          <w:rFonts w:ascii="Arial" w:hAnsi="Arial" w:cs="Arial"/>
        </w:rPr>
        <w:t>Pathway by Demographic</w:t>
      </w:r>
    </w:p>
    <w:p w14:paraId="29DD2887" w14:textId="10BB008E" w:rsidR="00EB61E9" w:rsidRPr="005A1511" w:rsidRDefault="00EB61E9" w:rsidP="00EA7999">
      <w:pPr>
        <w:pStyle w:val="ListParagraph"/>
        <w:numPr>
          <w:ilvl w:val="0"/>
          <w:numId w:val="35"/>
        </w:numPr>
        <w:rPr>
          <w:rFonts w:ascii="Arial" w:hAnsi="Arial" w:cs="Arial"/>
        </w:rPr>
      </w:pPr>
      <w:r w:rsidRPr="005A1511">
        <w:rPr>
          <w:rFonts w:ascii="Arial" w:hAnsi="Arial" w:cs="Arial"/>
        </w:rPr>
        <w:t>Uncomplicated UTI Pathway</w:t>
      </w:r>
    </w:p>
    <w:p w14:paraId="215B4A85" w14:textId="68E1DB31" w:rsidR="00A35055" w:rsidRPr="005A1511" w:rsidRDefault="00A35055" w:rsidP="00A35055">
      <w:pPr>
        <w:rPr>
          <w:rFonts w:ascii="Arial" w:hAnsi="Arial" w:cs="Arial"/>
        </w:rPr>
      </w:pPr>
      <w:r w:rsidRPr="005A1511">
        <w:rPr>
          <w:rFonts w:ascii="Arial" w:hAnsi="Arial" w:cs="Arial"/>
        </w:rPr>
        <w:t>For each, one or more month</w:t>
      </w:r>
      <w:r w:rsidR="008F494D" w:rsidRPr="005A1511">
        <w:rPr>
          <w:rFonts w:ascii="Arial" w:hAnsi="Arial" w:cs="Arial"/>
        </w:rPr>
        <w:t>s</w:t>
      </w:r>
      <w:r w:rsidRPr="005A1511">
        <w:rPr>
          <w:rFonts w:ascii="Arial" w:hAnsi="Arial" w:cs="Arial"/>
        </w:rPr>
        <w:t xml:space="preserve"> and clinical pathway</w:t>
      </w:r>
      <w:r w:rsidR="008F494D" w:rsidRPr="005A1511">
        <w:rPr>
          <w:rFonts w:ascii="Arial" w:hAnsi="Arial" w:cs="Arial"/>
        </w:rPr>
        <w:t>s</w:t>
      </w:r>
      <w:r w:rsidRPr="005A1511">
        <w:rPr>
          <w:rFonts w:ascii="Arial" w:hAnsi="Arial" w:cs="Arial"/>
        </w:rPr>
        <w:t xml:space="preserve"> can be selected.</w:t>
      </w:r>
    </w:p>
    <w:p w14:paraId="7DCF0357" w14:textId="77777777" w:rsidR="004A7E0E" w:rsidRPr="005A1511" w:rsidRDefault="004A7E0E">
      <w:pPr>
        <w:rPr>
          <w:rFonts w:ascii="Arial" w:eastAsia="Arial" w:hAnsi="Arial" w:cs="Arial"/>
          <w:b/>
          <w:sz w:val="24"/>
          <w:szCs w:val="24"/>
        </w:rPr>
      </w:pPr>
      <w:r w:rsidRPr="005A1511">
        <w:rPr>
          <w:rFonts w:ascii="Arial" w:hAnsi="Arial" w:cs="Arial"/>
        </w:rPr>
        <w:br w:type="page"/>
      </w:r>
    </w:p>
    <w:p w14:paraId="558851CA" w14:textId="2B3A7CB5" w:rsidR="008A79C1" w:rsidRPr="005A1511" w:rsidRDefault="008A79C1" w:rsidP="00FD797D">
      <w:pPr>
        <w:pStyle w:val="Heading1"/>
      </w:pPr>
      <w:bookmarkStart w:id="45" w:name="_Appendix_3:_Data"/>
      <w:bookmarkStart w:id="46" w:name="_Toc189144445"/>
      <w:bookmarkEnd w:id="45"/>
      <w:r w:rsidRPr="005A1511">
        <w:lastRenderedPageBreak/>
        <w:t xml:space="preserve">Appendix </w:t>
      </w:r>
      <w:r w:rsidR="006E026A" w:rsidRPr="005A1511">
        <w:t>1</w:t>
      </w:r>
      <w:r w:rsidRPr="005A1511">
        <w:t xml:space="preserve">: </w:t>
      </w:r>
      <w:r w:rsidR="00163862" w:rsidRPr="005A1511">
        <w:t>Supply of nitrofurantoin 100mg modified release with a quantity of 6, vs nitrofurantoin 50mg instant release capsu</w:t>
      </w:r>
      <w:r w:rsidR="00F32A1A" w:rsidRPr="005A1511">
        <w:t>les or tablets with a quantity of 12, for the Uncomplicated UTI pathway.</w:t>
      </w:r>
      <w:bookmarkEnd w:id="46"/>
      <w:r w:rsidR="00A0091A" w:rsidRPr="005A1511">
        <w:t xml:space="preserve"> </w:t>
      </w:r>
    </w:p>
    <w:p w14:paraId="7AA47679" w14:textId="046247DE" w:rsidR="00FB2410" w:rsidRPr="005A1511" w:rsidRDefault="00FB2410" w:rsidP="00FB2410">
      <w:pPr>
        <w:rPr>
          <w:rFonts w:ascii="Arial" w:hAnsi="Arial" w:cs="Arial"/>
        </w:rPr>
      </w:pPr>
      <w:r w:rsidRPr="005A1511">
        <w:rPr>
          <w:rFonts w:ascii="Arial" w:hAnsi="Arial" w:cs="Arial"/>
        </w:rPr>
        <w:t xml:space="preserve">This table reports the total number of nitrofurantoin items supplied </w:t>
      </w:r>
      <w:r w:rsidR="008B469D" w:rsidRPr="005A1511">
        <w:rPr>
          <w:rFonts w:ascii="Arial" w:hAnsi="Arial" w:cs="Arial"/>
        </w:rPr>
        <w:t>under the</w:t>
      </w:r>
      <w:r w:rsidRPr="005A1511">
        <w:rPr>
          <w:rFonts w:ascii="Arial" w:hAnsi="Arial" w:cs="Arial"/>
        </w:rPr>
        <w:t xml:space="preserve"> Patient Group Direction </w:t>
      </w:r>
      <w:r w:rsidR="008B469D" w:rsidRPr="005A1511">
        <w:rPr>
          <w:rFonts w:ascii="Arial" w:hAnsi="Arial" w:cs="Arial"/>
        </w:rPr>
        <w:t xml:space="preserve">for the </w:t>
      </w:r>
      <w:r w:rsidRPr="005A1511">
        <w:rPr>
          <w:rFonts w:ascii="Arial" w:hAnsi="Arial" w:cs="Arial"/>
        </w:rPr>
        <w:t xml:space="preserve">Pharmacy First Uncomplicated UTI clinical pathway by presentation and quantity. </w:t>
      </w:r>
    </w:p>
    <w:p w14:paraId="1261F393" w14:textId="5D0CD9F0" w:rsidR="00FB2410" w:rsidRPr="005A1511" w:rsidRDefault="008B469D" w:rsidP="00FB2410">
      <w:pPr>
        <w:rPr>
          <w:rFonts w:ascii="Arial" w:hAnsi="Arial" w:cs="Arial"/>
        </w:rPr>
      </w:pPr>
      <w:r w:rsidRPr="005A1511">
        <w:rPr>
          <w:rFonts w:ascii="Arial" w:hAnsi="Arial" w:cs="Arial"/>
        </w:rPr>
        <w:t>T</w:t>
      </w:r>
      <w:r w:rsidR="00FB2410" w:rsidRPr="005A1511">
        <w:rPr>
          <w:rFonts w:ascii="Arial" w:hAnsi="Arial" w:cs="Arial"/>
        </w:rPr>
        <w:t xml:space="preserve">he Uncomplicated UTI Pathway comparator only reports Pharmacy First consultation activity </w:t>
      </w:r>
      <w:r w:rsidRPr="005A1511">
        <w:rPr>
          <w:rFonts w:ascii="Arial" w:hAnsi="Arial" w:cs="Arial"/>
        </w:rPr>
        <w:t xml:space="preserve">where </w:t>
      </w:r>
      <w:r w:rsidR="00FB2410" w:rsidRPr="005A1511">
        <w:rPr>
          <w:rFonts w:ascii="Arial" w:hAnsi="Arial" w:cs="Arial"/>
        </w:rPr>
        <w:t xml:space="preserve">supply of </w:t>
      </w:r>
      <w:r w:rsidR="00802A22" w:rsidRPr="005A1511">
        <w:rPr>
          <w:rFonts w:ascii="Arial" w:hAnsi="Arial" w:cs="Arial"/>
        </w:rPr>
        <w:t>n</w:t>
      </w:r>
      <w:r w:rsidR="00FB2410" w:rsidRPr="005A1511">
        <w:rPr>
          <w:rFonts w:ascii="Arial" w:hAnsi="Arial" w:cs="Arial"/>
        </w:rPr>
        <w:t>itrofurantoin MR 100mg capsules</w:t>
      </w:r>
      <w:r w:rsidR="002D577B" w:rsidRPr="005A1511">
        <w:rPr>
          <w:rFonts w:ascii="Arial" w:hAnsi="Arial" w:cs="Arial"/>
        </w:rPr>
        <w:t xml:space="preserve"> was made</w:t>
      </w:r>
      <w:r w:rsidR="00FB2410" w:rsidRPr="005A1511">
        <w:rPr>
          <w:rFonts w:ascii="Arial" w:hAnsi="Arial" w:cs="Arial"/>
        </w:rPr>
        <w:t xml:space="preserve">. Pharmacy First consultation activity which </w:t>
      </w:r>
      <w:r w:rsidR="002D577B" w:rsidRPr="005A1511">
        <w:rPr>
          <w:rFonts w:ascii="Arial" w:hAnsi="Arial" w:cs="Arial"/>
        </w:rPr>
        <w:t>resulted in the</w:t>
      </w:r>
      <w:r w:rsidR="00FB2410" w:rsidRPr="005A1511">
        <w:rPr>
          <w:rFonts w:ascii="Arial" w:hAnsi="Arial" w:cs="Arial"/>
        </w:rPr>
        <w:t xml:space="preserve"> supply of </w:t>
      </w:r>
      <w:r w:rsidR="00802A22" w:rsidRPr="005A1511">
        <w:rPr>
          <w:rFonts w:ascii="Arial" w:hAnsi="Arial" w:cs="Arial"/>
        </w:rPr>
        <w:t>n</w:t>
      </w:r>
      <w:r w:rsidR="00FB2410" w:rsidRPr="005A1511">
        <w:rPr>
          <w:rFonts w:ascii="Arial" w:hAnsi="Arial" w:cs="Arial"/>
        </w:rPr>
        <w:t xml:space="preserve">itrofurantoin 50mg tablets have been excluded from this comparator to facilitate comparison with GP practice prescribing of </w:t>
      </w:r>
      <w:r w:rsidR="00802A22" w:rsidRPr="005A1511">
        <w:rPr>
          <w:rFonts w:ascii="Arial" w:hAnsi="Arial" w:cs="Arial"/>
        </w:rPr>
        <w:t>n</w:t>
      </w:r>
      <w:r w:rsidR="00FB2410" w:rsidRPr="005A1511">
        <w:rPr>
          <w:rFonts w:ascii="Arial" w:hAnsi="Arial" w:cs="Arial"/>
        </w:rPr>
        <w:t xml:space="preserve">itrofurantoin MR 100mg capsules </w:t>
      </w:r>
      <w:r w:rsidR="002D577B" w:rsidRPr="005A1511">
        <w:rPr>
          <w:rFonts w:ascii="Arial" w:hAnsi="Arial" w:cs="Arial"/>
        </w:rPr>
        <w:t>with a quantity of 6,</w:t>
      </w:r>
      <w:r w:rsidR="00FB2410" w:rsidRPr="005A1511">
        <w:rPr>
          <w:rFonts w:ascii="Arial" w:hAnsi="Arial" w:cs="Arial"/>
        </w:rPr>
        <w:t xml:space="preserve"> via FP10.</w:t>
      </w:r>
    </w:p>
    <w:p w14:paraId="19E5EF53" w14:textId="40454A81" w:rsidR="009B6F6F" w:rsidRPr="005A1511" w:rsidRDefault="009B6F6F" w:rsidP="00FB2410">
      <w:pPr>
        <w:rPr>
          <w:rFonts w:ascii="Arial" w:hAnsi="Arial" w:cs="Arial"/>
        </w:rPr>
      </w:pPr>
      <w:r w:rsidRPr="005A1511">
        <w:rPr>
          <w:rFonts w:ascii="Arial" w:hAnsi="Arial" w:cs="Arial"/>
        </w:rPr>
        <w:t xml:space="preserve">Note that the Pharmacy First element of the data in the table below includes supply of nitrofurantoin </w:t>
      </w:r>
      <w:r w:rsidR="008F2583" w:rsidRPr="005A1511">
        <w:rPr>
          <w:rFonts w:ascii="Arial" w:hAnsi="Arial" w:cs="Arial"/>
        </w:rPr>
        <w:t xml:space="preserve">MR 100mg capsules with any quantity (see </w:t>
      </w:r>
      <w:hyperlink w:anchor="_Variation_in_nitrofurantoin" w:history="1">
        <w:r w:rsidR="008F2583" w:rsidRPr="005A1511">
          <w:rPr>
            <w:rStyle w:val="Hyperlink"/>
            <w:rFonts w:ascii="Arial" w:hAnsi="Arial" w:cs="Arial"/>
          </w:rPr>
          <w:t>Variation in nitrofurantoin MR 100mg quantities</w:t>
        </w:r>
      </w:hyperlink>
      <w:r w:rsidR="008F2583" w:rsidRPr="005A1511">
        <w:rPr>
          <w:rFonts w:ascii="Arial" w:hAnsi="Arial" w:cs="Arial"/>
        </w:rPr>
        <w:t xml:space="preserve"> for more information on the volume of this supply which is out of scope based on quantity).  </w:t>
      </w:r>
      <w:r w:rsidRPr="005A1511">
        <w:rPr>
          <w:rFonts w:ascii="Arial" w:hAnsi="Arial" w:cs="Arial"/>
        </w:rPr>
        <w:t xml:space="preserve"> </w:t>
      </w:r>
    </w:p>
    <w:p w14:paraId="52CA0C5E" w14:textId="54181256" w:rsidR="00FB2410" w:rsidRPr="005A1511" w:rsidRDefault="00FB2410" w:rsidP="00FB2410">
      <w:pPr>
        <w:rPr>
          <w:rFonts w:ascii="Arial" w:hAnsi="Arial" w:cs="Arial"/>
        </w:rPr>
      </w:pPr>
      <w:r w:rsidRPr="005A1511">
        <w:rPr>
          <w:rFonts w:ascii="Arial" w:hAnsi="Arial" w:cs="Arial"/>
        </w:rPr>
        <w:t xml:space="preserve">Both generic and branded presentations are included in the data below.  The data is restricted to Pharmacy First consultation activity which resulted in the supply of nitrofurantoin </w:t>
      </w:r>
      <w:r w:rsidR="002A2597" w:rsidRPr="005A1511">
        <w:rPr>
          <w:rFonts w:ascii="Arial" w:hAnsi="Arial" w:cs="Arial"/>
        </w:rPr>
        <w:t>under</w:t>
      </w:r>
      <w:r w:rsidRPr="005A1511">
        <w:rPr>
          <w:rFonts w:ascii="Arial" w:hAnsi="Arial" w:cs="Arial"/>
        </w:rPr>
        <w:t xml:space="preserve"> the Pharmacy First Patient Group Direction. </w:t>
      </w:r>
    </w:p>
    <w:p w14:paraId="2E5CA8DF" w14:textId="715096BC" w:rsidR="004A5F5E" w:rsidRPr="005A1511" w:rsidRDefault="004A5F5E" w:rsidP="002F7E95">
      <w:pPr>
        <w:rPr>
          <w:rFonts w:ascii="Arial" w:hAnsi="Arial" w:cs="Arial"/>
        </w:rPr>
      </w:pPr>
      <w:r w:rsidRPr="005A1511">
        <w:rPr>
          <w:rFonts w:ascii="Arial" w:hAnsi="Arial" w:cs="Arial"/>
        </w:rPr>
        <w:t xml:space="preserve">The data covers </w:t>
      </w:r>
      <w:r w:rsidR="00331215" w:rsidRPr="005A1511">
        <w:rPr>
          <w:rFonts w:ascii="Arial" w:hAnsi="Arial" w:cs="Arial"/>
        </w:rPr>
        <w:t>consultation</w:t>
      </w:r>
      <w:r w:rsidRPr="005A1511">
        <w:rPr>
          <w:rFonts w:ascii="Arial" w:hAnsi="Arial" w:cs="Arial"/>
        </w:rPr>
        <w:t xml:space="preserve"> activit</w:t>
      </w:r>
      <w:r w:rsidR="002A2597" w:rsidRPr="005A1511">
        <w:rPr>
          <w:rFonts w:ascii="Arial" w:hAnsi="Arial" w:cs="Arial"/>
        </w:rPr>
        <w:t>y</w:t>
      </w:r>
      <w:r w:rsidRPr="005A1511">
        <w:rPr>
          <w:rFonts w:ascii="Arial" w:hAnsi="Arial" w:cs="Arial"/>
        </w:rPr>
        <w:t xml:space="preserve"> between</w:t>
      </w:r>
      <w:r w:rsidR="006315D4" w:rsidRPr="005A1511">
        <w:rPr>
          <w:rFonts w:ascii="Arial" w:hAnsi="Arial" w:cs="Arial"/>
        </w:rPr>
        <w:t xml:space="preserve"> </w:t>
      </w:r>
      <w:r w:rsidR="00B156A9" w:rsidRPr="005A1511">
        <w:rPr>
          <w:rFonts w:ascii="Arial" w:hAnsi="Arial" w:cs="Arial"/>
        </w:rPr>
        <w:t>February</w:t>
      </w:r>
      <w:r w:rsidR="006315D4" w:rsidRPr="005A1511">
        <w:rPr>
          <w:rFonts w:ascii="Arial" w:hAnsi="Arial" w:cs="Arial"/>
        </w:rPr>
        <w:t xml:space="preserve"> and October 2024, which have been declared for payment and processed by NHSBSA.  No </w:t>
      </w:r>
      <w:r w:rsidR="00331215" w:rsidRPr="005A1511">
        <w:rPr>
          <w:rFonts w:ascii="Arial" w:hAnsi="Arial" w:cs="Arial"/>
        </w:rPr>
        <w:t>consultation</w:t>
      </w:r>
      <w:r w:rsidR="006315D4" w:rsidRPr="005A1511">
        <w:rPr>
          <w:rFonts w:ascii="Arial" w:hAnsi="Arial" w:cs="Arial"/>
        </w:rPr>
        <w:t xml:space="preserve"> activit</w:t>
      </w:r>
      <w:r w:rsidR="00B45106" w:rsidRPr="005A1511">
        <w:rPr>
          <w:rFonts w:ascii="Arial" w:hAnsi="Arial" w:cs="Arial"/>
        </w:rPr>
        <w:t>y</w:t>
      </w:r>
      <w:r w:rsidR="00BA1FE4" w:rsidRPr="005A1511">
        <w:rPr>
          <w:rFonts w:ascii="Arial" w:hAnsi="Arial" w:cs="Arial"/>
        </w:rPr>
        <w:t xml:space="preserve"> undertaken in that period which has not been declared for payment</w:t>
      </w:r>
      <w:r w:rsidR="00B45106" w:rsidRPr="005A1511">
        <w:rPr>
          <w:rFonts w:ascii="Arial" w:hAnsi="Arial" w:cs="Arial"/>
        </w:rPr>
        <w:t>, or activity declared after October 2024 is included.</w:t>
      </w:r>
    </w:p>
    <w:tbl>
      <w:tblPr>
        <w:tblW w:w="9947" w:type="dxa"/>
        <w:tblLook w:val="04A0" w:firstRow="1" w:lastRow="0" w:firstColumn="1" w:lastColumn="0" w:noHBand="0" w:noVBand="1"/>
      </w:tblPr>
      <w:tblGrid>
        <w:gridCol w:w="2177"/>
        <w:gridCol w:w="1690"/>
        <w:gridCol w:w="1843"/>
        <w:gridCol w:w="1377"/>
        <w:gridCol w:w="1559"/>
        <w:gridCol w:w="1730"/>
      </w:tblGrid>
      <w:tr w:rsidR="00A263A6" w:rsidRPr="005A1511" w14:paraId="70166719" w14:textId="77777777" w:rsidTr="00A263A6">
        <w:trPr>
          <w:trHeight w:val="2085"/>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9E04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sz w:val="18"/>
                <w:szCs w:val="18"/>
              </w:rPr>
            </w:pPr>
            <w:r w:rsidRPr="005A1511">
              <w:rPr>
                <w:rFonts w:ascii="Arial" w:eastAsia="Times New Roman" w:hAnsi="Arial" w:cs="Arial"/>
                <w:b/>
                <w:bCs/>
                <w:sz w:val="18"/>
                <w:szCs w:val="18"/>
              </w:rPr>
              <w:t>ICB</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BD47C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Assessments where nitrofurantoin 100mg MR capsules supplied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77642D"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Assessments where nitrofurantoin 50mg IR tablets/capsules supplied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AE5B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Total Assessments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5C8A3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Percentage of assessments where nitrofurantoin 100mg MR capsules supplied</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FDBF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Percentage of assessments where nitrofurantoin 50mg IR tablets/capsules supplied</w:t>
            </w:r>
          </w:p>
        </w:tc>
      </w:tr>
      <w:tr w:rsidR="00A263A6" w:rsidRPr="005A1511" w14:paraId="717C80CA"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E182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BATH AND NORTH EAST SOMERSET, SWINDON AND WILTSHIRE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4E716390"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5,836</w:t>
            </w:r>
          </w:p>
        </w:tc>
        <w:tc>
          <w:tcPr>
            <w:tcW w:w="1843" w:type="dxa"/>
            <w:tcBorders>
              <w:top w:val="nil"/>
              <w:left w:val="nil"/>
              <w:bottom w:val="single" w:sz="4" w:space="0" w:color="auto"/>
              <w:right w:val="single" w:sz="4" w:space="0" w:color="auto"/>
            </w:tcBorders>
            <w:shd w:val="clear" w:color="auto" w:fill="auto"/>
            <w:noWrap/>
            <w:vAlign w:val="bottom"/>
            <w:hideMark/>
          </w:tcPr>
          <w:p w14:paraId="6F056B85"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73</w:t>
            </w:r>
          </w:p>
        </w:tc>
        <w:tc>
          <w:tcPr>
            <w:tcW w:w="1276" w:type="dxa"/>
            <w:tcBorders>
              <w:top w:val="nil"/>
              <w:left w:val="nil"/>
              <w:bottom w:val="single" w:sz="4" w:space="0" w:color="auto"/>
              <w:right w:val="single" w:sz="4" w:space="0" w:color="auto"/>
            </w:tcBorders>
            <w:shd w:val="clear" w:color="auto" w:fill="auto"/>
            <w:noWrap/>
            <w:vAlign w:val="bottom"/>
            <w:hideMark/>
          </w:tcPr>
          <w:p w14:paraId="3DFAAFD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5,909</w:t>
            </w:r>
          </w:p>
        </w:tc>
        <w:tc>
          <w:tcPr>
            <w:tcW w:w="1559" w:type="dxa"/>
            <w:tcBorders>
              <w:top w:val="nil"/>
              <w:left w:val="nil"/>
              <w:bottom w:val="single" w:sz="4" w:space="0" w:color="auto"/>
              <w:right w:val="single" w:sz="4" w:space="0" w:color="auto"/>
            </w:tcBorders>
            <w:shd w:val="clear" w:color="auto" w:fill="auto"/>
            <w:noWrap/>
            <w:vAlign w:val="bottom"/>
            <w:hideMark/>
          </w:tcPr>
          <w:p w14:paraId="5538EC4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98.8%</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D2E7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w:t>
            </w:r>
          </w:p>
        </w:tc>
      </w:tr>
      <w:tr w:rsidR="00A263A6" w:rsidRPr="005A1511" w14:paraId="7A9593D5"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5C55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BEDFORDSHIRE, LUTON AND MILTON KEYNES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6B513D8D"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5,275</w:t>
            </w:r>
          </w:p>
        </w:tc>
        <w:tc>
          <w:tcPr>
            <w:tcW w:w="1843" w:type="dxa"/>
            <w:tcBorders>
              <w:top w:val="nil"/>
              <w:left w:val="nil"/>
              <w:bottom w:val="single" w:sz="4" w:space="0" w:color="auto"/>
              <w:right w:val="single" w:sz="4" w:space="0" w:color="auto"/>
            </w:tcBorders>
            <w:shd w:val="clear" w:color="auto" w:fill="auto"/>
            <w:noWrap/>
            <w:vAlign w:val="bottom"/>
            <w:hideMark/>
          </w:tcPr>
          <w:p w14:paraId="26B32FFA"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17</w:t>
            </w:r>
          </w:p>
        </w:tc>
        <w:tc>
          <w:tcPr>
            <w:tcW w:w="1276" w:type="dxa"/>
            <w:tcBorders>
              <w:top w:val="nil"/>
              <w:left w:val="nil"/>
              <w:bottom w:val="single" w:sz="4" w:space="0" w:color="auto"/>
              <w:right w:val="single" w:sz="4" w:space="0" w:color="auto"/>
            </w:tcBorders>
            <w:shd w:val="clear" w:color="auto" w:fill="auto"/>
            <w:noWrap/>
            <w:vAlign w:val="bottom"/>
            <w:hideMark/>
          </w:tcPr>
          <w:p w14:paraId="4344571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5,292</w:t>
            </w:r>
          </w:p>
        </w:tc>
        <w:tc>
          <w:tcPr>
            <w:tcW w:w="1559" w:type="dxa"/>
            <w:tcBorders>
              <w:top w:val="nil"/>
              <w:left w:val="nil"/>
              <w:bottom w:val="single" w:sz="4" w:space="0" w:color="auto"/>
              <w:right w:val="single" w:sz="4" w:space="0" w:color="auto"/>
            </w:tcBorders>
            <w:shd w:val="clear" w:color="auto" w:fill="auto"/>
            <w:noWrap/>
            <w:vAlign w:val="bottom"/>
            <w:hideMark/>
          </w:tcPr>
          <w:p w14:paraId="2FCD31C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99.7%</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C13E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w:t>
            </w:r>
          </w:p>
        </w:tc>
      </w:tr>
      <w:tr w:rsidR="00A263A6" w:rsidRPr="005A1511" w14:paraId="5D347A53"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554A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BIRMINGHAM AND SOLIHULL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7F9E6C40"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10,860</w:t>
            </w:r>
          </w:p>
        </w:tc>
        <w:tc>
          <w:tcPr>
            <w:tcW w:w="1843" w:type="dxa"/>
            <w:tcBorders>
              <w:top w:val="nil"/>
              <w:left w:val="nil"/>
              <w:bottom w:val="single" w:sz="4" w:space="0" w:color="auto"/>
              <w:right w:val="single" w:sz="4" w:space="0" w:color="auto"/>
            </w:tcBorders>
            <w:shd w:val="clear" w:color="auto" w:fill="auto"/>
            <w:noWrap/>
            <w:vAlign w:val="bottom"/>
            <w:hideMark/>
          </w:tcPr>
          <w:p w14:paraId="7BABD9A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163</w:t>
            </w:r>
          </w:p>
        </w:tc>
        <w:tc>
          <w:tcPr>
            <w:tcW w:w="1276" w:type="dxa"/>
            <w:tcBorders>
              <w:top w:val="nil"/>
              <w:left w:val="nil"/>
              <w:bottom w:val="single" w:sz="4" w:space="0" w:color="auto"/>
              <w:right w:val="single" w:sz="4" w:space="0" w:color="auto"/>
            </w:tcBorders>
            <w:shd w:val="clear" w:color="auto" w:fill="auto"/>
            <w:noWrap/>
            <w:vAlign w:val="bottom"/>
            <w:hideMark/>
          </w:tcPr>
          <w:p w14:paraId="0ACA703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11,023</w:t>
            </w:r>
          </w:p>
        </w:tc>
        <w:tc>
          <w:tcPr>
            <w:tcW w:w="1559" w:type="dxa"/>
            <w:tcBorders>
              <w:top w:val="nil"/>
              <w:left w:val="nil"/>
              <w:bottom w:val="single" w:sz="4" w:space="0" w:color="auto"/>
              <w:right w:val="single" w:sz="4" w:space="0" w:color="auto"/>
            </w:tcBorders>
            <w:shd w:val="clear" w:color="auto" w:fill="auto"/>
            <w:noWrap/>
            <w:vAlign w:val="bottom"/>
            <w:hideMark/>
          </w:tcPr>
          <w:p w14:paraId="13404BB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98.5%</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4B15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1.5%</w:t>
            </w:r>
          </w:p>
        </w:tc>
      </w:tr>
      <w:tr w:rsidR="00A263A6" w:rsidRPr="005A1511" w14:paraId="2F8B5AF0"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5979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BLACK COUNTRY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25D4989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11,613</w:t>
            </w:r>
          </w:p>
        </w:tc>
        <w:tc>
          <w:tcPr>
            <w:tcW w:w="1843" w:type="dxa"/>
            <w:tcBorders>
              <w:top w:val="nil"/>
              <w:left w:val="nil"/>
              <w:bottom w:val="single" w:sz="4" w:space="0" w:color="auto"/>
              <w:right w:val="single" w:sz="4" w:space="0" w:color="auto"/>
            </w:tcBorders>
            <w:shd w:val="clear" w:color="auto" w:fill="auto"/>
            <w:noWrap/>
            <w:vAlign w:val="bottom"/>
            <w:hideMark/>
          </w:tcPr>
          <w:p w14:paraId="67EE25C1"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374</w:t>
            </w:r>
          </w:p>
        </w:tc>
        <w:tc>
          <w:tcPr>
            <w:tcW w:w="1276" w:type="dxa"/>
            <w:tcBorders>
              <w:top w:val="nil"/>
              <w:left w:val="nil"/>
              <w:bottom w:val="single" w:sz="4" w:space="0" w:color="auto"/>
              <w:right w:val="single" w:sz="4" w:space="0" w:color="auto"/>
            </w:tcBorders>
            <w:shd w:val="clear" w:color="auto" w:fill="auto"/>
            <w:noWrap/>
            <w:vAlign w:val="bottom"/>
            <w:hideMark/>
          </w:tcPr>
          <w:p w14:paraId="362B3B9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11,987</w:t>
            </w:r>
          </w:p>
        </w:tc>
        <w:tc>
          <w:tcPr>
            <w:tcW w:w="1559" w:type="dxa"/>
            <w:tcBorders>
              <w:top w:val="nil"/>
              <w:left w:val="nil"/>
              <w:bottom w:val="single" w:sz="4" w:space="0" w:color="auto"/>
              <w:right w:val="single" w:sz="4" w:space="0" w:color="auto"/>
            </w:tcBorders>
            <w:shd w:val="clear" w:color="auto" w:fill="auto"/>
            <w:noWrap/>
            <w:vAlign w:val="bottom"/>
            <w:hideMark/>
          </w:tcPr>
          <w:p w14:paraId="339A384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96.9%</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E7BA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3.1%</w:t>
            </w:r>
          </w:p>
        </w:tc>
      </w:tr>
      <w:tr w:rsidR="00A263A6" w:rsidRPr="005A1511" w14:paraId="24D5FF4D"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C80C8"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 xml:space="preserve">NHS BRISTOL, NORTH SOMERSET AND SOUTH GLOUCESTERSHIRE </w:t>
            </w:r>
            <w:r w:rsidRPr="005A1511">
              <w:rPr>
                <w:rFonts w:ascii="Arial" w:eastAsia="Times New Roman" w:hAnsi="Arial" w:cs="Arial"/>
                <w:sz w:val="18"/>
                <w:szCs w:val="18"/>
              </w:rPr>
              <w:lastRenderedPageBreak/>
              <w:t>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1655391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lastRenderedPageBreak/>
              <w:t>8,997</w:t>
            </w:r>
          </w:p>
        </w:tc>
        <w:tc>
          <w:tcPr>
            <w:tcW w:w="1843" w:type="dxa"/>
            <w:tcBorders>
              <w:top w:val="nil"/>
              <w:left w:val="nil"/>
              <w:bottom w:val="single" w:sz="4" w:space="0" w:color="auto"/>
              <w:right w:val="single" w:sz="4" w:space="0" w:color="auto"/>
            </w:tcBorders>
            <w:shd w:val="clear" w:color="auto" w:fill="auto"/>
            <w:noWrap/>
            <w:vAlign w:val="bottom"/>
            <w:hideMark/>
          </w:tcPr>
          <w:p w14:paraId="5E7C2FA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115</w:t>
            </w:r>
          </w:p>
        </w:tc>
        <w:tc>
          <w:tcPr>
            <w:tcW w:w="1276" w:type="dxa"/>
            <w:tcBorders>
              <w:top w:val="nil"/>
              <w:left w:val="nil"/>
              <w:bottom w:val="single" w:sz="4" w:space="0" w:color="auto"/>
              <w:right w:val="single" w:sz="4" w:space="0" w:color="auto"/>
            </w:tcBorders>
            <w:shd w:val="clear" w:color="auto" w:fill="auto"/>
            <w:noWrap/>
            <w:vAlign w:val="bottom"/>
            <w:hideMark/>
          </w:tcPr>
          <w:p w14:paraId="5D3CDCA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9,112</w:t>
            </w:r>
          </w:p>
        </w:tc>
        <w:tc>
          <w:tcPr>
            <w:tcW w:w="1559" w:type="dxa"/>
            <w:tcBorders>
              <w:top w:val="nil"/>
              <w:left w:val="nil"/>
              <w:bottom w:val="single" w:sz="4" w:space="0" w:color="auto"/>
              <w:right w:val="single" w:sz="4" w:space="0" w:color="auto"/>
            </w:tcBorders>
            <w:shd w:val="clear" w:color="auto" w:fill="auto"/>
            <w:noWrap/>
            <w:vAlign w:val="bottom"/>
            <w:hideMark/>
          </w:tcPr>
          <w:p w14:paraId="02E9DB5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98.7%</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08F4A"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w:t>
            </w:r>
          </w:p>
        </w:tc>
      </w:tr>
      <w:tr w:rsidR="00A263A6" w:rsidRPr="005A1511" w14:paraId="621F6DFF"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FE94A"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BUCKINGHAMSHIRE, OXFORDSHIRE AND BERKSHIRE WEST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37959E31"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9,936</w:t>
            </w:r>
          </w:p>
        </w:tc>
        <w:tc>
          <w:tcPr>
            <w:tcW w:w="1843" w:type="dxa"/>
            <w:tcBorders>
              <w:top w:val="nil"/>
              <w:left w:val="nil"/>
              <w:bottom w:val="single" w:sz="4" w:space="0" w:color="auto"/>
              <w:right w:val="single" w:sz="4" w:space="0" w:color="auto"/>
            </w:tcBorders>
            <w:shd w:val="clear" w:color="auto" w:fill="auto"/>
            <w:noWrap/>
            <w:vAlign w:val="bottom"/>
            <w:hideMark/>
          </w:tcPr>
          <w:p w14:paraId="01E27D45"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69</w:t>
            </w:r>
          </w:p>
        </w:tc>
        <w:tc>
          <w:tcPr>
            <w:tcW w:w="1276" w:type="dxa"/>
            <w:tcBorders>
              <w:top w:val="nil"/>
              <w:left w:val="nil"/>
              <w:bottom w:val="single" w:sz="4" w:space="0" w:color="auto"/>
              <w:right w:val="single" w:sz="4" w:space="0" w:color="auto"/>
            </w:tcBorders>
            <w:shd w:val="clear" w:color="auto" w:fill="auto"/>
            <w:noWrap/>
            <w:vAlign w:val="bottom"/>
            <w:hideMark/>
          </w:tcPr>
          <w:p w14:paraId="68EC6DC5"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10,005</w:t>
            </w:r>
          </w:p>
        </w:tc>
        <w:tc>
          <w:tcPr>
            <w:tcW w:w="1559" w:type="dxa"/>
            <w:tcBorders>
              <w:top w:val="nil"/>
              <w:left w:val="nil"/>
              <w:bottom w:val="single" w:sz="4" w:space="0" w:color="auto"/>
              <w:right w:val="single" w:sz="4" w:space="0" w:color="auto"/>
            </w:tcBorders>
            <w:shd w:val="clear" w:color="auto" w:fill="auto"/>
            <w:noWrap/>
            <w:vAlign w:val="bottom"/>
            <w:hideMark/>
          </w:tcPr>
          <w:p w14:paraId="513C1721"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99.3%</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02170"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0.7%</w:t>
            </w:r>
          </w:p>
        </w:tc>
      </w:tr>
      <w:tr w:rsidR="00A263A6" w:rsidRPr="005A1511" w14:paraId="3BC96E4F"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BC53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CAMBRIDGESHIRE AND PETERBOROUGH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26590F25"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5,030</w:t>
            </w:r>
          </w:p>
        </w:tc>
        <w:tc>
          <w:tcPr>
            <w:tcW w:w="1843" w:type="dxa"/>
            <w:tcBorders>
              <w:top w:val="nil"/>
              <w:left w:val="nil"/>
              <w:bottom w:val="single" w:sz="4" w:space="0" w:color="auto"/>
              <w:right w:val="single" w:sz="4" w:space="0" w:color="auto"/>
            </w:tcBorders>
            <w:shd w:val="clear" w:color="auto" w:fill="auto"/>
            <w:noWrap/>
            <w:vAlign w:val="bottom"/>
            <w:hideMark/>
          </w:tcPr>
          <w:p w14:paraId="41A6BB35"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38</w:t>
            </w:r>
          </w:p>
        </w:tc>
        <w:tc>
          <w:tcPr>
            <w:tcW w:w="1276" w:type="dxa"/>
            <w:tcBorders>
              <w:top w:val="nil"/>
              <w:left w:val="nil"/>
              <w:bottom w:val="single" w:sz="4" w:space="0" w:color="auto"/>
              <w:right w:val="single" w:sz="4" w:space="0" w:color="auto"/>
            </w:tcBorders>
            <w:shd w:val="clear" w:color="auto" w:fill="auto"/>
            <w:noWrap/>
            <w:vAlign w:val="bottom"/>
            <w:hideMark/>
          </w:tcPr>
          <w:p w14:paraId="3468C60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5,068</w:t>
            </w:r>
          </w:p>
        </w:tc>
        <w:tc>
          <w:tcPr>
            <w:tcW w:w="1559" w:type="dxa"/>
            <w:tcBorders>
              <w:top w:val="nil"/>
              <w:left w:val="nil"/>
              <w:bottom w:val="single" w:sz="4" w:space="0" w:color="auto"/>
              <w:right w:val="single" w:sz="4" w:space="0" w:color="auto"/>
            </w:tcBorders>
            <w:shd w:val="clear" w:color="auto" w:fill="auto"/>
            <w:noWrap/>
            <w:vAlign w:val="bottom"/>
            <w:hideMark/>
          </w:tcPr>
          <w:p w14:paraId="328107D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99.3%</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6265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0.7%</w:t>
            </w:r>
          </w:p>
        </w:tc>
      </w:tr>
      <w:tr w:rsidR="00A263A6" w:rsidRPr="005A1511" w14:paraId="43666E79"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9A7F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CHESHIRE AND MERSEYSIDE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56CD6B5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25,569</w:t>
            </w:r>
          </w:p>
        </w:tc>
        <w:tc>
          <w:tcPr>
            <w:tcW w:w="1843" w:type="dxa"/>
            <w:tcBorders>
              <w:top w:val="nil"/>
              <w:left w:val="nil"/>
              <w:bottom w:val="single" w:sz="4" w:space="0" w:color="auto"/>
              <w:right w:val="single" w:sz="4" w:space="0" w:color="auto"/>
            </w:tcBorders>
            <w:shd w:val="clear" w:color="auto" w:fill="auto"/>
            <w:noWrap/>
            <w:vAlign w:val="bottom"/>
            <w:hideMark/>
          </w:tcPr>
          <w:p w14:paraId="219C0D2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356</w:t>
            </w:r>
          </w:p>
        </w:tc>
        <w:tc>
          <w:tcPr>
            <w:tcW w:w="1276" w:type="dxa"/>
            <w:tcBorders>
              <w:top w:val="nil"/>
              <w:left w:val="nil"/>
              <w:bottom w:val="single" w:sz="4" w:space="0" w:color="auto"/>
              <w:right w:val="single" w:sz="4" w:space="0" w:color="auto"/>
            </w:tcBorders>
            <w:shd w:val="clear" w:color="auto" w:fill="auto"/>
            <w:noWrap/>
            <w:vAlign w:val="bottom"/>
            <w:hideMark/>
          </w:tcPr>
          <w:p w14:paraId="7AB14025"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25,925</w:t>
            </w:r>
          </w:p>
        </w:tc>
        <w:tc>
          <w:tcPr>
            <w:tcW w:w="1559" w:type="dxa"/>
            <w:tcBorders>
              <w:top w:val="nil"/>
              <w:left w:val="nil"/>
              <w:bottom w:val="single" w:sz="4" w:space="0" w:color="auto"/>
              <w:right w:val="single" w:sz="4" w:space="0" w:color="auto"/>
            </w:tcBorders>
            <w:shd w:val="clear" w:color="auto" w:fill="auto"/>
            <w:noWrap/>
            <w:vAlign w:val="bottom"/>
            <w:hideMark/>
          </w:tcPr>
          <w:p w14:paraId="7CF6C75F"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98.6%</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B7223"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w:t>
            </w:r>
          </w:p>
        </w:tc>
      </w:tr>
      <w:tr w:rsidR="00A263A6" w:rsidRPr="005A1511" w14:paraId="7439ADA9"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8F5E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CORNWALL AND THE ISLES OF SCILLY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2BEF09A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3,829</w:t>
            </w:r>
          </w:p>
        </w:tc>
        <w:tc>
          <w:tcPr>
            <w:tcW w:w="1843" w:type="dxa"/>
            <w:tcBorders>
              <w:top w:val="nil"/>
              <w:left w:val="nil"/>
              <w:bottom w:val="single" w:sz="4" w:space="0" w:color="auto"/>
              <w:right w:val="single" w:sz="4" w:space="0" w:color="auto"/>
            </w:tcBorders>
            <w:shd w:val="clear" w:color="auto" w:fill="auto"/>
            <w:noWrap/>
            <w:vAlign w:val="bottom"/>
            <w:hideMark/>
          </w:tcPr>
          <w:p w14:paraId="0C52C20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21</w:t>
            </w:r>
          </w:p>
        </w:tc>
        <w:tc>
          <w:tcPr>
            <w:tcW w:w="1276" w:type="dxa"/>
            <w:tcBorders>
              <w:top w:val="nil"/>
              <w:left w:val="nil"/>
              <w:bottom w:val="single" w:sz="4" w:space="0" w:color="auto"/>
              <w:right w:val="single" w:sz="4" w:space="0" w:color="auto"/>
            </w:tcBorders>
            <w:shd w:val="clear" w:color="auto" w:fill="auto"/>
            <w:noWrap/>
            <w:vAlign w:val="bottom"/>
            <w:hideMark/>
          </w:tcPr>
          <w:p w14:paraId="5DEA8FB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3,850</w:t>
            </w:r>
          </w:p>
        </w:tc>
        <w:tc>
          <w:tcPr>
            <w:tcW w:w="1559" w:type="dxa"/>
            <w:tcBorders>
              <w:top w:val="nil"/>
              <w:left w:val="nil"/>
              <w:bottom w:val="single" w:sz="4" w:space="0" w:color="auto"/>
              <w:right w:val="single" w:sz="4" w:space="0" w:color="auto"/>
            </w:tcBorders>
            <w:shd w:val="clear" w:color="auto" w:fill="auto"/>
            <w:noWrap/>
            <w:vAlign w:val="bottom"/>
            <w:hideMark/>
          </w:tcPr>
          <w:p w14:paraId="0A990F8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99.5%</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5FEB8"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0.5%</w:t>
            </w:r>
          </w:p>
        </w:tc>
      </w:tr>
      <w:tr w:rsidR="00A263A6" w:rsidRPr="005A1511" w14:paraId="329BEED3"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81DE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COVENTRY AND WARWICKSHIRE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0F3054A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6,580</w:t>
            </w:r>
          </w:p>
        </w:tc>
        <w:tc>
          <w:tcPr>
            <w:tcW w:w="1843" w:type="dxa"/>
            <w:tcBorders>
              <w:top w:val="nil"/>
              <w:left w:val="nil"/>
              <w:bottom w:val="single" w:sz="4" w:space="0" w:color="auto"/>
              <w:right w:val="single" w:sz="4" w:space="0" w:color="auto"/>
            </w:tcBorders>
            <w:shd w:val="clear" w:color="auto" w:fill="auto"/>
            <w:noWrap/>
            <w:vAlign w:val="bottom"/>
            <w:hideMark/>
          </w:tcPr>
          <w:p w14:paraId="4C2D534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231</w:t>
            </w:r>
          </w:p>
        </w:tc>
        <w:tc>
          <w:tcPr>
            <w:tcW w:w="1276" w:type="dxa"/>
            <w:tcBorders>
              <w:top w:val="nil"/>
              <w:left w:val="nil"/>
              <w:bottom w:val="single" w:sz="4" w:space="0" w:color="auto"/>
              <w:right w:val="single" w:sz="4" w:space="0" w:color="auto"/>
            </w:tcBorders>
            <w:shd w:val="clear" w:color="auto" w:fill="auto"/>
            <w:noWrap/>
            <w:vAlign w:val="bottom"/>
            <w:hideMark/>
          </w:tcPr>
          <w:p w14:paraId="01E1A4B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6,811</w:t>
            </w:r>
          </w:p>
        </w:tc>
        <w:tc>
          <w:tcPr>
            <w:tcW w:w="1559" w:type="dxa"/>
            <w:tcBorders>
              <w:top w:val="nil"/>
              <w:left w:val="nil"/>
              <w:bottom w:val="single" w:sz="4" w:space="0" w:color="auto"/>
              <w:right w:val="single" w:sz="4" w:space="0" w:color="auto"/>
            </w:tcBorders>
            <w:shd w:val="clear" w:color="auto" w:fill="auto"/>
            <w:noWrap/>
            <w:vAlign w:val="bottom"/>
            <w:hideMark/>
          </w:tcPr>
          <w:p w14:paraId="4879B27D"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96.6%</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1385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3.4%</w:t>
            </w:r>
          </w:p>
        </w:tc>
      </w:tr>
      <w:tr w:rsidR="00A263A6" w:rsidRPr="005A1511" w14:paraId="51FC6606"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5E08F"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DERBY AND DERBYSHIRE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7F24817F"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8,332</w:t>
            </w:r>
          </w:p>
        </w:tc>
        <w:tc>
          <w:tcPr>
            <w:tcW w:w="1843" w:type="dxa"/>
            <w:tcBorders>
              <w:top w:val="nil"/>
              <w:left w:val="nil"/>
              <w:bottom w:val="single" w:sz="4" w:space="0" w:color="auto"/>
              <w:right w:val="single" w:sz="4" w:space="0" w:color="auto"/>
            </w:tcBorders>
            <w:shd w:val="clear" w:color="auto" w:fill="auto"/>
            <w:noWrap/>
            <w:vAlign w:val="bottom"/>
            <w:hideMark/>
          </w:tcPr>
          <w:p w14:paraId="3688E42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45</w:t>
            </w:r>
          </w:p>
        </w:tc>
        <w:tc>
          <w:tcPr>
            <w:tcW w:w="1276" w:type="dxa"/>
            <w:tcBorders>
              <w:top w:val="nil"/>
              <w:left w:val="nil"/>
              <w:bottom w:val="single" w:sz="4" w:space="0" w:color="auto"/>
              <w:right w:val="single" w:sz="4" w:space="0" w:color="auto"/>
            </w:tcBorders>
            <w:shd w:val="clear" w:color="auto" w:fill="auto"/>
            <w:noWrap/>
            <w:vAlign w:val="bottom"/>
            <w:hideMark/>
          </w:tcPr>
          <w:p w14:paraId="3CA50E6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8,377</w:t>
            </w:r>
          </w:p>
        </w:tc>
        <w:tc>
          <w:tcPr>
            <w:tcW w:w="1559" w:type="dxa"/>
            <w:tcBorders>
              <w:top w:val="nil"/>
              <w:left w:val="nil"/>
              <w:bottom w:val="single" w:sz="4" w:space="0" w:color="auto"/>
              <w:right w:val="single" w:sz="4" w:space="0" w:color="auto"/>
            </w:tcBorders>
            <w:shd w:val="clear" w:color="auto" w:fill="auto"/>
            <w:noWrap/>
            <w:vAlign w:val="bottom"/>
            <w:hideMark/>
          </w:tcPr>
          <w:p w14:paraId="23271AC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99.5%</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C14F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0.5%</w:t>
            </w:r>
          </w:p>
        </w:tc>
      </w:tr>
      <w:tr w:rsidR="00A263A6" w:rsidRPr="005A1511" w14:paraId="75CC41DA"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2D36A"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DEVON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4AD55E2D"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8,295</w:t>
            </w:r>
          </w:p>
        </w:tc>
        <w:tc>
          <w:tcPr>
            <w:tcW w:w="1843" w:type="dxa"/>
            <w:tcBorders>
              <w:top w:val="nil"/>
              <w:left w:val="nil"/>
              <w:bottom w:val="single" w:sz="4" w:space="0" w:color="auto"/>
              <w:right w:val="single" w:sz="4" w:space="0" w:color="auto"/>
            </w:tcBorders>
            <w:shd w:val="clear" w:color="auto" w:fill="auto"/>
            <w:noWrap/>
            <w:vAlign w:val="bottom"/>
            <w:hideMark/>
          </w:tcPr>
          <w:p w14:paraId="768AC7ED"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132</w:t>
            </w:r>
          </w:p>
        </w:tc>
        <w:tc>
          <w:tcPr>
            <w:tcW w:w="1276" w:type="dxa"/>
            <w:tcBorders>
              <w:top w:val="nil"/>
              <w:left w:val="nil"/>
              <w:bottom w:val="single" w:sz="4" w:space="0" w:color="auto"/>
              <w:right w:val="single" w:sz="4" w:space="0" w:color="auto"/>
            </w:tcBorders>
            <w:shd w:val="clear" w:color="auto" w:fill="auto"/>
            <w:noWrap/>
            <w:vAlign w:val="bottom"/>
            <w:hideMark/>
          </w:tcPr>
          <w:p w14:paraId="4524B84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8,427</w:t>
            </w:r>
          </w:p>
        </w:tc>
        <w:tc>
          <w:tcPr>
            <w:tcW w:w="1559" w:type="dxa"/>
            <w:tcBorders>
              <w:top w:val="nil"/>
              <w:left w:val="nil"/>
              <w:bottom w:val="single" w:sz="4" w:space="0" w:color="auto"/>
              <w:right w:val="single" w:sz="4" w:space="0" w:color="auto"/>
            </w:tcBorders>
            <w:shd w:val="clear" w:color="auto" w:fill="auto"/>
            <w:noWrap/>
            <w:vAlign w:val="bottom"/>
            <w:hideMark/>
          </w:tcPr>
          <w:p w14:paraId="2CBF165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98.4%</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92CE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1.6%</w:t>
            </w:r>
          </w:p>
        </w:tc>
      </w:tr>
      <w:tr w:rsidR="00A263A6" w:rsidRPr="005A1511" w14:paraId="47A6AB88"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74148"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DORSET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09602F0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4,592</w:t>
            </w:r>
          </w:p>
        </w:tc>
        <w:tc>
          <w:tcPr>
            <w:tcW w:w="1843" w:type="dxa"/>
            <w:tcBorders>
              <w:top w:val="nil"/>
              <w:left w:val="nil"/>
              <w:bottom w:val="single" w:sz="4" w:space="0" w:color="auto"/>
              <w:right w:val="single" w:sz="4" w:space="0" w:color="auto"/>
            </w:tcBorders>
            <w:shd w:val="clear" w:color="auto" w:fill="auto"/>
            <w:noWrap/>
            <w:vAlign w:val="bottom"/>
            <w:hideMark/>
          </w:tcPr>
          <w:p w14:paraId="49F8675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87</w:t>
            </w:r>
          </w:p>
        </w:tc>
        <w:tc>
          <w:tcPr>
            <w:tcW w:w="1276" w:type="dxa"/>
            <w:tcBorders>
              <w:top w:val="nil"/>
              <w:left w:val="nil"/>
              <w:bottom w:val="single" w:sz="4" w:space="0" w:color="auto"/>
              <w:right w:val="single" w:sz="4" w:space="0" w:color="auto"/>
            </w:tcBorders>
            <w:shd w:val="clear" w:color="auto" w:fill="auto"/>
            <w:noWrap/>
            <w:vAlign w:val="bottom"/>
            <w:hideMark/>
          </w:tcPr>
          <w:p w14:paraId="59A1925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4,679</w:t>
            </w:r>
          </w:p>
        </w:tc>
        <w:tc>
          <w:tcPr>
            <w:tcW w:w="1559" w:type="dxa"/>
            <w:tcBorders>
              <w:top w:val="nil"/>
              <w:left w:val="nil"/>
              <w:bottom w:val="single" w:sz="4" w:space="0" w:color="auto"/>
              <w:right w:val="single" w:sz="4" w:space="0" w:color="auto"/>
            </w:tcBorders>
            <w:shd w:val="clear" w:color="auto" w:fill="auto"/>
            <w:noWrap/>
            <w:vAlign w:val="bottom"/>
            <w:hideMark/>
          </w:tcPr>
          <w:p w14:paraId="267787E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98.1%</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60F5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1.9%</w:t>
            </w:r>
          </w:p>
        </w:tc>
      </w:tr>
      <w:tr w:rsidR="00A263A6" w:rsidRPr="005A1511" w14:paraId="0AABAD2A"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F6C1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FRIMLEY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4AB215C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5,468</w:t>
            </w:r>
          </w:p>
        </w:tc>
        <w:tc>
          <w:tcPr>
            <w:tcW w:w="1843" w:type="dxa"/>
            <w:tcBorders>
              <w:top w:val="nil"/>
              <w:left w:val="nil"/>
              <w:bottom w:val="single" w:sz="4" w:space="0" w:color="auto"/>
              <w:right w:val="single" w:sz="4" w:space="0" w:color="auto"/>
            </w:tcBorders>
            <w:shd w:val="clear" w:color="auto" w:fill="auto"/>
            <w:noWrap/>
            <w:vAlign w:val="bottom"/>
            <w:hideMark/>
          </w:tcPr>
          <w:p w14:paraId="2CFA5D51"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29</w:t>
            </w:r>
          </w:p>
        </w:tc>
        <w:tc>
          <w:tcPr>
            <w:tcW w:w="1276" w:type="dxa"/>
            <w:tcBorders>
              <w:top w:val="nil"/>
              <w:left w:val="nil"/>
              <w:bottom w:val="single" w:sz="4" w:space="0" w:color="auto"/>
              <w:right w:val="single" w:sz="4" w:space="0" w:color="auto"/>
            </w:tcBorders>
            <w:shd w:val="clear" w:color="auto" w:fill="auto"/>
            <w:noWrap/>
            <w:vAlign w:val="bottom"/>
            <w:hideMark/>
          </w:tcPr>
          <w:p w14:paraId="1BDAC71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5,497</w:t>
            </w:r>
          </w:p>
        </w:tc>
        <w:tc>
          <w:tcPr>
            <w:tcW w:w="1559" w:type="dxa"/>
            <w:tcBorders>
              <w:top w:val="nil"/>
              <w:left w:val="nil"/>
              <w:bottom w:val="single" w:sz="4" w:space="0" w:color="auto"/>
              <w:right w:val="single" w:sz="4" w:space="0" w:color="auto"/>
            </w:tcBorders>
            <w:shd w:val="clear" w:color="auto" w:fill="auto"/>
            <w:noWrap/>
            <w:vAlign w:val="bottom"/>
            <w:hideMark/>
          </w:tcPr>
          <w:p w14:paraId="33148EF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99.5%</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CF910"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0.5%</w:t>
            </w:r>
          </w:p>
        </w:tc>
      </w:tr>
      <w:tr w:rsidR="00A263A6" w:rsidRPr="005A1511" w14:paraId="0113235F"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EC945"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GLOUCESTERSHIRE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731C51ED"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4,359</w:t>
            </w:r>
          </w:p>
        </w:tc>
        <w:tc>
          <w:tcPr>
            <w:tcW w:w="1843" w:type="dxa"/>
            <w:tcBorders>
              <w:top w:val="nil"/>
              <w:left w:val="nil"/>
              <w:bottom w:val="single" w:sz="4" w:space="0" w:color="auto"/>
              <w:right w:val="single" w:sz="4" w:space="0" w:color="auto"/>
            </w:tcBorders>
            <w:shd w:val="clear" w:color="auto" w:fill="auto"/>
            <w:noWrap/>
            <w:vAlign w:val="bottom"/>
            <w:hideMark/>
          </w:tcPr>
          <w:p w14:paraId="207FE6AA"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128</w:t>
            </w:r>
          </w:p>
        </w:tc>
        <w:tc>
          <w:tcPr>
            <w:tcW w:w="1276" w:type="dxa"/>
            <w:tcBorders>
              <w:top w:val="nil"/>
              <w:left w:val="nil"/>
              <w:bottom w:val="single" w:sz="4" w:space="0" w:color="auto"/>
              <w:right w:val="single" w:sz="4" w:space="0" w:color="auto"/>
            </w:tcBorders>
            <w:shd w:val="clear" w:color="auto" w:fill="auto"/>
            <w:noWrap/>
            <w:vAlign w:val="bottom"/>
            <w:hideMark/>
          </w:tcPr>
          <w:p w14:paraId="65C0BB15"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4,487</w:t>
            </w:r>
          </w:p>
        </w:tc>
        <w:tc>
          <w:tcPr>
            <w:tcW w:w="1559" w:type="dxa"/>
            <w:tcBorders>
              <w:top w:val="nil"/>
              <w:left w:val="nil"/>
              <w:bottom w:val="single" w:sz="4" w:space="0" w:color="auto"/>
              <w:right w:val="single" w:sz="4" w:space="0" w:color="auto"/>
            </w:tcBorders>
            <w:shd w:val="clear" w:color="auto" w:fill="auto"/>
            <w:noWrap/>
            <w:vAlign w:val="bottom"/>
            <w:hideMark/>
          </w:tcPr>
          <w:p w14:paraId="2DD5FEB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97.1%</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A0735"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2.9%</w:t>
            </w:r>
          </w:p>
        </w:tc>
      </w:tr>
      <w:tr w:rsidR="00A263A6" w:rsidRPr="005A1511" w14:paraId="41C40FE4"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09FF1"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GREATER MANCHESTER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0844D5B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21,622</w:t>
            </w:r>
          </w:p>
        </w:tc>
        <w:tc>
          <w:tcPr>
            <w:tcW w:w="1843" w:type="dxa"/>
            <w:tcBorders>
              <w:top w:val="nil"/>
              <w:left w:val="nil"/>
              <w:bottom w:val="single" w:sz="4" w:space="0" w:color="auto"/>
              <w:right w:val="single" w:sz="4" w:space="0" w:color="auto"/>
            </w:tcBorders>
            <w:shd w:val="clear" w:color="auto" w:fill="auto"/>
            <w:noWrap/>
            <w:vAlign w:val="bottom"/>
            <w:hideMark/>
          </w:tcPr>
          <w:p w14:paraId="53C89C4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268</w:t>
            </w:r>
          </w:p>
        </w:tc>
        <w:tc>
          <w:tcPr>
            <w:tcW w:w="1276" w:type="dxa"/>
            <w:tcBorders>
              <w:top w:val="nil"/>
              <w:left w:val="nil"/>
              <w:bottom w:val="single" w:sz="4" w:space="0" w:color="auto"/>
              <w:right w:val="single" w:sz="4" w:space="0" w:color="auto"/>
            </w:tcBorders>
            <w:shd w:val="clear" w:color="auto" w:fill="auto"/>
            <w:noWrap/>
            <w:vAlign w:val="bottom"/>
            <w:hideMark/>
          </w:tcPr>
          <w:p w14:paraId="521F7FB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21,890</w:t>
            </w:r>
          </w:p>
        </w:tc>
        <w:tc>
          <w:tcPr>
            <w:tcW w:w="1559" w:type="dxa"/>
            <w:tcBorders>
              <w:top w:val="nil"/>
              <w:left w:val="nil"/>
              <w:bottom w:val="single" w:sz="4" w:space="0" w:color="auto"/>
              <w:right w:val="single" w:sz="4" w:space="0" w:color="auto"/>
            </w:tcBorders>
            <w:shd w:val="clear" w:color="auto" w:fill="auto"/>
            <w:noWrap/>
            <w:vAlign w:val="bottom"/>
            <w:hideMark/>
          </w:tcPr>
          <w:p w14:paraId="1D72A2D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98.8%</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DB70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w:t>
            </w:r>
          </w:p>
        </w:tc>
      </w:tr>
      <w:tr w:rsidR="00A263A6" w:rsidRPr="005A1511" w14:paraId="4EA09A80"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27113"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HAMPSHIRE AND ISLE OF WIGHT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07D8B82D"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13,800</w:t>
            </w:r>
          </w:p>
        </w:tc>
        <w:tc>
          <w:tcPr>
            <w:tcW w:w="1843" w:type="dxa"/>
            <w:tcBorders>
              <w:top w:val="nil"/>
              <w:left w:val="nil"/>
              <w:bottom w:val="single" w:sz="4" w:space="0" w:color="auto"/>
              <w:right w:val="single" w:sz="4" w:space="0" w:color="auto"/>
            </w:tcBorders>
            <w:shd w:val="clear" w:color="auto" w:fill="auto"/>
            <w:noWrap/>
            <w:vAlign w:val="bottom"/>
            <w:hideMark/>
          </w:tcPr>
          <w:p w14:paraId="201E5AC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247</w:t>
            </w:r>
          </w:p>
        </w:tc>
        <w:tc>
          <w:tcPr>
            <w:tcW w:w="1276" w:type="dxa"/>
            <w:tcBorders>
              <w:top w:val="nil"/>
              <w:left w:val="nil"/>
              <w:bottom w:val="single" w:sz="4" w:space="0" w:color="auto"/>
              <w:right w:val="single" w:sz="4" w:space="0" w:color="auto"/>
            </w:tcBorders>
            <w:shd w:val="clear" w:color="auto" w:fill="auto"/>
            <w:noWrap/>
            <w:vAlign w:val="bottom"/>
            <w:hideMark/>
          </w:tcPr>
          <w:p w14:paraId="478C981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14,047</w:t>
            </w:r>
          </w:p>
        </w:tc>
        <w:tc>
          <w:tcPr>
            <w:tcW w:w="1559" w:type="dxa"/>
            <w:tcBorders>
              <w:top w:val="nil"/>
              <w:left w:val="nil"/>
              <w:bottom w:val="single" w:sz="4" w:space="0" w:color="auto"/>
              <w:right w:val="single" w:sz="4" w:space="0" w:color="auto"/>
            </w:tcBorders>
            <w:shd w:val="clear" w:color="auto" w:fill="auto"/>
            <w:noWrap/>
            <w:vAlign w:val="bottom"/>
            <w:hideMark/>
          </w:tcPr>
          <w:p w14:paraId="77B3C5D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98.2%</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9528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1.8%</w:t>
            </w:r>
          </w:p>
        </w:tc>
      </w:tr>
      <w:tr w:rsidR="00A263A6" w:rsidRPr="005A1511" w14:paraId="6EFED996"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411F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HEREFORDSHIRE AND WORCESTERSHIRE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6E41248A"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5,468</w:t>
            </w:r>
          </w:p>
        </w:tc>
        <w:tc>
          <w:tcPr>
            <w:tcW w:w="1843" w:type="dxa"/>
            <w:tcBorders>
              <w:top w:val="nil"/>
              <w:left w:val="nil"/>
              <w:bottom w:val="single" w:sz="4" w:space="0" w:color="auto"/>
              <w:right w:val="single" w:sz="4" w:space="0" w:color="auto"/>
            </w:tcBorders>
            <w:shd w:val="clear" w:color="auto" w:fill="auto"/>
            <w:noWrap/>
            <w:vAlign w:val="bottom"/>
            <w:hideMark/>
          </w:tcPr>
          <w:p w14:paraId="5423A1B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71</w:t>
            </w:r>
          </w:p>
        </w:tc>
        <w:tc>
          <w:tcPr>
            <w:tcW w:w="1276" w:type="dxa"/>
            <w:tcBorders>
              <w:top w:val="nil"/>
              <w:left w:val="nil"/>
              <w:bottom w:val="single" w:sz="4" w:space="0" w:color="auto"/>
              <w:right w:val="single" w:sz="4" w:space="0" w:color="auto"/>
            </w:tcBorders>
            <w:shd w:val="clear" w:color="auto" w:fill="auto"/>
            <w:noWrap/>
            <w:vAlign w:val="bottom"/>
            <w:hideMark/>
          </w:tcPr>
          <w:p w14:paraId="7600DE3F"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5,539</w:t>
            </w:r>
          </w:p>
        </w:tc>
        <w:tc>
          <w:tcPr>
            <w:tcW w:w="1559" w:type="dxa"/>
            <w:tcBorders>
              <w:top w:val="nil"/>
              <w:left w:val="nil"/>
              <w:bottom w:val="single" w:sz="4" w:space="0" w:color="auto"/>
              <w:right w:val="single" w:sz="4" w:space="0" w:color="auto"/>
            </w:tcBorders>
            <w:shd w:val="clear" w:color="auto" w:fill="auto"/>
            <w:noWrap/>
            <w:vAlign w:val="bottom"/>
            <w:hideMark/>
          </w:tcPr>
          <w:p w14:paraId="1A5B0A21"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98.7%</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0558D"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w:t>
            </w:r>
          </w:p>
        </w:tc>
      </w:tr>
      <w:tr w:rsidR="00A263A6" w:rsidRPr="005A1511" w14:paraId="4E222329"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E47C1"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HERTFORDSHIRE AND WEST ESSEX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6D437F1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10,884</w:t>
            </w:r>
          </w:p>
        </w:tc>
        <w:tc>
          <w:tcPr>
            <w:tcW w:w="1843" w:type="dxa"/>
            <w:tcBorders>
              <w:top w:val="nil"/>
              <w:left w:val="nil"/>
              <w:bottom w:val="single" w:sz="4" w:space="0" w:color="auto"/>
              <w:right w:val="single" w:sz="4" w:space="0" w:color="auto"/>
            </w:tcBorders>
            <w:shd w:val="clear" w:color="auto" w:fill="auto"/>
            <w:noWrap/>
            <w:vAlign w:val="bottom"/>
            <w:hideMark/>
          </w:tcPr>
          <w:p w14:paraId="5170911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w:t>
            </w:r>
          </w:p>
        </w:tc>
        <w:tc>
          <w:tcPr>
            <w:tcW w:w="1276" w:type="dxa"/>
            <w:tcBorders>
              <w:top w:val="nil"/>
              <w:left w:val="nil"/>
              <w:bottom w:val="single" w:sz="4" w:space="0" w:color="auto"/>
              <w:right w:val="single" w:sz="4" w:space="0" w:color="auto"/>
            </w:tcBorders>
            <w:shd w:val="clear" w:color="auto" w:fill="auto"/>
            <w:noWrap/>
            <w:vAlign w:val="bottom"/>
            <w:hideMark/>
          </w:tcPr>
          <w:p w14:paraId="667B0E7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10,983</w:t>
            </w:r>
          </w:p>
        </w:tc>
        <w:tc>
          <w:tcPr>
            <w:tcW w:w="1559" w:type="dxa"/>
            <w:tcBorders>
              <w:top w:val="nil"/>
              <w:left w:val="nil"/>
              <w:bottom w:val="single" w:sz="4" w:space="0" w:color="auto"/>
              <w:right w:val="single" w:sz="4" w:space="0" w:color="auto"/>
            </w:tcBorders>
            <w:shd w:val="clear" w:color="auto" w:fill="auto"/>
            <w:noWrap/>
            <w:vAlign w:val="bottom"/>
            <w:hideMark/>
          </w:tcPr>
          <w:p w14:paraId="19E7201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99.1%</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7981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0.9%</w:t>
            </w:r>
          </w:p>
        </w:tc>
      </w:tr>
      <w:tr w:rsidR="00A263A6" w:rsidRPr="005A1511" w14:paraId="41D76E2F"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BCB51"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HUMBER AND NORTH YORKSHIRE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6FA399B8"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10,953</w:t>
            </w:r>
          </w:p>
        </w:tc>
        <w:tc>
          <w:tcPr>
            <w:tcW w:w="1843" w:type="dxa"/>
            <w:tcBorders>
              <w:top w:val="nil"/>
              <w:left w:val="nil"/>
              <w:bottom w:val="single" w:sz="4" w:space="0" w:color="auto"/>
              <w:right w:val="single" w:sz="4" w:space="0" w:color="auto"/>
            </w:tcBorders>
            <w:shd w:val="clear" w:color="auto" w:fill="auto"/>
            <w:noWrap/>
            <w:vAlign w:val="bottom"/>
            <w:hideMark/>
          </w:tcPr>
          <w:p w14:paraId="724D29F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387</w:t>
            </w:r>
          </w:p>
        </w:tc>
        <w:tc>
          <w:tcPr>
            <w:tcW w:w="1276" w:type="dxa"/>
            <w:tcBorders>
              <w:top w:val="nil"/>
              <w:left w:val="nil"/>
              <w:bottom w:val="single" w:sz="4" w:space="0" w:color="auto"/>
              <w:right w:val="single" w:sz="4" w:space="0" w:color="auto"/>
            </w:tcBorders>
            <w:shd w:val="clear" w:color="auto" w:fill="auto"/>
            <w:noWrap/>
            <w:vAlign w:val="bottom"/>
            <w:hideMark/>
          </w:tcPr>
          <w:p w14:paraId="1550E2BF"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11,340</w:t>
            </w:r>
          </w:p>
        </w:tc>
        <w:tc>
          <w:tcPr>
            <w:tcW w:w="1559" w:type="dxa"/>
            <w:tcBorders>
              <w:top w:val="nil"/>
              <w:left w:val="nil"/>
              <w:bottom w:val="single" w:sz="4" w:space="0" w:color="auto"/>
              <w:right w:val="single" w:sz="4" w:space="0" w:color="auto"/>
            </w:tcBorders>
            <w:shd w:val="clear" w:color="auto" w:fill="auto"/>
            <w:noWrap/>
            <w:vAlign w:val="bottom"/>
            <w:hideMark/>
          </w:tcPr>
          <w:p w14:paraId="5B177B6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96.6%</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5D2DF"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3.4%</w:t>
            </w:r>
          </w:p>
        </w:tc>
      </w:tr>
      <w:tr w:rsidR="00A263A6" w:rsidRPr="005A1511" w14:paraId="3766F4E3"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ACB4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 xml:space="preserve">NHS KENT AND MEDWAY </w:t>
            </w:r>
            <w:r w:rsidRPr="005A1511">
              <w:rPr>
                <w:rFonts w:ascii="Arial" w:eastAsia="Times New Roman" w:hAnsi="Arial" w:cs="Arial"/>
                <w:sz w:val="18"/>
                <w:szCs w:val="18"/>
              </w:rPr>
              <w:lastRenderedPageBreak/>
              <w:t>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33444FB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lastRenderedPageBreak/>
              <w:t>11,515</w:t>
            </w:r>
          </w:p>
        </w:tc>
        <w:tc>
          <w:tcPr>
            <w:tcW w:w="1843" w:type="dxa"/>
            <w:tcBorders>
              <w:top w:val="nil"/>
              <w:left w:val="nil"/>
              <w:bottom w:val="single" w:sz="4" w:space="0" w:color="auto"/>
              <w:right w:val="single" w:sz="4" w:space="0" w:color="auto"/>
            </w:tcBorders>
            <w:shd w:val="clear" w:color="auto" w:fill="auto"/>
            <w:noWrap/>
            <w:vAlign w:val="bottom"/>
            <w:hideMark/>
          </w:tcPr>
          <w:p w14:paraId="5EB2BD7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104</w:t>
            </w:r>
          </w:p>
        </w:tc>
        <w:tc>
          <w:tcPr>
            <w:tcW w:w="1276" w:type="dxa"/>
            <w:tcBorders>
              <w:top w:val="nil"/>
              <w:left w:val="nil"/>
              <w:bottom w:val="single" w:sz="4" w:space="0" w:color="auto"/>
              <w:right w:val="single" w:sz="4" w:space="0" w:color="auto"/>
            </w:tcBorders>
            <w:shd w:val="clear" w:color="auto" w:fill="auto"/>
            <w:noWrap/>
            <w:vAlign w:val="bottom"/>
            <w:hideMark/>
          </w:tcPr>
          <w:p w14:paraId="0A1AE34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11,619</w:t>
            </w:r>
          </w:p>
        </w:tc>
        <w:tc>
          <w:tcPr>
            <w:tcW w:w="1559" w:type="dxa"/>
            <w:tcBorders>
              <w:top w:val="nil"/>
              <w:left w:val="nil"/>
              <w:bottom w:val="single" w:sz="4" w:space="0" w:color="auto"/>
              <w:right w:val="single" w:sz="4" w:space="0" w:color="auto"/>
            </w:tcBorders>
            <w:shd w:val="clear" w:color="auto" w:fill="auto"/>
            <w:noWrap/>
            <w:vAlign w:val="bottom"/>
            <w:hideMark/>
          </w:tcPr>
          <w:p w14:paraId="448E95C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99.1%</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5C658"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0.9%</w:t>
            </w:r>
          </w:p>
        </w:tc>
      </w:tr>
      <w:tr w:rsidR="00A263A6" w:rsidRPr="005A1511" w14:paraId="4E445A96"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D76E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LANCASHIRE AND SOUTH CUMBRIA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7C57CFA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15,133</w:t>
            </w:r>
          </w:p>
        </w:tc>
        <w:tc>
          <w:tcPr>
            <w:tcW w:w="1843" w:type="dxa"/>
            <w:tcBorders>
              <w:top w:val="nil"/>
              <w:left w:val="nil"/>
              <w:bottom w:val="single" w:sz="4" w:space="0" w:color="auto"/>
              <w:right w:val="single" w:sz="4" w:space="0" w:color="auto"/>
            </w:tcBorders>
            <w:shd w:val="clear" w:color="auto" w:fill="auto"/>
            <w:noWrap/>
            <w:vAlign w:val="bottom"/>
            <w:hideMark/>
          </w:tcPr>
          <w:p w14:paraId="4FC692B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188</w:t>
            </w:r>
          </w:p>
        </w:tc>
        <w:tc>
          <w:tcPr>
            <w:tcW w:w="1276" w:type="dxa"/>
            <w:tcBorders>
              <w:top w:val="nil"/>
              <w:left w:val="nil"/>
              <w:bottom w:val="single" w:sz="4" w:space="0" w:color="auto"/>
              <w:right w:val="single" w:sz="4" w:space="0" w:color="auto"/>
            </w:tcBorders>
            <w:shd w:val="clear" w:color="auto" w:fill="auto"/>
            <w:noWrap/>
            <w:vAlign w:val="bottom"/>
            <w:hideMark/>
          </w:tcPr>
          <w:p w14:paraId="0FF8186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15,321</w:t>
            </w:r>
          </w:p>
        </w:tc>
        <w:tc>
          <w:tcPr>
            <w:tcW w:w="1559" w:type="dxa"/>
            <w:tcBorders>
              <w:top w:val="nil"/>
              <w:left w:val="nil"/>
              <w:bottom w:val="single" w:sz="4" w:space="0" w:color="auto"/>
              <w:right w:val="single" w:sz="4" w:space="0" w:color="auto"/>
            </w:tcBorders>
            <w:shd w:val="clear" w:color="auto" w:fill="auto"/>
            <w:noWrap/>
            <w:vAlign w:val="bottom"/>
            <w:hideMark/>
          </w:tcPr>
          <w:p w14:paraId="3BCC122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98.8%</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18F5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w:t>
            </w:r>
          </w:p>
        </w:tc>
      </w:tr>
      <w:tr w:rsidR="00A263A6" w:rsidRPr="005A1511" w14:paraId="2F1834A6"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41ADD"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LEICESTER, LEICESTERSHIRE AND RUTLAND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4897591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8,930</w:t>
            </w:r>
          </w:p>
        </w:tc>
        <w:tc>
          <w:tcPr>
            <w:tcW w:w="1843" w:type="dxa"/>
            <w:tcBorders>
              <w:top w:val="nil"/>
              <w:left w:val="nil"/>
              <w:bottom w:val="single" w:sz="4" w:space="0" w:color="auto"/>
              <w:right w:val="single" w:sz="4" w:space="0" w:color="auto"/>
            </w:tcBorders>
            <w:shd w:val="clear" w:color="auto" w:fill="auto"/>
            <w:noWrap/>
            <w:vAlign w:val="bottom"/>
            <w:hideMark/>
          </w:tcPr>
          <w:p w14:paraId="71429CA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85</w:t>
            </w:r>
          </w:p>
        </w:tc>
        <w:tc>
          <w:tcPr>
            <w:tcW w:w="1276" w:type="dxa"/>
            <w:tcBorders>
              <w:top w:val="nil"/>
              <w:left w:val="nil"/>
              <w:bottom w:val="single" w:sz="4" w:space="0" w:color="auto"/>
              <w:right w:val="single" w:sz="4" w:space="0" w:color="auto"/>
            </w:tcBorders>
            <w:shd w:val="clear" w:color="auto" w:fill="auto"/>
            <w:noWrap/>
            <w:vAlign w:val="bottom"/>
            <w:hideMark/>
          </w:tcPr>
          <w:p w14:paraId="23809AD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9,015</w:t>
            </w:r>
          </w:p>
        </w:tc>
        <w:tc>
          <w:tcPr>
            <w:tcW w:w="1559" w:type="dxa"/>
            <w:tcBorders>
              <w:top w:val="nil"/>
              <w:left w:val="nil"/>
              <w:bottom w:val="single" w:sz="4" w:space="0" w:color="auto"/>
              <w:right w:val="single" w:sz="4" w:space="0" w:color="auto"/>
            </w:tcBorders>
            <w:shd w:val="clear" w:color="auto" w:fill="auto"/>
            <w:noWrap/>
            <w:vAlign w:val="bottom"/>
            <w:hideMark/>
          </w:tcPr>
          <w:p w14:paraId="17C0305A"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99.1%</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B99CD"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0.9%</w:t>
            </w:r>
          </w:p>
        </w:tc>
      </w:tr>
      <w:tr w:rsidR="00A263A6" w:rsidRPr="005A1511" w14:paraId="53F35348"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8A2B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LINCOLNSHIRE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36771B3A"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4,906</w:t>
            </w:r>
          </w:p>
        </w:tc>
        <w:tc>
          <w:tcPr>
            <w:tcW w:w="1843" w:type="dxa"/>
            <w:tcBorders>
              <w:top w:val="nil"/>
              <w:left w:val="nil"/>
              <w:bottom w:val="single" w:sz="4" w:space="0" w:color="auto"/>
              <w:right w:val="single" w:sz="4" w:space="0" w:color="auto"/>
            </w:tcBorders>
            <w:shd w:val="clear" w:color="auto" w:fill="auto"/>
            <w:noWrap/>
            <w:vAlign w:val="bottom"/>
            <w:hideMark/>
          </w:tcPr>
          <w:p w14:paraId="125C444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65</w:t>
            </w:r>
          </w:p>
        </w:tc>
        <w:tc>
          <w:tcPr>
            <w:tcW w:w="1276" w:type="dxa"/>
            <w:tcBorders>
              <w:top w:val="nil"/>
              <w:left w:val="nil"/>
              <w:bottom w:val="single" w:sz="4" w:space="0" w:color="auto"/>
              <w:right w:val="single" w:sz="4" w:space="0" w:color="auto"/>
            </w:tcBorders>
            <w:shd w:val="clear" w:color="auto" w:fill="auto"/>
            <w:noWrap/>
            <w:vAlign w:val="bottom"/>
            <w:hideMark/>
          </w:tcPr>
          <w:p w14:paraId="78B356B0"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4,971</w:t>
            </w:r>
          </w:p>
        </w:tc>
        <w:tc>
          <w:tcPr>
            <w:tcW w:w="1559" w:type="dxa"/>
            <w:tcBorders>
              <w:top w:val="nil"/>
              <w:left w:val="nil"/>
              <w:bottom w:val="single" w:sz="4" w:space="0" w:color="auto"/>
              <w:right w:val="single" w:sz="4" w:space="0" w:color="auto"/>
            </w:tcBorders>
            <w:shd w:val="clear" w:color="auto" w:fill="auto"/>
            <w:noWrap/>
            <w:vAlign w:val="bottom"/>
            <w:hideMark/>
          </w:tcPr>
          <w:p w14:paraId="13119F6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98.7%</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D7A8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w:t>
            </w:r>
          </w:p>
        </w:tc>
      </w:tr>
      <w:tr w:rsidR="00A263A6" w:rsidRPr="005A1511" w14:paraId="430ED08A"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C5C0"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MID AND SOUTH ESSEX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6F85335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7,779</w:t>
            </w:r>
          </w:p>
        </w:tc>
        <w:tc>
          <w:tcPr>
            <w:tcW w:w="1843" w:type="dxa"/>
            <w:tcBorders>
              <w:top w:val="nil"/>
              <w:left w:val="nil"/>
              <w:bottom w:val="single" w:sz="4" w:space="0" w:color="auto"/>
              <w:right w:val="single" w:sz="4" w:space="0" w:color="auto"/>
            </w:tcBorders>
            <w:shd w:val="clear" w:color="auto" w:fill="auto"/>
            <w:noWrap/>
            <w:vAlign w:val="bottom"/>
            <w:hideMark/>
          </w:tcPr>
          <w:p w14:paraId="64103DB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139</w:t>
            </w:r>
          </w:p>
        </w:tc>
        <w:tc>
          <w:tcPr>
            <w:tcW w:w="1276" w:type="dxa"/>
            <w:tcBorders>
              <w:top w:val="nil"/>
              <w:left w:val="nil"/>
              <w:bottom w:val="single" w:sz="4" w:space="0" w:color="auto"/>
              <w:right w:val="single" w:sz="4" w:space="0" w:color="auto"/>
            </w:tcBorders>
            <w:shd w:val="clear" w:color="auto" w:fill="auto"/>
            <w:noWrap/>
            <w:vAlign w:val="bottom"/>
            <w:hideMark/>
          </w:tcPr>
          <w:p w14:paraId="5E1D7C7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7,918</w:t>
            </w:r>
          </w:p>
        </w:tc>
        <w:tc>
          <w:tcPr>
            <w:tcW w:w="1559" w:type="dxa"/>
            <w:tcBorders>
              <w:top w:val="nil"/>
              <w:left w:val="nil"/>
              <w:bottom w:val="single" w:sz="4" w:space="0" w:color="auto"/>
              <w:right w:val="single" w:sz="4" w:space="0" w:color="auto"/>
            </w:tcBorders>
            <w:shd w:val="clear" w:color="auto" w:fill="auto"/>
            <w:noWrap/>
            <w:vAlign w:val="bottom"/>
            <w:hideMark/>
          </w:tcPr>
          <w:p w14:paraId="2C3C9DED"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98.2%</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34585"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1.8%</w:t>
            </w:r>
          </w:p>
        </w:tc>
      </w:tr>
      <w:tr w:rsidR="00A263A6" w:rsidRPr="005A1511" w14:paraId="3320A788"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3141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NORFOLK AND WAVENEY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360603D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5,936</w:t>
            </w:r>
          </w:p>
        </w:tc>
        <w:tc>
          <w:tcPr>
            <w:tcW w:w="1843" w:type="dxa"/>
            <w:tcBorders>
              <w:top w:val="nil"/>
              <w:left w:val="nil"/>
              <w:bottom w:val="single" w:sz="4" w:space="0" w:color="auto"/>
              <w:right w:val="single" w:sz="4" w:space="0" w:color="auto"/>
            </w:tcBorders>
            <w:shd w:val="clear" w:color="auto" w:fill="auto"/>
            <w:noWrap/>
            <w:vAlign w:val="bottom"/>
            <w:hideMark/>
          </w:tcPr>
          <w:p w14:paraId="1FCEB211"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118</w:t>
            </w:r>
          </w:p>
        </w:tc>
        <w:tc>
          <w:tcPr>
            <w:tcW w:w="1276" w:type="dxa"/>
            <w:tcBorders>
              <w:top w:val="nil"/>
              <w:left w:val="nil"/>
              <w:bottom w:val="single" w:sz="4" w:space="0" w:color="auto"/>
              <w:right w:val="single" w:sz="4" w:space="0" w:color="auto"/>
            </w:tcBorders>
            <w:shd w:val="clear" w:color="auto" w:fill="auto"/>
            <w:noWrap/>
            <w:vAlign w:val="bottom"/>
            <w:hideMark/>
          </w:tcPr>
          <w:p w14:paraId="5791F0E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6,054</w:t>
            </w:r>
          </w:p>
        </w:tc>
        <w:tc>
          <w:tcPr>
            <w:tcW w:w="1559" w:type="dxa"/>
            <w:tcBorders>
              <w:top w:val="nil"/>
              <w:left w:val="nil"/>
              <w:bottom w:val="single" w:sz="4" w:space="0" w:color="auto"/>
              <w:right w:val="single" w:sz="4" w:space="0" w:color="auto"/>
            </w:tcBorders>
            <w:shd w:val="clear" w:color="auto" w:fill="auto"/>
            <w:noWrap/>
            <w:vAlign w:val="bottom"/>
            <w:hideMark/>
          </w:tcPr>
          <w:p w14:paraId="14D450C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98.1%</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C6B6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1.9%</w:t>
            </w:r>
          </w:p>
        </w:tc>
      </w:tr>
      <w:tr w:rsidR="00A263A6" w:rsidRPr="005A1511" w14:paraId="3EE25EEE"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7DBD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NORTH CENTRAL LONDON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3C49428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7,439</w:t>
            </w:r>
          </w:p>
        </w:tc>
        <w:tc>
          <w:tcPr>
            <w:tcW w:w="1843" w:type="dxa"/>
            <w:tcBorders>
              <w:top w:val="nil"/>
              <w:left w:val="nil"/>
              <w:bottom w:val="single" w:sz="4" w:space="0" w:color="auto"/>
              <w:right w:val="single" w:sz="4" w:space="0" w:color="auto"/>
            </w:tcBorders>
            <w:shd w:val="clear" w:color="auto" w:fill="auto"/>
            <w:noWrap/>
            <w:vAlign w:val="bottom"/>
            <w:hideMark/>
          </w:tcPr>
          <w:p w14:paraId="618A588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52</w:t>
            </w:r>
          </w:p>
        </w:tc>
        <w:tc>
          <w:tcPr>
            <w:tcW w:w="1276" w:type="dxa"/>
            <w:tcBorders>
              <w:top w:val="nil"/>
              <w:left w:val="nil"/>
              <w:bottom w:val="single" w:sz="4" w:space="0" w:color="auto"/>
              <w:right w:val="single" w:sz="4" w:space="0" w:color="auto"/>
            </w:tcBorders>
            <w:shd w:val="clear" w:color="auto" w:fill="auto"/>
            <w:noWrap/>
            <w:vAlign w:val="bottom"/>
            <w:hideMark/>
          </w:tcPr>
          <w:p w14:paraId="137366A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7,491</w:t>
            </w:r>
          </w:p>
        </w:tc>
        <w:tc>
          <w:tcPr>
            <w:tcW w:w="1559" w:type="dxa"/>
            <w:tcBorders>
              <w:top w:val="nil"/>
              <w:left w:val="nil"/>
              <w:bottom w:val="single" w:sz="4" w:space="0" w:color="auto"/>
              <w:right w:val="single" w:sz="4" w:space="0" w:color="auto"/>
            </w:tcBorders>
            <w:shd w:val="clear" w:color="auto" w:fill="auto"/>
            <w:noWrap/>
            <w:vAlign w:val="bottom"/>
            <w:hideMark/>
          </w:tcPr>
          <w:p w14:paraId="4D35B0D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99.3%</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E0D5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0.7%</w:t>
            </w:r>
          </w:p>
        </w:tc>
      </w:tr>
      <w:tr w:rsidR="00A263A6" w:rsidRPr="005A1511" w14:paraId="32889EE4"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9D4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NORTH EAST AND NORTH CUMBRIA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4E7DF42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30,022</w:t>
            </w:r>
          </w:p>
        </w:tc>
        <w:tc>
          <w:tcPr>
            <w:tcW w:w="1843" w:type="dxa"/>
            <w:tcBorders>
              <w:top w:val="nil"/>
              <w:left w:val="nil"/>
              <w:bottom w:val="single" w:sz="4" w:space="0" w:color="auto"/>
              <w:right w:val="single" w:sz="4" w:space="0" w:color="auto"/>
            </w:tcBorders>
            <w:shd w:val="clear" w:color="auto" w:fill="auto"/>
            <w:noWrap/>
            <w:vAlign w:val="bottom"/>
            <w:hideMark/>
          </w:tcPr>
          <w:p w14:paraId="510C235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375</w:t>
            </w:r>
          </w:p>
        </w:tc>
        <w:tc>
          <w:tcPr>
            <w:tcW w:w="1276" w:type="dxa"/>
            <w:tcBorders>
              <w:top w:val="nil"/>
              <w:left w:val="nil"/>
              <w:bottom w:val="single" w:sz="4" w:space="0" w:color="auto"/>
              <w:right w:val="single" w:sz="4" w:space="0" w:color="auto"/>
            </w:tcBorders>
            <w:shd w:val="clear" w:color="auto" w:fill="auto"/>
            <w:noWrap/>
            <w:vAlign w:val="bottom"/>
            <w:hideMark/>
          </w:tcPr>
          <w:p w14:paraId="59B533D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30,397</w:t>
            </w:r>
          </w:p>
        </w:tc>
        <w:tc>
          <w:tcPr>
            <w:tcW w:w="1559" w:type="dxa"/>
            <w:tcBorders>
              <w:top w:val="nil"/>
              <w:left w:val="nil"/>
              <w:bottom w:val="single" w:sz="4" w:space="0" w:color="auto"/>
              <w:right w:val="single" w:sz="4" w:space="0" w:color="auto"/>
            </w:tcBorders>
            <w:shd w:val="clear" w:color="auto" w:fill="auto"/>
            <w:noWrap/>
            <w:vAlign w:val="bottom"/>
            <w:hideMark/>
          </w:tcPr>
          <w:p w14:paraId="1791F05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98.8%</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EB091"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w:t>
            </w:r>
          </w:p>
        </w:tc>
      </w:tr>
      <w:tr w:rsidR="00A263A6" w:rsidRPr="005A1511" w14:paraId="29DBF70F"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4601A"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NORTH EAST LONDON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6027A60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12,102</w:t>
            </w:r>
          </w:p>
        </w:tc>
        <w:tc>
          <w:tcPr>
            <w:tcW w:w="1843" w:type="dxa"/>
            <w:tcBorders>
              <w:top w:val="nil"/>
              <w:left w:val="nil"/>
              <w:bottom w:val="single" w:sz="4" w:space="0" w:color="auto"/>
              <w:right w:val="single" w:sz="4" w:space="0" w:color="auto"/>
            </w:tcBorders>
            <w:shd w:val="clear" w:color="auto" w:fill="auto"/>
            <w:noWrap/>
            <w:vAlign w:val="bottom"/>
            <w:hideMark/>
          </w:tcPr>
          <w:p w14:paraId="6C19398D"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271</w:t>
            </w:r>
          </w:p>
        </w:tc>
        <w:tc>
          <w:tcPr>
            <w:tcW w:w="1276" w:type="dxa"/>
            <w:tcBorders>
              <w:top w:val="nil"/>
              <w:left w:val="nil"/>
              <w:bottom w:val="single" w:sz="4" w:space="0" w:color="auto"/>
              <w:right w:val="single" w:sz="4" w:space="0" w:color="auto"/>
            </w:tcBorders>
            <w:shd w:val="clear" w:color="auto" w:fill="auto"/>
            <w:noWrap/>
            <w:vAlign w:val="bottom"/>
            <w:hideMark/>
          </w:tcPr>
          <w:p w14:paraId="1EC1BC5A"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12,373</w:t>
            </w:r>
          </w:p>
        </w:tc>
        <w:tc>
          <w:tcPr>
            <w:tcW w:w="1559" w:type="dxa"/>
            <w:tcBorders>
              <w:top w:val="nil"/>
              <w:left w:val="nil"/>
              <w:bottom w:val="single" w:sz="4" w:space="0" w:color="auto"/>
              <w:right w:val="single" w:sz="4" w:space="0" w:color="auto"/>
            </w:tcBorders>
            <w:shd w:val="clear" w:color="auto" w:fill="auto"/>
            <w:noWrap/>
            <w:vAlign w:val="bottom"/>
            <w:hideMark/>
          </w:tcPr>
          <w:p w14:paraId="0963925A"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97.8%</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24F60"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2.2%</w:t>
            </w:r>
          </w:p>
        </w:tc>
      </w:tr>
      <w:tr w:rsidR="00A263A6" w:rsidRPr="005A1511" w14:paraId="15155A41"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1C47A"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NORTH WEST LONDON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36FB67D8"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11,254</w:t>
            </w:r>
          </w:p>
        </w:tc>
        <w:tc>
          <w:tcPr>
            <w:tcW w:w="1843" w:type="dxa"/>
            <w:tcBorders>
              <w:top w:val="nil"/>
              <w:left w:val="nil"/>
              <w:bottom w:val="single" w:sz="4" w:space="0" w:color="auto"/>
              <w:right w:val="single" w:sz="4" w:space="0" w:color="auto"/>
            </w:tcBorders>
            <w:shd w:val="clear" w:color="auto" w:fill="auto"/>
            <w:noWrap/>
            <w:vAlign w:val="bottom"/>
            <w:hideMark/>
          </w:tcPr>
          <w:p w14:paraId="65CB961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73</w:t>
            </w:r>
          </w:p>
        </w:tc>
        <w:tc>
          <w:tcPr>
            <w:tcW w:w="1276" w:type="dxa"/>
            <w:tcBorders>
              <w:top w:val="nil"/>
              <w:left w:val="nil"/>
              <w:bottom w:val="single" w:sz="4" w:space="0" w:color="auto"/>
              <w:right w:val="single" w:sz="4" w:space="0" w:color="auto"/>
            </w:tcBorders>
            <w:shd w:val="clear" w:color="auto" w:fill="auto"/>
            <w:noWrap/>
            <w:vAlign w:val="bottom"/>
            <w:hideMark/>
          </w:tcPr>
          <w:p w14:paraId="4E4AF62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11,327</w:t>
            </w:r>
          </w:p>
        </w:tc>
        <w:tc>
          <w:tcPr>
            <w:tcW w:w="1559" w:type="dxa"/>
            <w:tcBorders>
              <w:top w:val="nil"/>
              <w:left w:val="nil"/>
              <w:bottom w:val="single" w:sz="4" w:space="0" w:color="auto"/>
              <w:right w:val="single" w:sz="4" w:space="0" w:color="auto"/>
            </w:tcBorders>
            <w:shd w:val="clear" w:color="auto" w:fill="auto"/>
            <w:noWrap/>
            <w:vAlign w:val="bottom"/>
            <w:hideMark/>
          </w:tcPr>
          <w:p w14:paraId="2CD14C25"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99.4%</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3007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0.6%</w:t>
            </w:r>
          </w:p>
        </w:tc>
      </w:tr>
      <w:tr w:rsidR="00A263A6" w:rsidRPr="005A1511" w14:paraId="4FC3E1D2"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429A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NORTHAMPTONSHIRE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3F2FEFA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5,165</w:t>
            </w:r>
          </w:p>
        </w:tc>
        <w:tc>
          <w:tcPr>
            <w:tcW w:w="1843" w:type="dxa"/>
            <w:tcBorders>
              <w:top w:val="nil"/>
              <w:left w:val="nil"/>
              <w:bottom w:val="single" w:sz="4" w:space="0" w:color="auto"/>
              <w:right w:val="single" w:sz="4" w:space="0" w:color="auto"/>
            </w:tcBorders>
            <w:shd w:val="clear" w:color="auto" w:fill="auto"/>
            <w:noWrap/>
            <w:vAlign w:val="bottom"/>
            <w:hideMark/>
          </w:tcPr>
          <w:p w14:paraId="2D097B7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44</w:t>
            </w:r>
          </w:p>
        </w:tc>
        <w:tc>
          <w:tcPr>
            <w:tcW w:w="1276" w:type="dxa"/>
            <w:tcBorders>
              <w:top w:val="nil"/>
              <w:left w:val="nil"/>
              <w:bottom w:val="single" w:sz="4" w:space="0" w:color="auto"/>
              <w:right w:val="single" w:sz="4" w:space="0" w:color="auto"/>
            </w:tcBorders>
            <w:shd w:val="clear" w:color="auto" w:fill="auto"/>
            <w:noWrap/>
            <w:vAlign w:val="bottom"/>
            <w:hideMark/>
          </w:tcPr>
          <w:p w14:paraId="5FD234A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5,209</w:t>
            </w:r>
          </w:p>
        </w:tc>
        <w:tc>
          <w:tcPr>
            <w:tcW w:w="1559" w:type="dxa"/>
            <w:tcBorders>
              <w:top w:val="nil"/>
              <w:left w:val="nil"/>
              <w:bottom w:val="single" w:sz="4" w:space="0" w:color="auto"/>
              <w:right w:val="single" w:sz="4" w:space="0" w:color="auto"/>
            </w:tcBorders>
            <w:shd w:val="clear" w:color="auto" w:fill="auto"/>
            <w:noWrap/>
            <w:vAlign w:val="bottom"/>
            <w:hideMark/>
          </w:tcPr>
          <w:p w14:paraId="1E3A11B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99.2%</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F57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0.8%</w:t>
            </w:r>
          </w:p>
        </w:tc>
      </w:tr>
      <w:tr w:rsidR="00A263A6" w:rsidRPr="005A1511" w14:paraId="63FBB1E5"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1E5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NOTTINGHAM AND NOTTINGHAMSHIRE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2D87BC69"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10,060</w:t>
            </w:r>
          </w:p>
        </w:tc>
        <w:tc>
          <w:tcPr>
            <w:tcW w:w="1843" w:type="dxa"/>
            <w:tcBorders>
              <w:top w:val="nil"/>
              <w:left w:val="nil"/>
              <w:bottom w:val="single" w:sz="4" w:space="0" w:color="auto"/>
              <w:right w:val="single" w:sz="4" w:space="0" w:color="auto"/>
            </w:tcBorders>
            <w:shd w:val="clear" w:color="auto" w:fill="auto"/>
            <w:noWrap/>
            <w:vAlign w:val="bottom"/>
            <w:hideMark/>
          </w:tcPr>
          <w:p w14:paraId="4B53C29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69</w:t>
            </w:r>
          </w:p>
        </w:tc>
        <w:tc>
          <w:tcPr>
            <w:tcW w:w="1276" w:type="dxa"/>
            <w:tcBorders>
              <w:top w:val="nil"/>
              <w:left w:val="nil"/>
              <w:bottom w:val="single" w:sz="4" w:space="0" w:color="auto"/>
              <w:right w:val="single" w:sz="4" w:space="0" w:color="auto"/>
            </w:tcBorders>
            <w:shd w:val="clear" w:color="auto" w:fill="auto"/>
            <w:noWrap/>
            <w:vAlign w:val="bottom"/>
            <w:hideMark/>
          </w:tcPr>
          <w:p w14:paraId="675CE86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10,129</w:t>
            </w:r>
          </w:p>
        </w:tc>
        <w:tc>
          <w:tcPr>
            <w:tcW w:w="1559" w:type="dxa"/>
            <w:tcBorders>
              <w:top w:val="nil"/>
              <w:left w:val="nil"/>
              <w:bottom w:val="single" w:sz="4" w:space="0" w:color="auto"/>
              <w:right w:val="single" w:sz="4" w:space="0" w:color="auto"/>
            </w:tcBorders>
            <w:shd w:val="clear" w:color="auto" w:fill="auto"/>
            <w:noWrap/>
            <w:vAlign w:val="bottom"/>
            <w:hideMark/>
          </w:tcPr>
          <w:p w14:paraId="724CB78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99.3%</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A4091"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0.7%</w:t>
            </w:r>
          </w:p>
        </w:tc>
      </w:tr>
      <w:tr w:rsidR="00A263A6" w:rsidRPr="005A1511" w14:paraId="2229AFA7"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49960"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SHROPSHIRE, TELFORD AND WREKIN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61DCC30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4,066</w:t>
            </w:r>
          </w:p>
        </w:tc>
        <w:tc>
          <w:tcPr>
            <w:tcW w:w="1843" w:type="dxa"/>
            <w:tcBorders>
              <w:top w:val="nil"/>
              <w:left w:val="nil"/>
              <w:bottom w:val="single" w:sz="4" w:space="0" w:color="auto"/>
              <w:right w:val="single" w:sz="4" w:space="0" w:color="auto"/>
            </w:tcBorders>
            <w:shd w:val="clear" w:color="auto" w:fill="auto"/>
            <w:noWrap/>
            <w:vAlign w:val="bottom"/>
            <w:hideMark/>
          </w:tcPr>
          <w:p w14:paraId="6D32C47F"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56</w:t>
            </w:r>
          </w:p>
        </w:tc>
        <w:tc>
          <w:tcPr>
            <w:tcW w:w="1276" w:type="dxa"/>
            <w:tcBorders>
              <w:top w:val="nil"/>
              <w:left w:val="nil"/>
              <w:bottom w:val="single" w:sz="4" w:space="0" w:color="auto"/>
              <w:right w:val="single" w:sz="4" w:space="0" w:color="auto"/>
            </w:tcBorders>
            <w:shd w:val="clear" w:color="auto" w:fill="auto"/>
            <w:noWrap/>
            <w:vAlign w:val="bottom"/>
            <w:hideMark/>
          </w:tcPr>
          <w:p w14:paraId="4FA93DFD"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4,122</w:t>
            </w:r>
          </w:p>
        </w:tc>
        <w:tc>
          <w:tcPr>
            <w:tcW w:w="1559" w:type="dxa"/>
            <w:tcBorders>
              <w:top w:val="nil"/>
              <w:left w:val="nil"/>
              <w:bottom w:val="single" w:sz="4" w:space="0" w:color="auto"/>
              <w:right w:val="single" w:sz="4" w:space="0" w:color="auto"/>
            </w:tcBorders>
            <w:shd w:val="clear" w:color="auto" w:fill="auto"/>
            <w:noWrap/>
            <w:vAlign w:val="bottom"/>
            <w:hideMark/>
          </w:tcPr>
          <w:p w14:paraId="2ABBE48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98.6%</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A21A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w:t>
            </w:r>
          </w:p>
        </w:tc>
      </w:tr>
      <w:tr w:rsidR="00A263A6" w:rsidRPr="005A1511" w14:paraId="22877C06"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4650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SOMERSET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3EE54CD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4,070</w:t>
            </w:r>
          </w:p>
        </w:tc>
        <w:tc>
          <w:tcPr>
            <w:tcW w:w="1843" w:type="dxa"/>
            <w:tcBorders>
              <w:top w:val="nil"/>
              <w:left w:val="nil"/>
              <w:bottom w:val="single" w:sz="4" w:space="0" w:color="auto"/>
              <w:right w:val="single" w:sz="4" w:space="0" w:color="auto"/>
            </w:tcBorders>
            <w:shd w:val="clear" w:color="auto" w:fill="auto"/>
            <w:noWrap/>
            <w:vAlign w:val="bottom"/>
            <w:hideMark/>
          </w:tcPr>
          <w:p w14:paraId="7DC2630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44</w:t>
            </w:r>
          </w:p>
        </w:tc>
        <w:tc>
          <w:tcPr>
            <w:tcW w:w="1276" w:type="dxa"/>
            <w:tcBorders>
              <w:top w:val="nil"/>
              <w:left w:val="nil"/>
              <w:bottom w:val="single" w:sz="4" w:space="0" w:color="auto"/>
              <w:right w:val="single" w:sz="4" w:space="0" w:color="auto"/>
            </w:tcBorders>
            <w:shd w:val="clear" w:color="auto" w:fill="auto"/>
            <w:noWrap/>
            <w:vAlign w:val="bottom"/>
            <w:hideMark/>
          </w:tcPr>
          <w:p w14:paraId="255E960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4,114</w:t>
            </w:r>
          </w:p>
        </w:tc>
        <w:tc>
          <w:tcPr>
            <w:tcW w:w="1559" w:type="dxa"/>
            <w:tcBorders>
              <w:top w:val="nil"/>
              <w:left w:val="nil"/>
              <w:bottom w:val="single" w:sz="4" w:space="0" w:color="auto"/>
              <w:right w:val="single" w:sz="4" w:space="0" w:color="auto"/>
            </w:tcBorders>
            <w:shd w:val="clear" w:color="auto" w:fill="auto"/>
            <w:noWrap/>
            <w:vAlign w:val="bottom"/>
            <w:hideMark/>
          </w:tcPr>
          <w:p w14:paraId="38AD8BB1"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98.9%</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4CB48"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w:t>
            </w:r>
          </w:p>
        </w:tc>
      </w:tr>
      <w:tr w:rsidR="00A263A6" w:rsidRPr="005A1511" w14:paraId="36A059CC"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DB730"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SOUTH EAST LONDON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1D599171"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9,613</w:t>
            </w:r>
          </w:p>
        </w:tc>
        <w:tc>
          <w:tcPr>
            <w:tcW w:w="1843" w:type="dxa"/>
            <w:tcBorders>
              <w:top w:val="nil"/>
              <w:left w:val="nil"/>
              <w:bottom w:val="single" w:sz="4" w:space="0" w:color="auto"/>
              <w:right w:val="single" w:sz="4" w:space="0" w:color="auto"/>
            </w:tcBorders>
            <w:shd w:val="clear" w:color="auto" w:fill="auto"/>
            <w:noWrap/>
            <w:vAlign w:val="bottom"/>
            <w:hideMark/>
          </w:tcPr>
          <w:p w14:paraId="102D7033"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w:t>
            </w:r>
          </w:p>
        </w:tc>
        <w:tc>
          <w:tcPr>
            <w:tcW w:w="1276" w:type="dxa"/>
            <w:tcBorders>
              <w:top w:val="nil"/>
              <w:left w:val="nil"/>
              <w:bottom w:val="single" w:sz="4" w:space="0" w:color="auto"/>
              <w:right w:val="single" w:sz="4" w:space="0" w:color="auto"/>
            </w:tcBorders>
            <w:shd w:val="clear" w:color="auto" w:fill="auto"/>
            <w:noWrap/>
            <w:vAlign w:val="bottom"/>
            <w:hideMark/>
          </w:tcPr>
          <w:p w14:paraId="3A36075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9,711</w:t>
            </w:r>
          </w:p>
        </w:tc>
        <w:tc>
          <w:tcPr>
            <w:tcW w:w="1559" w:type="dxa"/>
            <w:tcBorders>
              <w:top w:val="nil"/>
              <w:left w:val="nil"/>
              <w:bottom w:val="single" w:sz="4" w:space="0" w:color="auto"/>
              <w:right w:val="single" w:sz="4" w:space="0" w:color="auto"/>
            </w:tcBorders>
            <w:shd w:val="clear" w:color="auto" w:fill="auto"/>
            <w:noWrap/>
            <w:vAlign w:val="bottom"/>
            <w:hideMark/>
          </w:tcPr>
          <w:p w14:paraId="45C40133"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99.0%</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ED9A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w:t>
            </w:r>
          </w:p>
        </w:tc>
      </w:tr>
      <w:tr w:rsidR="00A263A6" w:rsidRPr="005A1511" w14:paraId="1D2F6532"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1AC3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SOUTH WEST LONDON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1557BFC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7,618</w:t>
            </w:r>
          </w:p>
        </w:tc>
        <w:tc>
          <w:tcPr>
            <w:tcW w:w="1843" w:type="dxa"/>
            <w:tcBorders>
              <w:top w:val="nil"/>
              <w:left w:val="nil"/>
              <w:bottom w:val="single" w:sz="4" w:space="0" w:color="auto"/>
              <w:right w:val="single" w:sz="4" w:space="0" w:color="auto"/>
            </w:tcBorders>
            <w:shd w:val="clear" w:color="auto" w:fill="auto"/>
            <w:noWrap/>
            <w:vAlign w:val="bottom"/>
            <w:hideMark/>
          </w:tcPr>
          <w:p w14:paraId="6264DEF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66</w:t>
            </w:r>
          </w:p>
        </w:tc>
        <w:tc>
          <w:tcPr>
            <w:tcW w:w="1276" w:type="dxa"/>
            <w:tcBorders>
              <w:top w:val="nil"/>
              <w:left w:val="nil"/>
              <w:bottom w:val="single" w:sz="4" w:space="0" w:color="auto"/>
              <w:right w:val="single" w:sz="4" w:space="0" w:color="auto"/>
            </w:tcBorders>
            <w:shd w:val="clear" w:color="auto" w:fill="auto"/>
            <w:noWrap/>
            <w:vAlign w:val="bottom"/>
            <w:hideMark/>
          </w:tcPr>
          <w:p w14:paraId="52CA102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7,684</w:t>
            </w:r>
          </w:p>
        </w:tc>
        <w:tc>
          <w:tcPr>
            <w:tcW w:w="1559" w:type="dxa"/>
            <w:tcBorders>
              <w:top w:val="nil"/>
              <w:left w:val="nil"/>
              <w:bottom w:val="single" w:sz="4" w:space="0" w:color="auto"/>
              <w:right w:val="single" w:sz="4" w:space="0" w:color="auto"/>
            </w:tcBorders>
            <w:shd w:val="clear" w:color="auto" w:fill="auto"/>
            <w:noWrap/>
            <w:vAlign w:val="bottom"/>
            <w:hideMark/>
          </w:tcPr>
          <w:p w14:paraId="2CDB90E0"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99.1%</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1A4E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0.9%</w:t>
            </w:r>
          </w:p>
        </w:tc>
      </w:tr>
      <w:tr w:rsidR="00A263A6" w:rsidRPr="005A1511" w14:paraId="38636A43"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9E2A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SOUTH YORKSHIRE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33887F40"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9,927</w:t>
            </w:r>
          </w:p>
        </w:tc>
        <w:tc>
          <w:tcPr>
            <w:tcW w:w="1843" w:type="dxa"/>
            <w:tcBorders>
              <w:top w:val="nil"/>
              <w:left w:val="nil"/>
              <w:bottom w:val="single" w:sz="4" w:space="0" w:color="auto"/>
              <w:right w:val="single" w:sz="4" w:space="0" w:color="auto"/>
            </w:tcBorders>
            <w:shd w:val="clear" w:color="auto" w:fill="auto"/>
            <w:noWrap/>
            <w:vAlign w:val="bottom"/>
            <w:hideMark/>
          </w:tcPr>
          <w:p w14:paraId="168693A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178</w:t>
            </w:r>
          </w:p>
        </w:tc>
        <w:tc>
          <w:tcPr>
            <w:tcW w:w="1276" w:type="dxa"/>
            <w:tcBorders>
              <w:top w:val="nil"/>
              <w:left w:val="nil"/>
              <w:bottom w:val="single" w:sz="4" w:space="0" w:color="auto"/>
              <w:right w:val="single" w:sz="4" w:space="0" w:color="auto"/>
            </w:tcBorders>
            <w:shd w:val="clear" w:color="auto" w:fill="auto"/>
            <w:noWrap/>
            <w:vAlign w:val="bottom"/>
            <w:hideMark/>
          </w:tcPr>
          <w:p w14:paraId="43DAC8C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10,105</w:t>
            </w:r>
          </w:p>
        </w:tc>
        <w:tc>
          <w:tcPr>
            <w:tcW w:w="1559" w:type="dxa"/>
            <w:tcBorders>
              <w:top w:val="nil"/>
              <w:left w:val="nil"/>
              <w:bottom w:val="single" w:sz="4" w:space="0" w:color="auto"/>
              <w:right w:val="single" w:sz="4" w:space="0" w:color="auto"/>
            </w:tcBorders>
            <w:shd w:val="clear" w:color="auto" w:fill="auto"/>
            <w:noWrap/>
            <w:vAlign w:val="bottom"/>
            <w:hideMark/>
          </w:tcPr>
          <w:p w14:paraId="3B56529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98.2%</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B36D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1.8%</w:t>
            </w:r>
          </w:p>
        </w:tc>
      </w:tr>
      <w:tr w:rsidR="00A263A6" w:rsidRPr="005A1511" w14:paraId="448BD7ED"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060EF"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STAFFORDSHIRE AND STOKE-ON-</w:t>
            </w:r>
            <w:r w:rsidRPr="005A1511">
              <w:rPr>
                <w:rFonts w:ascii="Arial" w:eastAsia="Times New Roman" w:hAnsi="Arial" w:cs="Arial"/>
                <w:sz w:val="18"/>
                <w:szCs w:val="18"/>
              </w:rPr>
              <w:lastRenderedPageBreak/>
              <w:t>TRENT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18C38D70"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lastRenderedPageBreak/>
              <w:t>11,415</w:t>
            </w:r>
          </w:p>
        </w:tc>
        <w:tc>
          <w:tcPr>
            <w:tcW w:w="1843" w:type="dxa"/>
            <w:tcBorders>
              <w:top w:val="nil"/>
              <w:left w:val="nil"/>
              <w:bottom w:val="single" w:sz="4" w:space="0" w:color="auto"/>
              <w:right w:val="single" w:sz="4" w:space="0" w:color="auto"/>
            </w:tcBorders>
            <w:shd w:val="clear" w:color="auto" w:fill="auto"/>
            <w:noWrap/>
            <w:vAlign w:val="bottom"/>
            <w:hideMark/>
          </w:tcPr>
          <w:p w14:paraId="2115C8A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217</w:t>
            </w:r>
          </w:p>
        </w:tc>
        <w:tc>
          <w:tcPr>
            <w:tcW w:w="1276" w:type="dxa"/>
            <w:tcBorders>
              <w:top w:val="nil"/>
              <w:left w:val="nil"/>
              <w:bottom w:val="single" w:sz="4" w:space="0" w:color="auto"/>
              <w:right w:val="single" w:sz="4" w:space="0" w:color="auto"/>
            </w:tcBorders>
            <w:shd w:val="clear" w:color="auto" w:fill="auto"/>
            <w:noWrap/>
            <w:vAlign w:val="bottom"/>
            <w:hideMark/>
          </w:tcPr>
          <w:p w14:paraId="5BBF3C4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11,632</w:t>
            </w:r>
          </w:p>
        </w:tc>
        <w:tc>
          <w:tcPr>
            <w:tcW w:w="1559" w:type="dxa"/>
            <w:tcBorders>
              <w:top w:val="nil"/>
              <w:left w:val="nil"/>
              <w:bottom w:val="single" w:sz="4" w:space="0" w:color="auto"/>
              <w:right w:val="single" w:sz="4" w:space="0" w:color="auto"/>
            </w:tcBorders>
            <w:shd w:val="clear" w:color="auto" w:fill="auto"/>
            <w:noWrap/>
            <w:vAlign w:val="bottom"/>
            <w:hideMark/>
          </w:tcPr>
          <w:p w14:paraId="5279586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98.1%</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20A25"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1.9%</w:t>
            </w:r>
          </w:p>
        </w:tc>
      </w:tr>
      <w:tr w:rsidR="00A263A6" w:rsidRPr="005A1511" w14:paraId="0CF916EA"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77890"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SUFFOLK AND NORTH EAST ESSEX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22090182"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5,556</w:t>
            </w:r>
          </w:p>
        </w:tc>
        <w:tc>
          <w:tcPr>
            <w:tcW w:w="1843" w:type="dxa"/>
            <w:tcBorders>
              <w:top w:val="nil"/>
              <w:left w:val="nil"/>
              <w:bottom w:val="single" w:sz="4" w:space="0" w:color="auto"/>
              <w:right w:val="single" w:sz="4" w:space="0" w:color="auto"/>
            </w:tcBorders>
            <w:shd w:val="clear" w:color="auto" w:fill="auto"/>
            <w:noWrap/>
            <w:vAlign w:val="bottom"/>
            <w:hideMark/>
          </w:tcPr>
          <w:p w14:paraId="4E8B9FD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49</w:t>
            </w:r>
          </w:p>
        </w:tc>
        <w:tc>
          <w:tcPr>
            <w:tcW w:w="1276" w:type="dxa"/>
            <w:tcBorders>
              <w:top w:val="nil"/>
              <w:left w:val="nil"/>
              <w:bottom w:val="single" w:sz="4" w:space="0" w:color="auto"/>
              <w:right w:val="single" w:sz="4" w:space="0" w:color="auto"/>
            </w:tcBorders>
            <w:shd w:val="clear" w:color="auto" w:fill="auto"/>
            <w:noWrap/>
            <w:vAlign w:val="bottom"/>
            <w:hideMark/>
          </w:tcPr>
          <w:p w14:paraId="5D80874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5,605</w:t>
            </w:r>
          </w:p>
        </w:tc>
        <w:tc>
          <w:tcPr>
            <w:tcW w:w="1559" w:type="dxa"/>
            <w:tcBorders>
              <w:top w:val="nil"/>
              <w:left w:val="nil"/>
              <w:bottom w:val="single" w:sz="4" w:space="0" w:color="auto"/>
              <w:right w:val="single" w:sz="4" w:space="0" w:color="auto"/>
            </w:tcBorders>
            <w:shd w:val="clear" w:color="auto" w:fill="auto"/>
            <w:noWrap/>
            <w:vAlign w:val="bottom"/>
            <w:hideMark/>
          </w:tcPr>
          <w:p w14:paraId="26D265C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99.1%</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7DCA8"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0.9%</w:t>
            </w:r>
          </w:p>
        </w:tc>
      </w:tr>
      <w:tr w:rsidR="00A263A6" w:rsidRPr="005A1511" w14:paraId="6C42D2DC"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0C87A"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SURREY HEARTLANDS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1247D660"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5,326</w:t>
            </w:r>
          </w:p>
        </w:tc>
        <w:tc>
          <w:tcPr>
            <w:tcW w:w="1843" w:type="dxa"/>
            <w:tcBorders>
              <w:top w:val="nil"/>
              <w:left w:val="nil"/>
              <w:bottom w:val="single" w:sz="4" w:space="0" w:color="auto"/>
              <w:right w:val="single" w:sz="4" w:space="0" w:color="auto"/>
            </w:tcBorders>
            <w:shd w:val="clear" w:color="auto" w:fill="auto"/>
            <w:noWrap/>
            <w:vAlign w:val="bottom"/>
            <w:hideMark/>
          </w:tcPr>
          <w:p w14:paraId="68F7E37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66</w:t>
            </w:r>
          </w:p>
        </w:tc>
        <w:tc>
          <w:tcPr>
            <w:tcW w:w="1276" w:type="dxa"/>
            <w:tcBorders>
              <w:top w:val="nil"/>
              <w:left w:val="nil"/>
              <w:bottom w:val="single" w:sz="4" w:space="0" w:color="auto"/>
              <w:right w:val="single" w:sz="4" w:space="0" w:color="auto"/>
            </w:tcBorders>
            <w:shd w:val="clear" w:color="auto" w:fill="auto"/>
            <w:noWrap/>
            <w:vAlign w:val="bottom"/>
            <w:hideMark/>
          </w:tcPr>
          <w:p w14:paraId="08DEF83F"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5,392</w:t>
            </w:r>
          </w:p>
        </w:tc>
        <w:tc>
          <w:tcPr>
            <w:tcW w:w="1559" w:type="dxa"/>
            <w:tcBorders>
              <w:top w:val="nil"/>
              <w:left w:val="nil"/>
              <w:bottom w:val="single" w:sz="4" w:space="0" w:color="auto"/>
              <w:right w:val="single" w:sz="4" w:space="0" w:color="auto"/>
            </w:tcBorders>
            <w:shd w:val="clear" w:color="auto" w:fill="auto"/>
            <w:noWrap/>
            <w:vAlign w:val="bottom"/>
            <w:hideMark/>
          </w:tcPr>
          <w:p w14:paraId="6CE64773"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98.8%</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FFA51"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w:t>
            </w:r>
          </w:p>
        </w:tc>
      </w:tr>
      <w:tr w:rsidR="00A263A6" w:rsidRPr="005A1511" w14:paraId="031E1C1C"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02F2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SUSSEX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4E3E582A"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9,943</w:t>
            </w:r>
          </w:p>
        </w:tc>
        <w:tc>
          <w:tcPr>
            <w:tcW w:w="1843" w:type="dxa"/>
            <w:tcBorders>
              <w:top w:val="nil"/>
              <w:left w:val="nil"/>
              <w:bottom w:val="single" w:sz="4" w:space="0" w:color="auto"/>
              <w:right w:val="single" w:sz="4" w:space="0" w:color="auto"/>
            </w:tcBorders>
            <w:shd w:val="clear" w:color="auto" w:fill="auto"/>
            <w:noWrap/>
            <w:vAlign w:val="bottom"/>
            <w:hideMark/>
          </w:tcPr>
          <w:p w14:paraId="48C93167"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117</w:t>
            </w:r>
          </w:p>
        </w:tc>
        <w:tc>
          <w:tcPr>
            <w:tcW w:w="1276" w:type="dxa"/>
            <w:tcBorders>
              <w:top w:val="nil"/>
              <w:left w:val="nil"/>
              <w:bottom w:val="single" w:sz="4" w:space="0" w:color="auto"/>
              <w:right w:val="single" w:sz="4" w:space="0" w:color="auto"/>
            </w:tcBorders>
            <w:shd w:val="clear" w:color="auto" w:fill="auto"/>
            <w:noWrap/>
            <w:vAlign w:val="bottom"/>
            <w:hideMark/>
          </w:tcPr>
          <w:p w14:paraId="697916B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10,060</w:t>
            </w:r>
          </w:p>
        </w:tc>
        <w:tc>
          <w:tcPr>
            <w:tcW w:w="1559" w:type="dxa"/>
            <w:tcBorders>
              <w:top w:val="nil"/>
              <w:left w:val="nil"/>
              <w:bottom w:val="single" w:sz="4" w:space="0" w:color="auto"/>
              <w:right w:val="single" w:sz="4" w:space="0" w:color="auto"/>
            </w:tcBorders>
            <w:shd w:val="clear" w:color="auto" w:fill="auto"/>
            <w:noWrap/>
            <w:vAlign w:val="bottom"/>
            <w:hideMark/>
          </w:tcPr>
          <w:p w14:paraId="6568F2DF"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98.8%</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A3C0B"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w:t>
            </w:r>
          </w:p>
        </w:tc>
      </w:tr>
      <w:tr w:rsidR="00A263A6" w:rsidRPr="005A1511" w14:paraId="52B46E4D"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914C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WEST YORKSHIRE INTEGRATED CARE BOARD</w:t>
            </w:r>
          </w:p>
        </w:tc>
        <w:tc>
          <w:tcPr>
            <w:tcW w:w="1690" w:type="dxa"/>
            <w:tcBorders>
              <w:top w:val="nil"/>
              <w:left w:val="nil"/>
              <w:bottom w:val="single" w:sz="4" w:space="0" w:color="auto"/>
              <w:right w:val="single" w:sz="4" w:space="0" w:color="auto"/>
            </w:tcBorders>
            <w:shd w:val="clear" w:color="auto" w:fill="auto"/>
            <w:noWrap/>
            <w:vAlign w:val="bottom"/>
            <w:hideMark/>
          </w:tcPr>
          <w:p w14:paraId="040F998D"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17,350</w:t>
            </w:r>
          </w:p>
        </w:tc>
        <w:tc>
          <w:tcPr>
            <w:tcW w:w="1843" w:type="dxa"/>
            <w:tcBorders>
              <w:top w:val="nil"/>
              <w:left w:val="nil"/>
              <w:bottom w:val="single" w:sz="4" w:space="0" w:color="auto"/>
              <w:right w:val="single" w:sz="4" w:space="0" w:color="auto"/>
            </w:tcBorders>
            <w:shd w:val="clear" w:color="auto" w:fill="auto"/>
            <w:noWrap/>
            <w:vAlign w:val="bottom"/>
            <w:hideMark/>
          </w:tcPr>
          <w:p w14:paraId="65826C9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179</w:t>
            </w:r>
          </w:p>
        </w:tc>
        <w:tc>
          <w:tcPr>
            <w:tcW w:w="1276" w:type="dxa"/>
            <w:tcBorders>
              <w:top w:val="nil"/>
              <w:left w:val="nil"/>
              <w:bottom w:val="single" w:sz="4" w:space="0" w:color="auto"/>
              <w:right w:val="single" w:sz="4" w:space="0" w:color="auto"/>
            </w:tcBorders>
            <w:shd w:val="clear" w:color="auto" w:fill="auto"/>
            <w:noWrap/>
            <w:vAlign w:val="bottom"/>
            <w:hideMark/>
          </w:tcPr>
          <w:p w14:paraId="578DE4A8"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17,529</w:t>
            </w:r>
          </w:p>
        </w:tc>
        <w:tc>
          <w:tcPr>
            <w:tcW w:w="1559" w:type="dxa"/>
            <w:tcBorders>
              <w:top w:val="nil"/>
              <w:left w:val="nil"/>
              <w:bottom w:val="single" w:sz="4" w:space="0" w:color="auto"/>
              <w:right w:val="single" w:sz="4" w:space="0" w:color="auto"/>
            </w:tcBorders>
            <w:shd w:val="clear" w:color="auto" w:fill="auto"/>
            <w:noWrap/>
            <w:vAlign w:val="bottom"/>
            <w:hideMark/>
          </w:tcPr>
          <w:p w14:paraId="7989D326"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99.0%</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65C01"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w:t>
            </w:r>
          </w:p>
        </w:tc>
      </w:tr>
      <w:tr w:rsidR="00A263A6" w:rsidRPr="005A1511" w14:paraId="7A7BBAC1" w14:textId="77777777" w:rsidTr="00A263A6">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854F0"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sz w:val="18"/>
                <w:szCs w:val="18"/>
              </w:rPr>
            </w:pPr>
            <w:r w:rsidRPr="005A1511">
              <w:rPr>
                <w:rFonts w:ascii="Arial" w:eastAsia="Times New Roman" w:hAnsi="Arial" w:cs="Arial"/>
                <w:b/>
                <w:bCs/>
                <w:sz w:val="18"/>
                <w:szCs w:val="18"/>
              </w:rPr>
              <w:t>Grand Total</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F7AA4"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402,423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0BE5E"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5,603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3FF5A"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408,026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80C6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98.6%</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12DEC" w14:textId="77777777" w:rsidR="00A263A6" w:rsidRPr="005A1511" w:rsidRDefault="00A263A6" w:rsidP="00A263A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1.4%</w:t>
            </w:r>
          </w:p>
        </w:tc>
      </w:tr>
    </w:tbl>
    <w:p w14:paraId="7D432802" w14:textId="77777777" w:rsidR="00027392" w:rsidRPr="005A1511" w:rsidRDefault="00027392" w:rsidP="002F7E95">
      <w:pPr>
        <w:rPr>
          <w:rFonts w:ascii="Arial" w:hAnsi="Arial" w:cs="Arial"/>
        </w:rPr>
      </w:pPr>
    </w:p>
    <w:p w14:paraId="78434AF9" w14:textId="77777777" w:rsidR="00F744F3" w:rsidRPr="005A1511" w:rsidRDefault="00F744F3">
      <w:pPr>
        <w:rPr>
          <w:rFonts w:ascii="Arial" w:eastAsia="Arial" w:hAnsi="Arial" w:cs="Arial"/>
          <w:b/>
          <w:sz w:val="24"/>
          <w:szCs w:val="24"/>
        </w:rPr>
      </w:pPr>
      <w:r w:rsidRPr="005A1511">
        <w:rPr>
          <w:rFonts w:ascii="Arial" w:hAnsi="Arial" w:cs="Arial"/>
        </w:rPr>
        <w:br w:type="page"/>
      </w:r>
    </w:p>
    <w:p w14:paraId="6886F10B" w14:textId="69BC4F83" w:rsidR="00B45106" w:rsidRPr="005A1511" w:rsidRDefault="00B45106" w:rsidP="00B45106">
      <w:pPr>
        <w:pStyle w:val="Heading1"/>
      </w:pPr>
      <w:bookmarkStart w:id="47" w:name="_Appendix_2:_Limitations"/>
      <w:bookmarkStart w:id="48" w:name="_Toc189144446"/>
      <w:bookmarkEnd w:id="47"/>
      <w:r w:rsidRPr="005A1511">
        <w:lastRenderedPageBreak/>
        <w:t xml:space="preserve">Appendix 2: </w:t>
      </w:r>
      <w:r w:rsidR="00F241FE" w:rsidRPr="005A1511">
        <w:t>Limitations and known issues</w:t>
      </w:r>
      <w:bookmarkEnd w:id="48"/>
    </w:p>
    <w:p w14:paraId="002E798C" w14:textId="77777777" w:rsidR="00CC75CA" w:rsidRPr="005A1511" w:rsidRDefault="00CC75CA" w:rsidP="00CC75CA">
      <w:pPr>
        <w:rPr>
          <w:rFonts w:ascii="Arial" w:hAnsi="Arial" w:cs="Arial"/>
          <w:color w:val="auto"/>
        </w:rPr>
      </w:pPr>
      <w:r w:rsidRPr="005A1511">
        <w:rPr>
          <w:rFonts w:ascii="Arial" w:hAnsi="Arial" w:cs="Arial"/>
          <w:color w:val="auto"/>
        </w:rPr>
        <w:t>Users of the dashboard should be aware of the following limitations and issues.</w:t>
      </w:r>
    </w:p>
    <w:p w14:paraId="4178F39C" w14:textId="3BBF659B" w:rsidR="00F241FE" w:rsidRPr="005A1511" w:rsidRDefault="00F96385" w:rsidP="00F241FE">
      <w:pPr>
        <w:pStyle w:val="Heading2"/>
        <w:rPr>
          <w:sz w:val="22"/>
          <w:szCs w:val="22"/>
        </w:rPr>
      </w:pPr>
      <w:bookmarkStart w:id="49" w:name="_Naming_convention_of"/>
      <w:bookmarkStart w:id="50" w:name="_Toc189144447"/>
      <w:bookmarkEnd w:id="49"/>
      <w:r w:rsidRPr="005A1511">
        <w:rPr>
          <w:sz w:val="22"/>
          <w:szCs w:val="22"/>
        </w:rPr>
        <w:t>Naming convention</w:t>
      </w:r>
      <w:r w:rsidR="00F241FE" w:rsidRPr="005A1511">
        <w:rPr>
          <w:sz w:val="22"/>
          <w:szCs w:val="22"/>
        </w:rPr>
        <w:t xml:space="preserve"> of consultation outcomes</w:t>
      </w:r>
      <w:bookmarkEnd w:id="50"/>
    </w:p>
    <w:p w14:paraId="29526228" w14:textId="77777777" w:rsidR="00401ADB" w:rsidRPr="005A1511" w:rsidRDefault="00F241FE" w:rsidP="00F241FE">
      <w:pPr>
        <w:rPr>
          <w:rFonts w:ascii="Arial" w:hAnsi="Arial" w:cs="Arial"/>
          <w:color w:val="auto"/>
        </w:rPr>
      </w:pPr>
      <w:r w:rsidRPr="005A1511">
        <w:rPr>
          <w:rFonts w:ascii="Arial" w:hAnsi="Arial" w:cs="Arial"/>
          <w:color w:val="auto"/>
        </w:rPr>
        <w:t xml:space="preserve">In the Pathway by Consultation comparator, one of the </w:t>
      </w:r>
      <w:r w:rsidR="00BA1FE4" w:rsidRPr="005A1511">
        <w:rPr>
          <w:rFonts w:ascii="Arial" w:hAnsi="Arial" w:cs="Arial"/>
          <w:color w:val="auto"/>
        </w:rPr>
        <w:t>consultation outcome categories</w:t>
      </w:r>
      <w:r w:rsidRPr="005A1511">
        <w:rPr>
          <w:rFonts w:ascii="Arial" w:hAnsi="Arial" w:cs="Arial"/>
          <w:color w:val="auto"/>
        </w:rPr>
        <w:t xml:space="preserve"> is labelled as ‘Medicines supply / non-supply’.  This naming convention has been implemented as part of the NHS England service specification and is reported </w:t>
      </w:r>
      <w:r w:rsidR="00401ADB" w:rsidRPr="005A1511">
        <w:rPr>
          <w:rFonts w:ascii="Arial" w:hAnsi="Arial" w:cs="Arial"/>
          <w:color w:val="auto"/>
        </w:rPr>
        <w:t>as captured</w:t>
      </w:r>
      <w:r w:rsidRPr="005A1511">
        <w:rPr>
          <w:rFonts w:ascii="Arial" w:hAnsi="Arial" w:cs="Arial"/>
          <w:color w:val="auto"/>
        </w:rPr>
        <w:t xml:space="preserve"> in the NHSBSA data.  </w:t>
      </w:r>
    </w:p>
    <w:p w14:paraId="5826882E" w14:textId="45C17280" w:rsidR="00F241FE" w:rsidRPr="005A1511" w:rsidRDefault="00F241FE" w:rsidP="00F241FE">
      <w:pPr>
        <w:rPr>
          <w:rFonts w:ascii="Arial" w:hAnsi="Arial" w:cs="Arial"/>
          <w:color w:val="auto"/>
        </w:rPr>
      </w:pPr>
      <w:r w:rsidRPr="005A1511">
        <w:rPr>
          <w:rFonts w:ascii="Arial" w:hAnsi="Arial" w:cs="Arial"/>
          <w:color w:val="auto"/>
        </w:rPr>
        <w:t>The NHS England Pharmacy First service specification describes the outcome as follows:</w:t>
      </w:r>
    </w:p>
    <w:p w14:paraId="594324C0" w14:textId="77777777" w:rsidR="00F241FE" w:rsidRPr="005A1511" w:rsidRDefault="00F241FE" w:rsidP="00F241FE">
      <w:pPr>
        <w:rPr>
          <w:rFonts w:ascii="Arial" w:hAnsi="Arial" w:cs="Arial"/>
          <w:color w:val="auto"/>
        </w:rPr>
      </w:pPr>
      <w:r w:rsidRPr="005A1511">
        <w:rPr>
          <w:rFonts w:ascii="Arial" w:hAnsi="Arial" w:cs="Arial"/>
          <w:noProof/>
        </w:rPr>
        <w:drawing>
          <wp:inline distT="0" distB="0" distL="0" distR="0" wp14:anchorId="2C9CFD35" wp14:editId="1DAA9F91">
            <wp:extent cx="5353050" cy="2828925"/>
            <wp:effectExtent l="0" t="0" r="0" b="9525"/>
            <wp:docPr id="945390586" name="Picture 1" descr="A close-up of a medical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76661" name="Picture 1" descr="A close-up of a medical form&#10;&#10;Description automatically generated"/>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353050" cy="2828925"/>
                    </a:xfrm>
                    <a:prstGeom prst="rect">
                      <a:avLst/>
                    </a:prstGeom>
                    <a:noFill/>
                    <a:ln>
                      <a:noFill/>
                    </a:ln>
                  </pic:spPr>
                </pic:pic>
              </a:graphicData>
            </a:graphic>
          </wp:inline>
        </w:drawing>
      </w:r>
    </w:p>
    <w:p w14:paraId="7FE5C3FF" w14:textId="5E1457EB" w:rsidR="00F241FE" w:rsidRPr="005A1511" w:rsidRDefault="00F241FE" w:rsidP="00F241FE">
      <w:pPr>
        <w:rPr>
          <w:rFonts w:ascii="Arial" w:hAnsi="Arial" w:cs="Arial"/>
          <w:color w:val="auto"/>
        </w:rPr>
      </w:pPr>
      <w:r w:rsidRPr="005A1511">
        <w:rPr>
          <w:rFonts w:ascii="Arial" w:hAnsi="Arial" w:cs="Arial"/>
          <w:color w:val="auto"/>
        </w:rPr>
        <w:t xml:space="preserve">At the time of writing (latest data being October 2024), 0.07% of </w:t>
      </w:r>
      <w:r w:rsidR="00331215" w:rsidRPr="005A1511">
        <w:rPr>
          <w:rFonts w:ascii="Arial" w:hAnsi="Arial" w:cs="Arial"/>
          <w:color w:val="auto"/>
        </w:rPr>
        <w:t>consultation</w:t>
      </w:r>
      <w:r w:rsidRPr="005A1511">
        <w:rPr>
          <w:rFonts w:ascii="Arial" w:hAnsi="Arial" w:cs="Arial"/>
          <w:color w:val="auto"/>
        </w:rPr>
        <w:t xml:space="preserve">s with an outcome of ‘Medicines supply / non-supply’ have no medicine associated with them (803 </w:t>
      </w:r>
      <w:r w:rsidR="00331215" w:rsidRPr="005A1511">
        <w:rPr>
          <w:rFonts w:ascii="Arial" w:hAnsi="Arial" w:cs="Arial"/>
          <w:color w:val="auto"/>
        </w:rPr>
        <w:t>consultation</w:t>
      </w:r>
      <w:r w:rsidRPr="005A1511">
        <w:rPr>
          <w:rFonts w:ascii="Arial" w:hAnsi="Arial" w:cs="Arial"/>
          <w:color w:val="auto"/>
        </w:rPr>
        <w:t xml:space="preserve">s from a total of 1,134,603 total </w:t>
      </w:r>
      <w:r w:rsidR="00331215" w:rsidRPr="005A1511">
        <w:rPr>
          <w:rFonts w:ascii="Arial" w:hAnsi="Arial" w:cs="Arial"/>
          <w:color w:val="auto"/>
        </w:rPr>
        <w:t>consultation</w:t>
      </w:r>
      <w:r w:rsidRPr="005A1511">
        <w:rPr>
          <w:rFonts w:ascii="Arial" w:hAnsi="Arial" w:cs="Arial"/>
          <w:color w:val="auto"/>
        </w:rPr>
        <w:t>s).</w:t>
      </w:r>
    </w:p>
    <w:p w14:paraId="3DCDC39F" w14:textId="77777777" w:rsidR="00657A99" w:rsidRPr="005A1511" w:rsidRDefault="00657A99">
      <w:pPr>
        <w:rPr>
          <w:rFonts w:ascii="Arial" w:eastAsia="Arial" w:hAnsi="Arial" w:cs="Arial"/>
          <w:b/>
        </w:rPr>
      </w:pPr>
      <w:r w:rsidRPr="005A1511">
        <w:rPr>
          <w:rFonts w:ascii="Arial" w:hAnsi="Arial" w:cs="Arial"/>
        </w:rPr>
        <w:br w:type="page"/>
      </w:r>
    </w:p>
    <w:p w14:paraId="790171E6" w14:textId="258A182A" w:rsidR="00671887" w:rsidRPr="005A1511" w:rsidRDefault="00335E81" w:rsidP="00F241FE">
      <w:pPr>
        <w:pStyle w:val="Heading2"/>
        <w:rPr>
          <w:sz w:val="22"/>
          <w:szCs w:val="22"/>
        </w:rPr>
      </w:pPr>
      <w:bookmarkStart w:id="51" w:name="_Toc189144448"/>
      <w:r w:rsidRPr="005A1511">
        <w:rPr>
          <w:sz w:val="22"/>
          <w:szCs w:val="22"/>
        </w:rPr>
        <w:lastRenderedPageBreak/>
        <w:t>Incorrect assignment of gender for consultations in Sonar pharmacy sites</w:t>
      </w:r>
      <w:bookmarkEnd w:id="51"/>
    </w:p>
    <w:p w14:paraId="2EE2EDEE" w14:textId="09F78EDD" w:rsidR="00C82514" w:rsidRPr="005A1511" w:rsidRDefault="0078755C" w:rsidP="00335E81">
      <w:pPr>
        <w:rPr>
          <w:rFonts w:ascii="Arial" w:hAnsi="Arial" w:cs="Arial"/>
        </w:rPr>
      </w:pPr>
      <w:r w:rsidRPr="005A1511">
        <w:rPr>
          <w:rFonts w:ascii="Arial" w:hAnsi="Arial" w:cs="Arial"/>
        </w:rPr>
        <w:t>An issue has been identified for a</w:t>
      </w:r>
      <w:r w:rsidR="00F12133" w:rsidRPr="005A1511">
        <w:rPr>
          <w:rFonts w:ascii="Arial" w:hAnsi="Arial" w:cs="Arial"/>
        </w:rPr>
        <w:t xml:space="preserve"> number of consultation records in Sonar sites, where the </w:t>
      </w:r>
      <w:r w:rsidR="00CD3EDD" w:rsidRPr="005A1511">
        <w:rPr>
          <w:rFonts w:ascii="Arial" w:hAnsi="Arial" w:cs="Arial"/>
        </w:rPr>
        <w:t xml:space="preserve">patient </w:t>
      </w:r>
      <w:r w:rsidR="00F12133" w:rsidRPr="005A1511">
        <w:rPr>
          <w:rFonts w:ascii="Arial" w:hAnsi="Arial" w:cs="Arial"/>
        </w:rPr>
        <w:t xml:space="preserve">gender has been incorrectly recorded as male.  This issue has been corrected at source, and the data in the dashboard will be updated to reflect the correct gender </w:t>
      </w:r>
      <w:r w:rsidR="001538C0" w:rsidRPr="005A1511">
        <w:rPr>
          <w:rFonts w:ascii="Arial" w:hAnsi="Arial" w:cs="Arial"/>
        </w:rPr>
        <w:t>in the near future.</w:t>
      </w:r>
      <w:r w:rsidR="00CE12FB" w:rsidRPr="005A1511">
        <w:rPr>
          <w:rFonts w:ascii="Arial" w:hAnsi="Arial" w:cs="Arial"/>
        </w:rPr>
        <w:t xml:space="preserve">  </w:t>
      </w:r>
    </w:p>
    <w:p w14:paraId="33A01245" w14:textId="15DBBBDC" w:rsidR="00335E81" w:rsidRPr="005A1511" w:rsidRDefault="00C82514" w:rsidP="00335E81">
      <w:pPr>
        <w:rPr>
          <w:rFonts w:ascii="Arial" w:hAnsi="Arial" w:cs="Arial"/>
        </w:rPr>
      </w:pPr>
      <w:r w:rsidRPr="005A1511">
        <w:rPr>
          <w:rFonts w:ascii="Arial" w:hAnsi="Arial" w:cs="Arial"/>
        </w:rPr>
        <w:t xml:space="preserve">The following tables show the total number of consultations with </w:t>
      </w:r>
      <w:r w:rsidR="005F1C4A" w:rsidRPr="005A1511">
        <w:rPr>
          <w:rFonts w:ascii="Arial" w:hAnsi="Arial" w:cs="Arial"/>
        </w:rPr>
        <w:t>incorrect gender</w:t>
      </w:r>
      <w:r w:rsidR="00CD3EDD" w:rsidRPr="005A1511">
        <w:rPr>
          <w:rFonts w:ascii="Arial" w:hAnsi="Arial" w:cs="Arial"/>
        </w:rPr>
        <w:t xml:space="preserve"> by month</w:t>
      </w:r>
      <w:r w:rsidR="005F1C4A" w:rsidRPr="005A1511">
        <w:rPr>
          <w:rFonts w:ascii="Arial" w:hAnsi="Arial" w:cs="Arial"/>
        </w:rPr>
        <w:t>, and the number of consultations with incorrect gender broken down by clinical pathway (February – October 2024), for all Sonar consultation activity</w:t>
      </w:r>
      <w:r w:rsidR="00DA1CCD" w:rsidRPr="005A1511">
        <w:rPr>
          <w:rFonts w:ascii="Arial" w:hAnsi="Arial" w:cs="Arial"/>
        </w:rPr>
        <w:t>, at the time of writing</w:t>
      </w:r>
      <w:r w:rsidR="005F1C4A" w:rsidRPr="005A1511">
        <w:rPr>
          <w:rFonts w:ascii="Arial" w:hAnsi="Arial" w:cs="Arial"/>
        </w:rPr>
        <w:t>:</w:t>
      </w:r>
    </w:p>
    <w:tbl>
      <w:tblPr>
        <w:tblW w:w="8359" w:type="dxa"/>
        <w:tblLook w:val="04A0" w:firstRow="1" w:lastRow="0" w:firstColumn="1" w:lastColumn="0" w:noHBand="0" w:noVBand="1"/>
      </w:tblPr>
      <w:tblGrid>
        <w:gridCol w:w="960"/>
        <w:gridCol w:w="2012"/>
        <w:gridCol w:w="2552"/>
        <w:gridCol w:w="2835"/>
      </w:tblGrid>
      <w:tr w:rsidR="00C82514" w:rsidRPr="005A1511" w14:paraId="020548A9" w14:textId="77777777" w:rsidTr="00C8251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837D4"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rPr>
            </w:pPr>
            <w:r w:rsidRPr="005A1511">
              <w:rPr>
                <w:rFonts w:ascii="Arial" w:eastAsia="Times New Roman" w:hAnsi="Arial" w:cs="Arial"/>
                <w:b/>
                <w:bCs/>
              </w:rPr>
              <w:t>Month</w:t>
            </w:r>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2839A"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rPr>
            </w:pPr>
            <w:r w:rsidRPr="005A1511">
              <w:rPr>
                <w:rFonts w:ascii="Arial" w:eastAsia="Times New Roman" w:hAnsi="Arial" w:cs="Arial"/>
                <w:b/>
                <w:bCs/>
              </w:rPr>
              <w:t>Total Consultations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F7EA5"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rPr>
            </w:pPr>
            <w:r w:rsidRPr="005A1511">
              <w:rPr>
                <w:rFonts w:ascii="Arial" w:eastAsia="Times New Roman" w:hAnsi="Arial" w:cs="Arial"/>
                <w:b/>
                <w:bCs/>
              </w:rPr>
              <w:t>Total Consultations with incorrect gender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A2F4B"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rPr>
            </w:pPr>
            <w:r w:rsidRPr="005A1511">
              <w:rPr>
                <w:rFonts w:ascii="Arial" w:eastAsia="Times New Roman" w:hAnsi="Arial" w:cs="Arial"/>
                <w:b/>
                <w:bCs/>
              </w:rPr>
              <w:t>Pct Consultations with incorrect gender</w:t>
            </w:r>
          </w:p>
        </w:tc>
      </w:tr>
      <w:tr w:rsidR="00C82514" w:rsidRPr="005A1511" w14:paraId="596BB1A2" w14:textId="77777777" w:rsidTr="00C8251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12AE7"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202402</w:t>
            </w:r>
          </w:p>
        </w:tc>
        <w:tc>
          <w:tcPr>
            <w:tcW w:w="2012" w:type="dxa"/>
            <w:tcBorders>
              <w:top w:val="nil"/>
              <w:left w:val="nil"/>
              <w:bottom w:val="single" w:sz="4" w:space="0" w:color="auto"/>
              <w:right w:val="single" w:sz="4" w:space="0" w:color="auto"/>
            </w:tcBorders>
            <w:shd w:val="clear" w:color="auto" w:fill="auto"/>
            <w:noWrap/>
            <w:vAlign w:val="bottom"/>
            <w:hideMark/>
          </w:tcPr>
          <w:p w14:paraId="5097998A"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4,827</w:t>
            </w:r>
          </w:p>
        </w:tc>
        <w:tc>
          <w:tcPr>
            <w:tcW w:w="2552" w:type="dxa"/>
            <w:tcBorders>
              <w:top w:val="nil"/>
              <w:left w:val="nil"/>
              <w:bottom w:val="single" w:sz="4" w:space="0" w:color="auto"/>
              <w:right w:val="single" w:sz="4" w:space="0" w:color="auto"/>
            </w:tcBorders>
            <w:shd w:val="clear" w:color="auto" w:fill="auto"/>
            <w:noWrap/>
            <w:vAlign w:val="bottom"/>
            <w:hideMark/>
          </w:tcPr>
          <w:p w14:paraId="62EA27C2"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3,363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43B81"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69.67</w:t>
            </w:r>
          </w:p>
        </w:tc>
      </w:tr>
      <w:tr w:rsidR="00C82514" w:rsidRPr="005A1511" w14:paraId="4C66A9C2" w14:textId="77777777" w:rsidTr="00C8251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A71AA"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202403</w:t>
            </w:r>
          </w:p>
        </w:tc>
        <w:tc>
          <w:tcPr>
            <w:tcW w:w="2012" w:type="dxa"/>
            <w:tcBorders>
              <w:top w:val="nil"/>
              <w:left w:val="nil"/>
              <w:bottom w:val="single" w:sz="4" w:space="0" w:color="auto"/>
              <w:right w:val="single" w:sz="4" w:space="0" w:color="auto"/>
            </w:tcBorders>
            <w:shd w:val="clear" w:color="auto" w:fill="auto"/>
            <w:noWrap/>
            <w:vAlign w:val="bottom"/>
            <w:hideMark/>
          </w:tcPr>
          <w:p w14:paraId="41374A1E"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6,815</w:t>
            </w:r>
          </w:p>
        </w:tc>
        <w:tc>
          <w:tcPr>
            <w:tcW w:w="2552" w:type="dxa"/>
            <w:tcBorders>
              <w:top w:val="nil"/>
              <w:left w:val="nil"/>
              <w:bottom w:val="single" w:sz="4" w:space="0" w:color="auto"/>
              <w:right w:val="single" w:sz="4" w:space="0" w:color="auto"/>
            </w:tcBorders>
            <w:shd w:val="clear" w:color="auto" w:fill="auto"/>
            <w:noWrap/>
            <w:vAlign w:val="bottom"/>
            <w:hideMark/>
          </w:tcPr>
          <w:p w14:paraId="0123460E"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4,614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342CE"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67.70</w:t>
            </w:r>
          </w:p>
        </w:tc>
      </w:tr>
      <w:tr w:rsidR="00C82514" w:rsidRPr="005A1511" w14:paraId="30D408C2" w14:textId="77777777" w:rsidTr="00C8251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B6360"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202404</w:t>
            </w:r>
          </w:p>
        </w:tc>
        <w:tc>
          <w:tcPr>
            <w:tcW w:w="2012" w:type="dxa"/>
            <w:tcBorders>
              <w:top w:val="nil"/>
              <w:left w:val="nil"/>
              <w:bottom w:val="single" w:sz="4" w:space="0" w:color="auto"/>
              <w:right w:val="single" w:sz="4" w:space="0" w:color="auto"/>
            </w:tcBorders>
            <w:shd w:val="clear" w:color="auto" w:fill="auto"/>
            <w:noWrap/>
            <w:vAlign w:val="bottom"/>
            <w:hideMark/>
          </w:tcPr>
          <w:p w14:paraId="137022EF"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4,767</w:t>
            </w:r>
          </w:p>
        </w:tc>
        <w:tc>
          <w:tcPr>
            <w:tcW w:w="2552" w:type="dxa"/>
            <w:tcBorders>
              <w:top w:val="nil"/>
              <w:left w:val="nil"/>
              <w:bottom w:val="single" w:sz="4" w:space="0" w:color="auto"/>
              <w:right w:val="single" w:sz="4" w:space="0" w:color="auto"/>
            </w:tcBorders>
            <w:shd w:val="clear" w:color="auto" w:fill="auto"/>
            <w:noWrap/>
            <w:vAlign w:val="bottom"/>
            <w:hideMark/>
          </w:tcPr>
          <w:p w14:paraId="4FF8E21F"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3,299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79B0D"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69.20</w:t>
            </w:r>
          </w:p>
        </w:tc>
      </w:tr>
      <w:tr w:rsidR="00C82514" w:rsidRPr="005A1511" w14:paraId="25939FCD" w14:textId="77777777" w:rsidTr="00C8251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0B572"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202405</w:t>
            </w:r>
          </w:p>
        </w:tc>
        <w:tc>
          <w:tcPr>
            <w:tcW w:w="2012" w:type="dxa"/>
            <w:tcBorders>
              <w:top w:val="nil"/>
              <w:left w:val="nil"/>
              <w:bottom w:val="single" w:sz="4" w:space="0" w:color="auto"/>
              <w:right w:val="single" w:sz="4" w:space="0" w:color="auto"/>
            </w:tcBorders>
            <w:shd w:val="clear" w:color="auto" w:fill="auto"/>
            <w:noWrap/>
            <w:vAlign w:val="bottom"/>
            <w:hideMark/>
          </w:tcPr>
          <w:p w14:paraId="061DAE62"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8,368</w:t>
            </w:r>
          </w:p>
        </w:tc>
        <w:tc>
          <w:tcPr>
            <w:tcW w:w="2552" w:type="dxa"/>
            <w:tcBorders>
              <w:top w:val="nil"/>
              <w:left w:val="nil"/>
              <w:bottom w:val="single" w:sz="4" w:space="0" w:color="auto"/>
              <w:right w:val="single" w:sz="4" w:space="0" w:color="auto"/>
            </w:tcBorders>
            <w:shd w:val="clear" w:color="auto" w:fill="auto"/>
            <w:noWrap/>
            <w:vAlign w:val="bottom"/>
            <w:hideMark/>
          </w:tcPr>
          <w:p w14:paraId="3BB7A285"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941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295A5"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11.25</w:t>
            </w:r>
          </w:p>
        </w:tc>
      </w:tr>
      <w:tr w:rsidR="00C82514" w:rsidRPr="005A1511" w14:paraId="17F4045C" w14:textId="77777777" w:rsidTr="00C8251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6528A"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202406</w:t>
            </w:r>
          </w:p>
        </w:tc>
        <w:tc>
          <w:tcPr>
            <w:tcW w:w="2012" w:type="dxa"/>
            <w:tcBorders>
              <w:top w:val="nil"/>
              <w:left w:val="nil"/>
              <w:bottom w:val="single" w:sz="4" w:space="0" w:color="auto"/>
              <w:right w:val="single" w:sz="4" w:space="0" w:color="auto"/>
            </w:tcBorders>
            <w:shd w:val="clear" w:color="auto" w:fill="auto"/>
            <w:noWrap/>
            <w:vAlign w:val="bottom"/>
            <w:hideMark/>
          </w:tcPr>
          <w:p w14:paraId="0F795486"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7,364</w:t>
            </w:r>
          </w:p>
        </w:tc>
        <w:tc>
          <w:tcPr>
            <w:tcW w:w="2552" w:type="dxa"/>
            <w:tcBorders>
              <w:top w:val="nil"/>
              <w:left w:val="nil"/>
              <w:bottom w:val="single" w:sz="4" w:space="0" w:color="auto"/>
              <w:right w:val="single" w:sz="4" w:space="0" w:color="auto"/>
            </w:tcBorders>
            <w:shd w:val="clear" w:color="auto" w:fill="auto"/>
            <w:noWrap/>
            <w:vAlign w:val="bottom"/>
            <w:hideMark/>
          </w:tcPr>
          <w:p w14:paraId="3CAC4ABB"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73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CEA9"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0.99</w:t>
            </w:r>
          </w:p>
        </w:tc>
      </w:tr>
      <w:tr w:rsidR="00C82514" w:rsidRPr="005A1511" w14:paraId="6968EF25" w14:textId="77777777" w:rsidTr="00C8251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80488"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202407</w:t>
            </w:r>
          </w:p>
        </w:tc>
        <w:tc>
          <w:tcPr>
            <w:tcW w:w="2012" w:type="dxa"/>
            <w:tcBorders>
              <w:top w:val="nil"/>
              <w:left w:val="nil"/>
              <w:bottom w:val="single" w:sz="4" w:space="0" w:color="auto"/>
              <w:right w:val="single" w:sz="4" w:space="0" w:color="auto"/>
            </w:tcBorders>
            <w:shd w:val="clear" w:color="auto" w:fill="auto"/>
            <w:noWrap/>
            <w:vAlign w:val="bottom"/>
            <w:hideMark/>
          </w:tcPr>
          <w:p w14:paraId="56B29758"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8,414</w:t>
            </w:r>
          </w:p>
        </w:tc>
        <w:tc>
          <w:tcPr>
            <w:tcW w:w="2552" w:type="dxa"/>
            <w:tcBorders>
              <w:top w:val="nil"/>
              <w:left w:val="nil"/>
              <w:bottom w:val="single" w:sz="4" w:space="0" w:color="auto"/>
              <w:right w:val="single" w:sz="4" w:space="0" w:color="auto"/>
            </w:tcBorders>
            <w:shd w:val="clear" w:color="auto" w:fill="auto"/>
            <w:noWrap/>
            <w:vAlign w:val="bottom"/>
            <w:hideMark/>
          </w:tcPr>
          <w:p w14:paraId="1C64DED1"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80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4B537"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0.95</w:t>
            </w:r>
          </w:p>
        </w:tc>
      </w:tr>
      <w:tr w:rsidR="00C82514" w:rsidRPr="005A1511" w14:paraId="58B3336D" w14:textId="77777777" w:rsidTr="00C8251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B5B6B"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202408</w:t>
            </w:r>
          </w:p>
        </w:tc>
        <w:tc>
          <w:tcPr>
            <w:tcW w:w="2012" w:type="dxa"/>
            <w:tcBorders>
              <w:top w:val="nil"/>
              <w:left w:val="nil"/>
              <w:bottom w:val="single" w:sz="4" w:space="0" w:color="auto"/>
              <w:right w:val="single" w:sz="4" w:space="0" w:color="auto"/>
            </w:tcBorders>
            <w:shd w:val="clear" w:color="auto" w:fill="auto"/>
            <w:noWrap/>
            <w:vAlign w:val="bottom"/>
            <w:hideMark/>
          </w:tcPr>
          <w:p w14:paraId="3DDF172D"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8,262</w:t>
            </w:r>
          </w:p>
        </w:tc>
        <w:tc>
          <w:tcPr>
            <w:tcW w:w="2552" w:type="dxa"/>
            <w:tcBorders>
              <w:top w:val="nil"/>
              <w:left w:val="nil"/>
              <w:bottom w:val="single" w:sz="4" w:space="0" w:color="auto"/>
              <w:right w:val="single" w:sz="4" w:space="0" w:color="auto"/>
            </w:tcBorders>
            <w:shd w:val="clear" w:color="auto" w:fill="auto"/>
            <w:noWrap/>
            <w:vAlign w:val="bottom"/>
            <w:hideMark/>
          </w:tcPr>
          <w:p w14:paraId="3288E434"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763F9"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0.00</w:t>
            </w:r>
          </w:p>
        </w:tc>
      </w:tr>
      <w:tr w:rsidR="00C82514" w:rsidRPr="005A1511" w14:paraId="543F419D" w14:textId="77777777" w:rsidTr="00C8251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8D2FB"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202409</w:t>
            </w:r>
          </w:p>
        </w:tc>
        <w:tc>
          <w:tcPr>
            <w:tcW w:w="2012" w:type="dxa"/>
            <w:tcBorders>
              <w:top w:val="nil"/>
              <w:left w:val="nil"/>
              <w:bottom w:val="single" w:sz="4" w:space="0" w:color="auto"/>
              <w:right w:val="single" w:sz="4" w:space="0" w:color="auto"/>
            </w:tcBorders>
            <w:shd w:val="clear" w:color="auto" w:fill="auto"/>
            <w:noWrap/>
            <w:vAlign w:val="bottom"/>
            <w:hideMark/>
          </w:tcPr>
          <w:p w14:paraId="4C52E716"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8,721</w:t>
            </w:r>
          </w:p>
        </w:tc>
        <w:tc>
          <w:tcPr>
            <w:tcW w:w="2552" w:type="dxa"/>
            <w:tcBorders>
              <w:top w:val="nil"/>
              <w:left w:val="nil"/>
              <w:bottom w:val="single" w:sz="4" w:space="0" w:color="auto"/>
              <w:right w:val="single" w:sz="4" w:space="0" w:color="auto"/>
            </w:tcBorders>
            <w:shd w:val="clear" w:color="auto" w:fill="auto"/>
            <w:noWrap/>
            <w:vAlign w:val="bottom"/>
            <w:hideMark/>
          </w:tcPr>
          <w:p w14:paraId="2378133B"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88E9"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0.00</w:t>
            </w:r>
          </w:p>
        </w:tc>
      </w:tr>
      <w:tr w:rsidR="00C82514" w:rsidRPr="005A1511" w14:paraId="3970E77E" w14:textId="77777777" w:rsidTr="00C8251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4FE40"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202410</w:t>
            </w:r>
          </w:p>
        </w:tc>
        <w:tc>
          <w:tcPr>
            <w:tcW w:w="2012" w:type="dxa"/>
            <w:tcBorders>
              <w:top w:val="nil"/>
              <w:left w:val="nil"/>
              <w:bottom w:val="single" w:sz="4" w:space="0" w:color="auto"/>
              <w:right w:val="single" w:sz="4" w:space="0" w:color="auto"/>
            </w:tcBorders>
            <w:shd w:val="clear" w:color="auto" w:fill="auto"/>
            <w:noWrap/>
            <w:vAlign w:val="bottom"/>
            <w:hideMark/>
          </w:tcPr>
          <w:p w14:paraId="355AAB67"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9,517</w:t>
            </w:r>
          </w:p>
        </w:tc>
        <w:tc>
          <w:tcPr>
            <w:tcW w:w="2552" w:type="dxa"/>
            <w:tcBorders>
              <w:top w:val="nil"/>
              <w:left w:val="nil"/>
              <w:bottom w:val="single" w:sz="4" w:space="0" w:color="auto"/>
              <w:right w:val="single" w:sz="4" w:space="0" w:color="auto"/>
            </w:tcBorders>
            <w:shd w:val="clear" w:color="auto" w:fill="auto"/>
            <w:noWrap/>
            <w:vAlign w:val="bottom"/>
            <w:hideMark/>
          </w:tcPr>
          <w:p w14:paraId="726E5333"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AC1FE"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0.00</w:t>
            </w:r>
          </w:p>
        </w:tc>
      </w:tr>
      <w:tr w:rsidR="00C82514" w:rsidRPr="005A1511" w14:paraId="66624C13" w14:textId="77777777" w:rsidTr="00C8251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DABC8"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202411</w:t>
            </w:r>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3FDC8"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10,363</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BD19A"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4C2CF" w14:textId="77777777" w:rsidR="00C82514" w:rsidRPr="005A1511" w:rsidRDefault="00C82514" w:rsidP="00C8251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0.00</w:t>
            </w:r>
          </w:p>
        </w:tc>
      </w:tr>
    </w:tbl>
    <w:p w14:paraId="5BF4F925" w14:textId="37EC2191" w:rsidR="00C82514" w:rsidRPr="005A1511" w:rsidRDefault="00657A99" w:rsidP="00335E81">
      <w:pPr>
        <w:rPr>
          <w:rFonts w:ascii="Arial" w:hAnsi="Arial" w:cs="Arial"/>
          <w:i/>
          <w:iCs/>
          <w:sz w:val="20"/>
          <w:szCs w:val="20"/>
        </w:rPr>
      </w:pPr>
      <w:r w:rsidRPr="005A1511">
        <w:rPr>
          <w:rFonts w:ascii="Arial" w:hAnsi="Arial" w:cs="Arial"/>
          <w:i/>
          <w:iCs/>
          <w:sz w:val="20"/>
          <w:szCs w:val="20"/>
        </w:rPr>
        <w:t>Total consultations, all pathways, by month</w:t>
      </w:r>
    </w:p>
    <w:tbl>
      <w:tblPr>
        <w:tblW w:w="9067" w:type="dxa"/>
        <w:tblLook w:val="04A0" w:firstRow="1" w:lastRow="0" w:firstColumn="1" w:lastColumn="0" w:noHBand="0" w:noVBand="1"/>
      </w:tblPr>
      <w:tblGrid>
        <w:gridCol w:w="2122"/>
        <w:gridCol w:w="2058"/>
        <w:gridCol w:w="2619"/>
        <w:gridCol w:w="2268"/>
      </w:tblGrid>
      <w:tr w:rsidR="009036AD" w:rsidRPr="005A1511" w14:paraId="1CFEB44D" w14:textId="77777777" w:rsidTr="009036A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A4447"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rPr>
            </w:pPr>
            <w:r w:rsidRPr="005A1511">
              <w:rPr>
                <w:rFonts w:ascii="Arial" w:eastAsia="Times New Roman" w:hAnsi="Arial" w:cs="Arial"/>
                <w:b/>
                <w:bCs/>
              </w:rPr>
              <w:t>Clinical Pathway</w:t>
            </w:r>
          </w:p>
        </w:tc>
        <w:tc>
          <w:tcPr>
            <w:tcW w:w="2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A1A2E"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rPr>
            </w:pPr>
            <w:r w:rsidRPr="005A1511">
              <w:rPr>
                <w:rFonts w:ascii="Arial" w:eastAsia="Times New Roman" w:hAnsi="Arial" w:cs="Arial"/>
                <w:b/>
                <w:bCs/>
              </w:rPr>
              <w:t>Total Consultations</w:t>
            </w:r>
          </w:p>
        </w:tc>
        <w:tc>
          <w:tcPr>
            <w:tcW w:w="2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B2E02"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rPr>
            </w:pPr>
            <w:r w:rsidRPr="005A1511">
              <w:rPr>
                <w:rFonts w:ascii="Arial" w:eastAsia="Times New Roman" w:hAnsi="Arial" w:cs="Arial"/>
                <w:b/>
                <w:bCs/>
              </w:rPr>
              <w:t>Total Consultations with incorrect gender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0A74B"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rPr>
            </w:pPr>
            <w:r w:rsidRPr="005A1511">
              <w:rPr>
                <w:rFonts w:ascii="Arial" w:eastAsia="Times New Roman" w:hAnsi="Arial" w:cs="Arial"/>
                <w:b/>
                <w:bCs/>
              </w:rPr>
              <w:t>Pct Consultations with incorrect gender</w:t>
            </w:r>
          </w:p>
        </w:tc>
      </w:tr>
      <w:tr w:rsidR="009036AD" w:rsidRPr="005A1511" w14:paraId="31781E7B" w14:textId="77777777" w:rsidTr="009036A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7AF75"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Acute Otitis Media</w:t>
            </w:r>
          </w:p>
        </w:tc>
        <w:tc>
          <w:tcPr>
            <w:tcW w:w="2058" w:type="dxa"/>
            <w:tcBorders>
              <w:top w:val="nil"/>
              <w:left w:val="nil"/>
              <w:bottom w:val="single" w:sz="4" w:space="0" w:color="auto"/>
              <w:right w:val="single" w:sz="4" w:space="0" w:color="auto"/>
            </w:tcBorders>
            <w:shd w:val="clear" w:color="auto" w:fill="auto"/>
            <w:noWrap/>
            <w:vAlign w:val="bottom"/>
            <w:hideMark/>
          </w:tcPr>
          <w:p w14:paraId="28F31244"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6,700</w:t>
            </w:r>
          </w:p>
        </w:tc>
        <w:tc>
          <w:tcPr>
            <w:tcW w:w="2619" w:type="dxa"/>
            <w:tcBorders>
              <w:top w:val="nil"/>
              <w:left w:val="nil"/>
              <w:bottom w:val="single" w:sz="4" w:space="0" w:color="auto"/>
              <w:right w:val="single" w:sz="4" w:space="0" w:color="auto"/>
            </w:tcBorders>
            <w:shd w:val="clear" w:color="auto" w:fill="auto"/>
            <w:noWrap/>
            <w:vAlign w:val="bottom"/>
            <w:hideMark/>
          </w:tcPr>
          <w:p w14:paraId="101090CD"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1,022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FB0A2"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15.25</w:t>
            </w:r>
          </w:p>
        </w:tc>
      </w:tr>
      <w:tr w:rsidR="009036AD" w:rsidRPr="005A1511" w14:paraId="28937BA8" w14:textId="77777777" w:rsidTr="009036A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6102D"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Acute Sore Throat</w:t>
            </w:r>
          </w:p>
        </w:tc>
        <w:tc>
          <w:tcPr>
            <w:tcW w:w="2058" w:type="dxa"/>
            <w:tcBorders>
              <w:top w:val="nil"/>
              <w:left w:val="nil"/>
              <w:bottom w:val="single" w:sz="4" w:space="0" w:color="auto"/>
              <w:right w:val="single" w:sz="4" w:space="0" w:color="auto"/>
            </w:tcBorders>
            <w:shd w:val="clear" w:color="auto" w:fill="auto"/>
            <w:noWrap/>
            <w:vAlign w:val="bottom"/>
            <w:hideMark/>
          </w:tcPr>
          <w:p w14:paraId="7D1770BA"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32,328</w:t>
            </w:r>
          </w:p>
        </w:tc>
        <w:tc>
          <w:tcPr>
            <w:tcW w:w="2619" w:type="dxa"/>
            <w:tcBorders>
              <w:top w:val="nil"/>
              <w:left w:val="nil"/>
              <w:bottom w:val="single" w:sz="4" w:space="0" w:color="auto"/>
              <w:right w:val="single" w:sz="4" w:space="0" w:color="auto"/>
            </w:tcBorders>
            <w:shd w:val="clear" w:color="auto" w:fill="auto"/>
            <w:noWrap/>
            <w:vAlign w:val="bottom"/>
            <w:hideMark/>
          </w:tcPr>
          <w:p w14:paraId="074C7C5F"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4,605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BF219"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14.24</w:t>
            </w:r>
          </w:p>
        </w:tc>
      </w:tr>
      <w:tr w:rsidR="009036AD" w:rsidRPr="005A1511" w14:paraId="3BBA1F91" w14:textId="77777777" w:rsidTr="009036A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B95F4"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Impetigo</w:t>
            </w:r>
          </w:p>
        </w:tc>
        <w:tc>
          <w:tcPr>
            <w:tcW w:w="2058" w:type="dxa"/>
            <w:tcBorders>
              <w:top w:val="nil"/>
              <w:left w:val="nil"/>
              <w:bottom w:val="single" w:sz="4" w:space="0" w:color="auto"/>
              <w:right w:val="single" w:sz="4" w:space="0" w:color="auto"/>
            </w:tcBorders>
            <w:shd w:val="clear" w:color="auto" w:fill="auto"/>
            <w:noWrap/>
            <w:vAlign w:val="bottom"/>
            <w:hideMark/>
          </w:tcPr>
          <w:p w14:paraId="1AB474C7"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2,192</w:t>
            </w:r>
          </w:p>
        </w:tc>
        <w:tc>
          <w:tcPr>
            <w:tcW w:w="2619" w:type="dxa"/>
            <w:tcBorders>
              <w:top w:val="nil"/>
              <w:left w:val="nil"/>
              <w:bottom w:val="single" w:sz="4" w:space="0" w:color="auto"/>
              <w:right w:val="single" w:sz="4" w:space="0" w:color="auto"/>
            </w:tcBorders>
            <w:shd w:val="clear" w:color="auto" w:fill="auto"/>
            <w:noWrap/>
            <w:vAlign w:val="bottom"/>
            <w:hideMark/>
          </w:tcPr>
          <w:p w14:paraId="17F0C68B"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343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D8A95"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15.65</w:t>
            </w:r>
          </w:p>
        </w:tc>
      </w:tr>
      <w:tr w:rsidR="009036AD" w:rsidRPr="005A1511" w14:paraId="0A5BB1EF" w14:textId="77777777" w:rsidTr="009036A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9C24F"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Infected Insect Bites</w:t>
            </w:r>
          </w:p>
        </w:tc>
        <w:tc>
          <w:tcPr>
            <w:tcW w:w="2058" w:type="dxa"/>
            <w:tcBorders>
              <w:top w:val="nil"/>
              <w:left w:val="nil"/>
              <w:bottom w:val="single" w:sz="4" w:space="0" w:color="auto"/>
              <w:right w:val="single" w:sz="4" w:space="0" w:color="auto"/>
            </w:tcBorders>
            <w:shd w:val="clear" w:color="auto" w:fill="auto"/>
            <w:noWrap/>
            <w:vAlign w:val="bottom"/>
            <w:hideMark/>
          </w:tcPr>
          <w:p w14:paraId="0480393A"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7,534</w:t>
            </w:r>
          </w:p>
        </w:tc>
        <w:tc>
          <w:tcPr>
            <w:tcW w:w="2619" w:type="dxa"/>
            <w:tcBorders>
              <w:top w:val="nil"/>
              <w:left w:val="nil"/>
              <w:bottom w:val="single" w:sz="4" w:space="0" w:color="auto"/>
              <w:right w:val="single" w:sz="4" w:space="0" w:color="auto"/>
            </w:tcBorders>
            <w:shd w:val="clear" w:color="auto" w:fill="auto"/>
            <w:noWrap/>
            <w:vAlign w:val="bottom"/>
            <w:hideMark/>
          </w:tcPr>
          <w:p w14:paraId="46202888"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365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FC7AA"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4.84</w:t>
            </w:r>
          </w:p>
        </w:tc>
      </w:tr>
      <w:tr w:rsidR="009036AD" w:rsidRPr="005A1511" w14:paraId="46F9FC67" w14:textId="77777777" w:rsidTr="009036A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C3E2"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Shingles</w:t>
            </w:r>
          </w:p>
        </w:tc>
        <w:tc>
          <w:tcPr>
            <w:tcW w:w="2058" w:type="dxa"/>
            <w:tcBorders>
              <w:top w:val="nil"/>
              <w:left w:val="nil"/>
              <w:bottom w:val="single" w:sz="4" w:space="0" w:color="auto"/>
              <w:right w:val="single" w:sz="4" w:space="0" w:color="auto"/>
            </w:tcBorders>
            <w:shd w:val="clear" w:color="auto" w:fill="auto"/>
            <w:noWrap/>
            <w:vAlign w:val="bottom"/>
            <w:hideMark/>
          </w:tcPr>
          <w:p w14:paraId="0FF8BFCC"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1,554</w:t>
            </w:r>
          </w:p>
        </w:tc>
        <w:tc>
          <w:tcPr>
            <w:tcW w:w="2619" w:type="dxa"/>
            <w:tcBorders>
              <w:top w:val="nil"/>
              <w:left w:val="nil"/>
              <w:bottom w:val="single" w:sz="4" w:space="0" w:color="auto"/>
              <w:right w:val="single" w:sz="4" w:space="0" w:color="auto"/>
            </w:tcBorders>
            <w:shd w:val="clear" w:color="auto" w:fill="auto"/>
            <w:noWrap/>
            <w:vAlign w:val="bottom"/>
            <w:hideMark/>
          </w:tcPr>
          <w:p w14:paraId="54E2B0FA"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256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C45AF"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16.47</w:t>
            </w:r>
          </w:p>
        </w:tc>
      </w:tr>
      <w:tr w:rsidR="009036AD" w:rsidRPr="005A1511" w14:paraId="58B33CDC" w14:textId="77777777" w:rsidTr="009036A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4CD3C"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Sinusitis</w:t>
            </w:r>
          </w:p>
        </w:tc>
        <w:tc>
          <w:tcPr>
            <w:tcW w:w="2058" w:type="dxa"/>
            <w:tcBorders>
              <w:top w:val="nil"/>
              <w:left w:val="nil"/>
              <w:bottom w:val="single" w:sz="4" w:space="0" w:color="auto"/>
              <w:right w:val="single" w:sz="4" w:space="0" w:color="auto"/>
            </w:tcBorders>
            <w:shd w:val="clear" w:color="auto" w:fill="auto"/>
            <w:noWrap/>
            <w:vAlign w:val="bottom"/>
            <w:hideMark/>
          </w:tcPr>
          <w:p w14:paraId="7352847C"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8,209</w:t>
            </w:r>
          </w:p>
        </w:tc>
        <w:tc>
          <w:tcPr>
            <w:tcW w:w="2619" w:type="dxa"/>
            <w:tcBorders>
              <w:top w:val="nil"/>
              <w:left w:val="nil"/>
              <w:bottom w:val="single" w:sz="4" w:space="0" w:color="auto"/>
              <w:right w:val="single" w:sz="4" w:space="0" w:color="auto"/>
            </w:tcBorders>
            <w:shd w:val="clear" w:color="auto" w:fill="auto"/>
            <w:noWrap/>
            <w:vAlign w:val="bottom"/>
            <w:hideMark/>
          </w:tcPr>
          <w:p w14:paraId="3FB17578"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1,373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45024"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16.73</w:t>
            </w:r>
          </w:p>
        </w:tc>
      </w:tr>
      <w:tr w:rsidR="009036AD" w:rsidRPr="005A1511" w14:paraId="4FC59C1C" w14:textId="77777777" w:rsidTr="009036A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29E35"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r w:rsidRPr="005A1511">
              <w:rPr>
                <w:rFonts w:ascii="Arial" w:eastAsia="Times New Roman" w:hAnsi="Arial" w:cs="Arial"/>
              </w:rPr>
              <w:t>Uncomplicated UTI</w:t>
            </w:r>
          </w:p>
        </w:tc>
        <w:tc>
          <w:tcPr>
            <w:tcW w:w="2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C52BD"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18,901</w:t>
            </w:r>
          </w:p>
        </w:tc>
        <w:tc>
          <w:tcPr>
            <w:tcW w:w="2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EDD53"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4,406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D89A0" w14:textId="77777777" w:rsidR="009036AD" w:rsidRPr="005A1511" w:rsidRDefault="009036AD" w:rsidP="009036A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rPr>
            </w:pPr>
            <w:r w:rsidRPr="005A1511">
              <w:rPr>
                <w:rFonts w:ascii="Arial" w:eastAsia="Times New Roman" w:hAnsi="Arial" w:cs="Arial"/>
              </w:rPr>
              <w:t>23.31</w:t>
            </w:r>
          </w:p>
        </w:tc>
      </w:tr>
    </w:tbl>
    <w:p w14:paraId="5D887392" w14:textId="79C71A48" w:rsidR="007D7E4A" w:rsidRPr="005A1511" w:rsidRDefault="009036AD" w:rsidP="007D7E4A">
      <w:pPr>
        <w:rPr>
          <w:rFonts w:ascii="Arial" w:hAnsi="Arial" w:cs="Arial"/>
          <w:i/>
          <w:iCs/>
          <w:sz w:val="20"/>
          <w:szCs w:val="20"/>
        </w:rPr>
      </w:pPr>
      <w:r w:rsidRPr="005A1511">
        <w:rPr>
          <w:rFonts w:ascii="Arial" w:hAnsi="Arial" w:cs="Arial"/>
          <w:i/>
          <w:iCs/>
          <w:sz w:val="20"/>
          <w:szCs w:val="20"/>
        </w:rPr>
        <w:t xml:space="preserve">Total consultations by </w:t>
      </w:r>
      <w:r w:rsidR="007D7E4A" w:rsidRPr="005A1511">
        <w:rPr>
          <w:rFonts w:ascii="Arial" w:hAnsi="Arial" w:cs="Arial"/>
          <w:i/>
          <w:iCs/>
          <w:sz w:val="20"/>
          <w:szCs w:val="20"/>
        </w:rPr>
        <w:t>clinical pathway, Feb-Oct 2024</w:t>
      </w:r>
      <w:bookmarkStart w:id="52" w:name="_Incorrect_categorisation_of"/>
      <w:bookmarkEnd w:id="52"/>
    </w:p>
    <w:p w14:paraId="7BA52E26" w14:textId="3AAAEC0B" w:rsidR="007D7E4A" w:rsidRPr="005A1511" w:rsidRDefault="007D7E4A" w:rsidP="007D7E4A">
      <w:pPr>
        <w:rPr>
          <w:rFonts w:ascii="Arial" w:hAnsi="Arial" w:cs="Arial"/>
        </w:rPr>
      </w:pPr>
      <w:r w:rsidRPr="005A1511">
        <w:rPr>
          <w:rFonts w:ascii="Arial" w:hAnsi="Arial" w:cs="Arial"/>
        </w:rPr>
        <w:t xml:space="preserve">As Sonar sites are predominantly found in London ICBs, users should be </w:t>
      </w:r>
      <w:r w:rsidR="006E703A" w:rsidRPr="005A1511">
        <w:rPr>
          <w:rFonts w:ascii="Arial" w:hAnsi="Arial" w:cs="Arial"/>
        </w:rPr>
        <w:t xml:space="preserve">cautious when using the Pathway by Demographic comparator for ICBs in the London region.  </w:t>
      </w:r>
    </w:p>
    <w:p w14:paraId="6B7DC99E" w14:textId="1E258772" w:rsidR="006E703A" w:rsidRPr="005A1511" w:rsidRDefault="006E703A" w:rsidP="007D7E4A">
      <w:pPr>
        <w:rPr>
          <w:rFonts w:ascii="Arial" w:hAnsi="Arial" w:cs="Arial"/>
        </w:rPr>
      </w:pPr>
      <w:r w:rsidRPr="005A1511">
        <w:rPr>
          <w:rFonts w:ascii="Arial" w:hAnsi="Arial" w:cs="Arial"/>
        </w:rPr>
        <w:t>When the data has been corrected, a notice will be posted on the ePACT2 landing page and this document will be updated to remove this section.</w:t>
      </w:r>
    </w:p>
    <w:p w14:paraId="284B75D1" w14:textId="77777777" w:rsidR="00FF3C96" w:rsidRPr="005A1511" w:rsidRDefault="00FF3C96">
      <w:pPr>
        <w:rPr>
          <w:rFonts w:ascii="Arial" w:eastAsia="Arial" w:hAnsi="Arial" w:cs="Arial"/>
          <w:b/>
        </w:rPr>
      </w:pPr>
      <w:r w:rsidRPr="005A1511">
        <w:rPr>
          <w:rFonts w:ascii="Arial" w:hAnsi="Arial" w:cs="Arial"/>
        </w:rPr>
        <w:br w:type="page"/>
      </w:r>
    </w:p>
    <w:p w14:paraId="7B207873" w14:textId="0B67CDB6" w:rsidR="00F241FE" w:rsidRPr="005A1511" w:rsidRDefault="00CE12FB" w:rsidP="00F241FE">
      <w:pPr>
        <w:pStyle w:val="Heading2"/>
        <w:rPr>
          <w:sz w:val="22"/>
          <w:szCs w:val="22"/>
        </w:rPr>
      </w:pPr>
      <w:bookmarkStart w:id="53" w:name="_Incorrect_categorisation_of_1"/>
      <w:bookmarkStart w:id="54" w:name="_Toc189144449"/>
      <w:bookmarkEnd w:id="53"/>
      <w:r w:rsidRPr="005A1511">
        <w:rPr>
          <w:sz w:val="22"/>
          <w:szCs w:val="22"/>
        </w:rPr>
        <w:lastRenderedPageBreak/>
        <w:t xml:space="preserve">Incorrect </w:t>
      </w:r>
      <w:r w:rsidR="00F241FE" w:rsidRPr="005A1511">
        <w:rPr>
          <w:sz w:val="22"/>
          <w:szCs w:val="22"/>
        </w:rPr>
        <w:t>categorisation of consultation outcomes for Sonar pharmacy sites</w:t>
      </w:r>
      <w:bookmarkEnd w:id="54"/>
    </w:p>
    <w:p w14:paraId="27B9BCE7" w14:textId="33003C3B" w:rsidR="00F241FE" w:rsidRPr="005A1511" w:rsidRDefault="00F241FE" w:rsidP="00F241FE">
      <w:pPr>
        <w:rPr>
          <w:rFonts w:ascii="Arial" w:hAnsi="Arial" w:cs="Arial"/>
          <w:color w:val="auto"/>
        </w:rPr>
      </w:pPr>
      <w:r w:rsidRPr="005A1511">
        <w:rPr>
          <w:rFonts w:ascii="Arial" w:hAnsi="Arial" w:cs="Arial"/>
          <w:color w:val="auto"/>
        </w:rPr>
        <w:t xml:space="preserve">At the time of writing there is a known issue </w:t>
      </w:r>
      <w:r w:rsidR="0071027E" w:rsidRPr="005A1511">
        <w:rPr>
          <w:rFonts w:ascii="Arial" w:hAnsi="Arial" w:cs="Arial"/>
          <w:color w:val="auto"/>
        </w:rPr>
        <w:t>in</w:t>
      </w:r>
      <w:r w:rsidRPr="005A1511">
        <w:rPr>
          <w:rFonts w:ascii="Arial" w:hAnsi="Arial" w:cs="Arial"/>
          <w:color w:val="auto"/>
        </w:rPr>
        <w:t xml:space="preserve"> pharmacy sites using the Sonar IT system</w:t>
      </w:r>
      <w:r w:rsidR="00703D70" w:rsidRPr="005A1511">
        <w:rPr>
          <w:rFonts w:ascii="Arial" w:hAnsi="Arial" w:cs="Arial"/>
          <w:color w:val="auto"/>
        </w:rPr>
        <w:t xml:space="preserve">, whereby </w:t>
      </w:r>
      <w:r w:rsidRPr="005A1511">
        <w:rPr>
          <w:rFonts w:ascii="Arial" w:hAnsi="Arial" w:cs="Arial"/>
          <w:color w:val="auto"/>
        </w:rPr>
        <w:t>consultation outcomes</w:t>
      </w:r>
      <w:r w:rsidR="00703D70" w:rsidRPr="005A1511">
        <w:rPr>
          <w:rFonts w:ascii="Arial" w:hAnsi="Arial" w:cs="Arial"/>
          <w:color w:val="auto"/>
        </w:rPr>
        <w:t xml:space="preserve"> are being mis-categorised</w:t>
      </w:r>
      <w:r w:rsidR="00AE4070" w:rsidRPr="005A1511">
        <w:rPr>
          <w:rFonts w:ascii="Arial" w:hAnsi="Arial" w:cs="Arial"/>
          <w:color w:val="auto"/>
        </w:rPr>
        <w:t xml:space="preserve">.  This </w:t>
      </w:r>
      <w:r w:rsidRPr="005A1511">
        <w:rPr>
          <w:rFonts w:ascii="Arial" w:hAnsi="Arial" w:cs="Arial"/>
          <w:color w:val="auto"/>
        </w:rPr>
        <w:t xml:space="preserve">has resulted in a large number of </w:t>
      </w:r>
      <w:r w:rsidR="00331215" w:rsidRPr="005A1511">
        <w:rPr>
          <w:rFonts w:ascii="Arial" w:hAnsi="Arial" w:cs="Arial"/>
          <w:color w:val="auto"/>
        </w:rPr>
        <w:t>consultation</w:t>
      </w:r>
      <w:r w:rsidRPr="005A1511">
        <w:rPr>
          <w:rFonts w:ascii="Arial" w:hAnsi="Arial" w:cs="Arial"/>
          <w:color w:val="auto"/>
        </w:rPr>
        <w:t xml:space="preserve">s being </w:t>
      </w:r>
      <w:r w:rsidR="005D6222" w:rsidRPr="005A1511">
        <w:rPr>
          <w:rFonts w:ascii="Arial" w:hAnsi="Arial" w:cs="Arial"/>
          <w:color w:val="auto"/>
        </w:rPr>
        <w:t xml:space="preserve">incorrectly </w:t>
      </w:r>
      <w:r w:rsidRPr="005A1511">
        <w:rPr>
          <w:rFonts w:ascii="Arial" w:hAnsi="Arial" w:cs="Arial"/>
          <w:color w:val="auto"/>
        </w:rPr>
        <w:t xml:space="preserve">recorded against the outcome of ‘Referral into an appropriate locally commissioned NHS service, such as a patient group direction’.  </w:t>
      </w:r>
    </w:p>
    <w:p w14:paraId="1B90BDC4" w14:textId="20626E69" w:rsidR="0060681D" w:rsidRPr="005A1511" w:rsidRDefault="00F241FE" w:rsidP="00F241FE">
      <w:pPr>
        <w:rPr>
          <w:rFonts w:ascii="Arial" w:hAnsi="Arial" w:cs="Arial"/>
          <w:color w:val="auto"/>
        </w:rPr>
      </w:pPr>
      <w:r w:rsidRPr="005A1511">
        <w:rPr>
          <w:rFonts w:ascii="Arial" w:hAnsi="Arial" w:cs="Arial"/>
          <w:color w:val="auto"/>
        </w:rPr>
        <w:t xml:space="preserve">This has impacted most significantly on the ‘Medicines supply / non-supply’ outcome, with the distribution of </w:t>
      </w:r>
      <w:r w:rsidR="00331215" w:rsidRPr="005A1511">
        <w:rPr>
          <w:rFonts w:ascii="Arial" w:hAnsi="Arial" w:cs="Arial"/>
          <w:color w:val="auto"/>
        </w:rPr>
        <w:t>consultation</w:t>
      </w:r>
      <w:r w:rsidRPr="005A1511">
        <w:rPr>
          <w:rFonts w:ascii="Arial" w:hAnsi="Arial" w:cs="Arial"/>
          <w:color w:val="auto"/>
        </w:rPr>
        <w:t>s between consultation outcomes being as follows:</w:t>
      </w:r>
    </w:p>
    <w:tbl>
      <w:tblPr>
        <w:tblW w:w="9351" w:type="dxa"/>
        <w:tblLook w:val="04A0" w:firstRow="1" w:lastRow="0" w:firstColumn="1" w:lastColumn="0" w:noHBand="0" w:noVBand="1"/>
      </w:tblPr>
      <w:tblGrid>
        <w:gridCol w:w="3397"/>
        <w:gridCol w:w="1560"/>
        <w:gridCol w:w="2126"/>
        <w:gridCol w:w="2268"/>
      </w:tblGrid>
      <w:tr w:rsidR="00F241FE" w:rsidRPr="005A1511" w14:paraId="5151B9D5" w14:textId="77777777" w:rsidTr="001D5D13">
        <w:trPr>
          <w:trHeight w:val="735"/>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162F1"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sz w:val="18"/>
                <w:szCs w:val="18"/>
              </w:rPr>
            </w:pPr>
            <w:r w:rsidRPr="005A1511">
              <w:rPr>
                <w:rFonts w:ascii="Arial" w:eastAsia="Times New Roman" w:hAnsi="Arial" w:cs="Arial"/>
                <w:b/>
                <w:sz w:val="18"/>
                <w:szCs w:val="18"/>
              </w:rPr>
              <w:t>Consultation Outcome</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1FD8E2B" w14:textId="5A4E5574"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sz w:val="18"/>
                <w:szCs w:val="18"/>
              </w:rPr>
            </w:pPr>
            <w:r w:rsidRPr="005A1511">
              <w:rPr>
                <w:rFonts w:ascii="Arial" w:eastAsia="Times New Roman" w:hAnsi="Arial" w:cs="Arial"/>
                <w:b/>
                <w:bCs/>
                <w:sz w:val="18"/>
                <w:szCs w:val="18"/>
              </w:rPr>
              <w:t xml:space="preserve">Total </w:t>
            </w:r>
            <w:r w:rsidR="00331215" w:rsidRPr="005A1511">
              <w:rPr>
                <w:rFonts w:ascii="Arial" w:eastAsia="Times New Roman" w:hAnsi="Arial" w:cs="Arial"/>
                <w:b/>
                <w:bCs/>
                <w:sz w:val="18"/>
                <w:szCs w:val="18"/>
              </w:rPr>
              <w:t>Consultation</w:t>
            </w:r>
            <w:r w:rsidRPr="005A1511">
              <w:rPr>
                <w:rFonts w:ascii="Arial" w:eastAsia="Times New Roman" w:hAnsi="Arial" w:cs="Arial"/>
                <w:b/>
                <w:bCs/>
                <w:sz w:val="18"/>
                <w:szCs w:val="18"/>
              </w:rPr>
              <w:t>s</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5743E08F" w14:textId="1CA13349"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sz w:val="18"/>
                <w:szCs w:val="18"/>
              </w:rPr>
            </w:pPr>
            <w:r w:rsidRPr="005A1511">
              <w:rPr>
                <w:rFonts w:ascii="Arial" w:eastAsia="Times New Roman" w:hAnsi="Arial" w:cs="Arial"/>
                <w:b/>
                <w:sz w:val="18"/>
                <w:szCs w:val="18"/>
              </w:rPr>
              <w:t xml:space="preserve">Total number of </w:t>
            </w:r>
            <w:r w:rsidR="00331215" w:rsidRPr="005A1511">
              <w:rPr>
                <w:rFonts w:ascii="Arial" w:eastAsia="Times New Roman" w:hAnsi="Arial" w:cs="Arial"/>
                <w:b/>
                <w:bCs/>
                <w:sz w:val="18"/>
                <w:szCs w:val="18"/>
              </w:rPr>
              <w:t>consultation</w:t>
            </w:r>
            <w:r w:rsidRPr="005A1511">
              <w:rPr>
                <w:rFonts w:ascii="Arial" w:eastAsia="Times New Roman" w:hAnsi="Arial" w:cs="Arial"/>
                <w:b/>
                <w:bCs/>
                <w:sz w:val="18"/>
                <w:szCs w:val="18"/>
              </w:rPr>
              <w:t>s</w:t>
            </w:r>
            <w:r w:rsidRPr="005A1511">
              <w:rPr>
                <w:rFonts w:ascii="Arial" w:eastAsia="Times New Roman" w:hAnsi="Arial" w:cs="Arial"/>
                <w:b/>
                <w:sz w:val="18"/>
                <w:szCs w:val="18"/>
              </w:rPr>
              <w:t xml:space="preserve"> where a medicine has been supplied</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20ABF17" w14:textId="7FDFC28C"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sz w:val="18"/>
                <w:szCs w:val="18"/>
              </w:rPr>
            </w:pPr>
            <w:r w:rsidRPr="005A1511">
              <w:rPr>
                <w:rFonts w:ascii="Arial" w:eastAsia="Times New Roman" w:hAnsi="Arial" w:cs="Arial"/>
                <w:b/>
                <w:sz w:val="18"/>
                <w:szCs w:val="18"/>
              </w:rPr>
              <w:t xml:space="preserve">Percentage of </w:t>
            </w:r>
            <w:r w:rsidR="00331215" w:rsidRPr="005A1511">
              <w:rPr>
                <w:rFonts w:ascii="Arial" w:eastAsia="Times New Roman" w:hAnsi="Arial" w:cs="Arial"/>
                <w:b/>
                <w:bCs/>
                <w:sz w:val="18"/>
                <w:szCs w:val="18"/>
              </w:rPr>
              <w:t>consultation</w:t>
            </w:r>
            <w:r w:rsidRPr="005A1511">
              <w:rPr>
                <w:rFonts w:ascii="Arial" w:eastAsia="Times New Roman" w:hAnsi="Arial" w:cs="Arial"/>
                <w:b/>
                <w:bCs/>
                <w:sz w:val="18"/>
                <w:szCs w:val="18"/>
              </w:rPr>
              <w:t>s</w:t>
            </w:r>
            <w:r w:rsidRPr="005A1511">
              <w:rPr>
                <w:rFonts w:ascii="Arial" w:eastAsia="Times New Roman" w:hAnsi="Arial" w:cs="Arial"/>
                <w:b/>
                <w:sz w:val="18"/>
                <w:szCs w:val="18"/>
              </w:rPr>
              <w:t xml:space="preserve"> where a medicine has been supplied</w:t>
            </w:r>
          </w:p>
        </w:tc>
      </w:tr>
      <w:tr w:rsidR="00F241FE" w:rsidRPr="005A1511" w14:paraId="1158FB03" w14:textId="77777777" w:rsidTr="001D5D1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7531079"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Advice given only</w:t>
            </w:r>
          </w:p>
        </w:tc>
        <w:tc>
          <w:tcPr>
            <w:tcW w:w="1560" w:type="dxa"/>
            <w:tcBorders>
              <w:top w:val="nil"/>
              <w:left w:val="nil"/>
              <w:bottom w:val="single" w:sz="4" w:space="0" w:color="auto"/>
              <w:right w:val="single" w:sz="4" w:space="0" w:color="auto"/>
            </w:tcBorders>
            <w:shd w:val="clear" w:color="auto" w:fill="auto"/>
            <w:noWrap/>
            <w:vAlign w:val="bottom"/>
            <w:hideMark/>
          </w:tcPr>
          <w:p w14:paraId="58ABC19B"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20,521 </w:t>
            </w:r>
          </w:p>
        </w:tc>
        <w:tc>
          <w:tcPr>
            <w:tcW w:w="2126" w:type="dxa"/>
            <w:tcBorders>
              <w:top w:val="nil"/>
              <w:left w:val="nil"/>
              <w:bottom w:val="single" w:sz="4" w:space="0" w:color="auto"/>
              <w:right w:val="single" w:sz="4" w:space="0" w:color="auto"/>
            </w:tcBorders>
            <w:shd w:val="clear" w:color="auto" w:fill="auto"/>
            <w:noWrap/>
            <w:vAlign w:val="bottom"/>
            <w:hideMark/>
          </w:tcPr>
          <w:p w14:paraId="502F345E"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w:t>
            </w:r>
          </w:p>
        </w:tc>
        <w:tc>
          <w:tcPr>
            <w:tcW w:w="2268" w:type="dxa"/>
            <w:tcBorders>
              <w:top w:val="nil"/>
              <w:left w:val="nil"/>
              <w:bottom w:val="single" w:sz="4" w:space="0" w:color="auto"/>
              <w:right w:val="single" w:sz="4" w:space="0" w:color="auto"/>
            </w:tcBorders>
            <w:shd w:val="clear" w:color="auto" w:fill="auto"/>
            <w:noWrap/>
            <w:vAlign w:val="bottom"/>
            <w:hideMark/>
          </w:tcPr>
          <w:p w14:paraId="3DF8EAEA"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w:t>
            </w:r>
          </w:p>
        </w:tc>
      </w:tr>
      <w:tr w:rsidR="00F241FE" w:rsidRPr="005A1511" w14:paraId="429EDB2A" w14:textId="77777777" w:rsidTr="001D5D1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DA25A10"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Medicines supply / non-supply</w:t>
            </w:r>
          </w:p>
        </w:tc>
        <w:tc>
          <w:tcPr>
            <w:tcW w:w="1560" w:type="dxa"/>
            <w:tcBorders>
              <w:top w:val="nil"/>
              <w:left w:val="nil"/>
              <w:bottom w:val="single" w:sz="4" w:space="0" w:color="auto"/>
              <w:right w:val="single" w:sz="4" w:space="0" w:color="auto"/>
            </w:tcBorders>
            <w:shd w:val="clear" w:color="auto" w:fill="auto"/>
            <w:noWrap/>
            <w:vAlign w:val="bottom"/>
            <w:hideMark/>
          </w:tcPr>
          <w:p w14:paraId="7865E596"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84 </w:t>
            </w:r>
          </w:p>
        </w:tc>
        <w:tc>
          <w:tcPr>
            <w:tcW w:w="2126" w:type="dxa"/>
            <w:tcBorders>
              <w:top w:val="nil"/>
              <w:left w:val="nil"/>
              <w:bottom w:val="single" w:sz="4" w:space="0" w:color="auto"/>
              <w:right w:val="single" w:sz="4" w:space="0" w:color="auto"/>
            </w:tcBorders>
            <w:shd w:val="clear" w:color="auto" w:fill="auto"/>
            <w:noWrap/>
            <w:vAlign w:val="bottom"/>
            <w:hideMark/>
          </w:tcPr>
          <w:p w14:paraId="78259A28"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83</w:t>
            </w:r>
          </w:p>
        </w:tc>
        <w:tc>
          <w:tcPr>
            <w:tcW w:w="2268" w:type="dxa"/>
            <w:tcBorders>
              <w:top w:val="nil"/>
              <w:left w:val="nil"/>
              <w:bottom w:val="single" w:sz="4" w:space="0" w:color="auto"/>
              <w:right w:val="single" w:sz="4" w:space="0" w:color="auto"/>
            </w:tcBorders>
            <w:shd w:val="clear" w:color="auto" w:fill="auto"/>
            <w:noWrap/>
            <w:vAlign w:val="bottom"/>
            <w:hideMark/>
          </w:tcPr>
          <w:p w14:paraId="5597FBAC"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98.8</w:t>
            </w:r>
          </w:p>
        </w:tc>
      </w:tr>
      <w:tr w:rsidR="00F241FE" w:rsidRPr="005A1511" w14:paraId="572A2410" w14:textId="77777777" w:rsidTr="001D5D1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34AA064"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Non-urgent signposting to another service</w:t>
            </w:r>
          </w:p>
        </w:tc>
        <w:tc>
          <w:tcPr>
            <w:tcW w:w="1560" w:type="dxa"/>
            <w:tcBorders>
              <w:top w:val="nil"/>
              <w:left w:val="nil"/>
              <w:bottom w:val="single" w:sz="4" w:space="0" w:color="auto"/>
              <w:right w:val="single" w:sz="4" w:space="0" w:color="auto"/>
            </w:tcBorders>
            <w:shd w:val="clear" w:color="auto" w:fill="auto"/>
            <w:noWrap/>
            <w:vAlign w:val="bottom"/>
            <w:hideMark/>
          </w:tcPr>
          <w:p w14:paraId="40F7F6C4"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1,900 </w:t>
            </w:r>
          </w:p>
        </w:tc>
        <w:tc>
          <w:tcPr>
            <w:tcW w:w="2126" w:type="dxa"/>
            <w:tcBorders>
              <w:top w:val="nil"/>
              <w:left w:val="nil"/>
              <w:bottom w:val="single" w:sz="4" w:space="0" w:color="auto"/>
              <w:right w:val="single" w:sz="4" w:space="0" w:color="auto"/>
            </w:tcBorders>
            <w:shd w:val="clear" w:color="auto" w:fill="auto"/>
            <w:noWrap/>
            <w:vAlign w:val="bottom"/>
            <w:hideMark/>
          </w:tcPr>
          <w:p w14:paraId="03C2A043"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203</w:t>
            </w:r>
          </w:p>
        </w:tc>
        <w:tc>
          <w:tcPr>
            <w:tcW w:w="2268" w:type="dxa"/>
            <w:tcBorders>
              <w:top w:val="nil"/>
              <w:left w:val="nil"/>
              <w:bottom w:val="single" w:sz="4" w:space="0" w:color="auto"/>
              <w:right w:val="single" w:sz="4" w:space="0" w:color="auto"/>
            </w:tcBorders>
            <w:shd w:val="clear" w:color="auto" w:fill="auto"/>
            <w:noWrap/>
            <w:vAlign w:val="bottom"/>
            <w:hideMark/>
          </w:tcPr>
          <w:p w14:paraId="5C8AE2C2"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10.7</w:t>
            </w:r>
          </w:p>
        </w:tc>
      </w:tr>
      <w:tr w:rsidR="00F241FE" w:rsidRPr="005A1511" w14:paraId="0E8B0BDA" w14:textId="77777777" w:rsidTr="001D5D1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6B64FC2"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Other (please specify)</w:t>
            </w:r>
          </w:p>
        </w:tc>
        <w:tc>
          <w:tcPr>
            <w:tcW w:w="1560" w:type="dxa"/>
            <w:tcBorders>
              <w:top w:val="nil"/>
              <w:left w:val="nil"/>
              <w:bottom w:val="single" w:sz="4" w:space="0" w:color="auto"/>
              <w:right w:val="single" w:sz="4" w:space="0" w:color="auto"/>
            </w:tcBorders>
            <w:shd w:val="clear" w:color="auto" w:fill="auto"/>
            <w:noWrap/>
            <w:vAlign w:val="bottom"/>
            <w:hideMark/>
          </w:tcPr>
          <w:p w14:paraId="1B1E8611"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170 </w:t>
            </w:r>
          </w:p>
        </w:tc>
        <w:tc>
          <w:tcPr>
            <w:tcW w:w="2126" w:type="dxa"/>
            <w:tcBorders>
              <w:top w:val="nil"/>
              <w:left w:val="nil"/>
              <w:bottom w:val="single" w:sz="4" w:space="0" w:color="auto"/>
              <w:right w:val="single" w:sz="4" w:space="0" w:color="auto"/>
            </w:tcBorders>
            <w:shd w:val="clear" w:color="auto" w:fill="auto"/>
            <w:noWrap/>
            <w:vAlign w:val="bottom"/>
            <w:hideMark/>
          </w:tcPr>
          <w:p w14:paraId="7D0A03AD"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w:t>
            </w:r>
          </w:p>
        </w:tc>
        <w:tc>
          <w:tcPr>
            <w:tcW w:w="2268" w:type="dxa"/>
            <w:tcBorders>
              <w:top w:val="nil"/>
              <w:left w:val="nil"/>
              <w:bottom w:val="single" w:sz="4" w:space="0" w:color="auto"/>
              <w:right w:val="single" w:sz="4" w:space="0" w:color="auto"/>
            </w:tcBorders>
            <w:shd w:val="clear" w:color="auto" w:fill="auto"/>
            <w:noWrap/>
            <w:vAlign w:val="bottom"/>
            <w:hideMark/>
          </w:tcPr>
          <w:p w14:paraId="043C0B52"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w:t>
            </w:r>
          </w:p>
        </w:tc>
      </w:tr>
      <w:tr w:rsidR="00F241FE" w:rsidRPr="005A1511" w14:paraId="7297D81C" w14:textId="77777777" w:rsidTr="001D5D1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752737B"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Referral into a pharmacy local minor ailments service (MAS)</w:t>
            </w:r>
          </w:p>
        </w:tc>
        <w:tc>
          <w:tcPr>
            <w:tcW w:w="1560" w:type="dxa"/>
            <w:tcBorders>
              <w:top w:val="nil"/>
              <w:left w:val="nil"/>
              <w:bottom w:val="single" w:sz="4" w:space="0" w:color="auto"/>
              <w:right w:val="single" w:sz="4" w:space="0" w:color="auto"/>
            </w:tcBorders>
            <w:shd w:val="clear" w:color="auto" w:fill="auto"/>
            <w:noWrap/>
            <w:vAlign w:val="bottom"/>
            <w:hideMark/>
          </w:tcPr>
          <w:p w14:paraId="0124DB87"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2 </w:t>
            </w:r>
          </w:p>
        </w:tc>
        <w:tc>
          <w:tcPr>
            <w:tcW w:w="2126" w:type="dxa"/>
            <w:tcBorders>
              <w:top w:val="nil"/>
              <w:left w:val="nil"/>
              <w:bottom w:val="single" w:sz="4" w:space="0" w:color="auto"/>
              <w:right w:val="single" w:sz="4" w:space="0" w:color="auto"/>
            </w:tcBorders>
            <w:shd w:val="clear" w:color="auto" w:fill="auto"/>
            <w:noWrap/>
            <w:vAlign w:val="bottom"/>
            <w:hideMark/>
          </w:tcPr>
          <w:p w14:paraId="7E06731A"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w:t>
            </w:r>
          </w:p>
        </w:tc>
        <w:tc>
          <w:tcPr>
            <w:tcW w:w="2268" w:type="dxa"/>
            <w:tcBorders>
              <w:top w:val="nil"/>
              <w:left w:val="nil"/>
              <w:bottom w:val="single" w:sz="4" w:space="0" w:color="auto"/>
              <w:right w:val="single" w:sz="4" w:space="0" w:color="auto"/>
            </w:tcBorders>
            <w:shd w:val="clear" w:color="auto" w:fill="auto"/>
            <w:noWrap/>
            <w:vAlign w:val="bottom"/>
            <w:hideMark/>
          </w:tcPr>
          <w:p w14:paraId="587A9AF7"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100.0</w:t>
            </w:r>
          </w:p>
        </w:tc>
      </w:tr>
      <w:tr w:rsidR="00F241FE" w:rsidRPr="005A1511" w14:paraId="551C2281" w14:textId="77777777" w:rsidTr="001D5D1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64A96F8"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Referral into an appropriate locally commissioned NHS service, such as a patient group direction</w:t>
            </w:r>
          </w:p>
        </w:tc>
        <w:tc>
          <w:tcPr>
            <w:tcW w:w="1560" w:type="dxa"/>
            <w:tcBorders>
              <w:top w:val="nil"/>
              <w:left w:val="nil"/>
              <w:bottom w:val="single" w:sz="4" w:space="0" w:color="auto"/>
              <w:right w:val="single" w:sz="4" w:space="0" w:color="auto"/>
            </w:tcBorders>
            <w:shd w:val="clear" w:color="auto" w:fill="auto"/>
            <w:noWrap/>
            <w:vAlign w:val="bottom"/>
            <w:hideMark/>
          </w:tcPr>
          <w:p w14:paraId="368E780B"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43,094 </w:t>
            </w:r>
          </w:p>
        </w:tc>
        <w:tc>
          <w:tcPr>
            <w:tcW w:w="2126" w:type="dxa"/>
            <w:tcBorders>
              <w:top w:val="nil"/>
              <w:left w:val="nil"/>
              <w:bottom w:val="single" w:sz="4" w:space="0" w:color="auto"/>
              <w:right w:val="single" w:sz="4" w:space="0" w:color="auto"/>
            </w:tcBorders>
            <w:shd w:val="clear" w:color="auto" w:fill="auto"/>
            <w:noWrap/>
            <w:vAlign w:val="bottom"/>
            <w:hideMark/>
          </w:tcPr>
          <w:p w14:paraId="12A01092"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42,888</w:t>
            </w:r>
          </w:p>
        </w:tc>
        <w:tc>
          <w:tcPr>
            <w:tcW w:w="2268" w:type="dxa"/>
            <w:tcBorders>
              <w:top w:val="nil"/>
              <w:left w:val="nil"/>
              <w:bottom w:val="single" w:sz="4" w:space="0" w:color="auto"/>
              <w:right w:val="single" w:sz="4" w:space="0" w:color="auto"/>
            </w:tcBorders>
            <w:shd w:val="clear" w:color="auto" w:fill="auto"/>
            <w:noWrap/>
            <w:vAlign w:val="bottom"/>
            <w:hideMark/>
          </w:tcPr>
          <w:p w14:paraId="21A86AF6"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99.5</w:t>
            </w:r>
          </w:p>
        </w:tc>
      </w:tr>
      <w:tr w:rsidR="00F241FE" w:rsidRPr="005A1511" w14:paraId="087CA66C" w14:textId="77777777" w:rsidTr="001D5D1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3647F1D"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Sale of an Over the Counter (OTC) medicine</w:t>
            </w:r>
          </w:p>
        </w:tc>
        <w:tc>
          <w:tcPr>
            <w:tcW w:w="1560" w:type="dxa"/>
            <w:tcBorders>
              <w:top w:val="nil"/>
              <w:left w:val="nil"/>
              <w:bottom w:val="single" w:sz="4" w:space="0" w:color="auto"/>
              <w:right w:val="single" w:sz="4" w:space="0" w:color="auto"/>
            </w:tcBorders>
            <w:shd w:val="clear" w:color="auto" w:fill="auto"/>
            <w:noWrap/>
            <w:vAlign w:val="bottom"/>
            <w:hideMark/>
          </w:tcPr>
          <w:p w14:paraId="316D439E"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7 </w:t>
            </w:r>
          </w:p>
        </w:tc>
        <w:tc>
          <w:tcPr>
            <w:tcW w:w="2126" w:type="dxa"/>
            <w:tcBorders>
              <w:top w:val="nil"/>
              <w:left w:val="nil"/>
              <w:bottom w:val="single" w:sz="4" w:space="0" w:color="auto"/>
              <w:right w:val="single" w:sz="4" w:space="0" w:color="auto"/>
            </w:tcBorders>
            <w:shd w:val="clear" w:color="auto" w:fill="auto"/>
            <w:noWrap/>
            <w:vAlign w:val="bottom"/>
            <w:hideMark/>
          </w:tcPr>
          <w:p w14:paraId="47C7D432"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7</w:t>
            </w:r>
          </w:p>
        </w:tc>
        <w:tc>
          <w:tcPr>
            <w:tcW w:w="2268" w:type="dxa"/>
            <w:tcBorders>
              <w:top w:val="nil"/>
              <w:left w:val="nil"/>
              <w:bottom w:val="single" w:sz="4" w:space="0" w:color="auto"/>
              <w:right w:val="single" w:sz="4" w:space="0" w:color="auto"/>
            </w:tcBorders>
            <w:shd w:val="clear" w:color="auto" w:fill="auto"/>
            <w:noWrap/>
            <w:vAlign w:val="bottom"/>
            <w:hideMark/>
          </w:tcPr>
          <w:p w14:paraId="58246D29"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100.0</w:t>
            </w:r>
          </w:p>
        </w:tc>
      </w:tr>
      <w:tr w:rsidR="00F241FE" w:rsidRPr="005A1511" w14:paraId="0435B7B8" w14:textId="77777777" w:rsidTr="001D5D13">
        <w:trPr>
          <w:trHeight w:val="39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1093F9F"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Urgent escalation to another service</w:t>
            </w:r>
          </w:p>
        </w:tc>
        <w:tc>
          <w:tcPr>
            <w:tcW w:w="1560" w:type="dxa"/>
            <w:tcBorders>
              <w:top w:val="nil"/>
              <w:left w:val="nil"/>
              <w:bottom w:val="single" w:sz="4" w:space="0" w:color="auto"/>
              <w:right w:val="single" w:sz="4" w:space="0" w:color="auto"/>
            </w:tcBorders>
            <w:shd w:val="clear" w:color="auto" w:fill="auto"/>
            <w:noWrap/>
            <w:vAlign w:val="bottom"/>
            <w:hideMark/>
          </w:tcPr>
          <w:p w14:paraId="4ADA8E0E"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1,277 </w:t>
            </w:r>
          </w:p>
        </w:tc>
        <w:tc>
          <w:tcPr>
            <w:tcW w:w="2126" w:type="dxa"/>
            <w:tcBorders>
              <w:top w:val="nil"/>
              <w:left w:val="nil"/>
              <w:bottom w:val="single" w:sz="4" w:space="0" w:color="auto"/>
              <w:right w:val="single" w:sz="4" w:space="0" w:color="auto"/>
            </w:tcBorders>
            <w:shd w:val="clear" w:color="auto" w:fill="auto"/>
            <w:noWrap/>
            <w:vAlign w:val="bottom"/>
            <w:hideMark/>
          </w:tcPr>
          <w:p w14:paraId="3D887A04"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58</w:t>
            </w:r>
          </w:p>
        </w:tc>
        <w:tc>
          <w:tcPr>
            <w:tcW w:w="2268" w:type="dxa"/>
            <w:tcBorders>
              <w:top w:val="nil"/>
              <w:left w:val="nil"/>
              <w:bottom w:val="single" w:sz="4" w:space="0" w:color="auto"/>
              <w:right w:val="single" w:sz="4" w:space="0" w:color="auto"/>
            </w:tcBorders>
            <w:shd w:val="clear" w:color="auto" w:fill="auto"/>
            <w:noWrap/>
            <w:vAlign w:val="bottom"/>
            <w:hideMark/>
          </w:tcPr>
          <w:p w14:paraId="37BDB782"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4.5</w:t>
            </w:r>
          </w:p>
        </w:tc>
      </w:tr>
    </w:tbl>
    <w:p w14:paraId="1BD5B7E2" w14:textId="055055E5" w:rsidR="00F241FE" w:rsidRPr="005A1511" w:rsidRDefault="00F241FE" w:rsidP="00F241FE">
      <w:pPr>
        <w:rPr>
          <w:rFonts w:ascii="Arial" w:hAnsi="Arial" w:cs="Arial"/>
          <w:i/>
          <w:iCs/>
          <w:color w:val="auto"/>
          <w:sz w:val="16"/>
          <w:szCs w:val="16"/>
        </w:rPr>
      </w:pPr>
      <w:r w:rsidRPr="005A1511">
        <w:rPr>
          <w:rFonts w:ascii="Arial" w:hAnsi="Arial" w:cs="Arial"/>
          <w:i/>
          <w:iCs/>
          <w:color w:val="auto"/>
          <w:sz w:val="16"/>
          <w:szCs w:val="16"/>
        </w:rPr>
        <w:t xml:space="preserve">Sonar </w:t>
      </w:r>
      <w:r w:rsidR="00331215" w:rsidRPr="005A1511">
        <w:rPr>
          <w:rFonts w:ascii="Arial" w:hAnsi="Arial" w:cs="Arial"/>
          <w:i/>
          <w:iCs/>
          <w:color w:val="auto"/>
          <w:sz w:val="16"/>
          <w:szCs w:val="16"/>
        </w:rPr>
        <w:t>consultation</w:t>
      </w:r>
      <w:r w:rsidRPr="005A1511">
        <w:rPr>
          <w:rFonts w:ascii="Arial" w:hAnsi="Arial" w:cs="Arial"/>
          <w:i/>
          <w:iCs/>
          <w:color w:val="auto"/>
          <w:sz w:val="16"/>
          <w:szCs w:val="16"/>
        </w:rPr>
        <w:t xml:space="preserve">s by consultation outcome, </w:t>
      </w:r>
      <w:r w:rsidR="005D6222" w:rsidRPr="005A1511">
        <w:rPr>
          <w:rFonts w:ascii="Arial" w:hAnsi="Arial" w:cs="Arial"/>
          <w:i/>
          <w:iCs/>
          <w:color w:val="auto"/>
          <w:sz w:val="16"/>
          <w:szCs w:val="16"/>
        </w:rPr>
        <w:t>where a medicine has been supplied</w:t>
      </w:r>
      <w:r w:rsidRPr="005A1511">
        <w:rPr>
          <w:rFonts w:ascii="Arial" w:hAnsi="Arial" w:cs="Arial"/>
          <w:i/>
          <w:iCs/>
          <w:color w:val="auto"/>
          <w:sz w:val="16"/>
          <w:szCs w:val="16"/>
        </w:rPr>
        <w:t xml:space="preserve"> (February – October 2024)</w:t>
      </w:r>
    </w:p>
    <w:p w14:paraId="70FC08C1" w14:textId="5238DB86" w:rsidR="00F241FE" w:rsidRPr="005A1511" w:rsidRDefault="00F241FE" w:rsidP="00F241FE">
      <w:pPr>
        <w:rPr>
          <w:rFonts w:ascii="Arial" w:hAnsi="Arial" w:cs="Arial"/>
          <w:color w:val="auto"/>
        </w:rPr>
      </w:pPr>
      <w:r w:rsidRPr="005A1511">
        <w:rPr>
          <w:rFonts w:ascii="Arial" w:hAnsi="Arial" w:cs="Arial"/>
          <w:color w:val="auto"/>
        </w:rPr>
        <w:t xml:space="preserve">In addition, there are </w:t>
      </w:r>
      <w:r w:rsidR="00830729" w:rsidRPr="005A1511">
        <w:rPr>
          <w:rFonts w:ascii="Arial" w:hAnsi="Arial" w:cs="Arial"/>
          <w:color w:val="auto"/>
        </w:rPr>
        <w:t xml:space="preserve">also </w:t>
      </w:r>
      <w:r w:rsidRPr="005A1511">
        <w:rPr>
          <w:rFonts w:ascii="Arial" w:hAnsi="Arial" w:cs="Arial"/>
          <w:color w:val="auto"/>
        </w:rPr>
        <w:t>some records which appear to indicate that a medicine has been supplied, for consultation outcomes other than ‘Medicines supply / non-supply’, for sites using Pinnacle, Cegedim and EMIS systems:</w:t>
      </w:r>
    </w:p>
    <w:tbl>
      <w:tblPr>
        <w:tblW w:w="9351" w:type="dxa"/>
        <w:tblLook w:val="04A0" w:firstRow="1" w:lastRow="0" w:firstColumn="1" w:lastColumn="0" w:noHBand="0" w:noVBand="1"/>
      </w:tblPr>
      <w:tblGrid>
        <w:gridCol w:w="3397"/>
        <w:gridCol w:w="1560"/>
        <w:gridCol w:w="2126"/>
        <w:gridCol w:w="2268"/>
      </w:tblGrid>
      <w:tr w:rsidR="00F241FE" w:rsidRPr="005A1511" w14:paraId="477B05BC" w14:textId="77777777" w:rsidTr="001D5D13">
        <w:trPr>
          <w:trHeight w:val="735"/>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8C209"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sz w:val="18"/>
                <w:szCs w:val="18"/>
              </w:rPr>
            </w:pPr>
            <w:r w:rsidRPr="005A1511">
              <w:rPr>
                <w:rFonts w:ascii="Arial" w:eastAsia="Times New Roman" w:hAnsi="Arial" w:cs="Arial"/>
                <w:b/>
                <w:sz w:val="18"/>
                <w:szCs w:val="18"/>
              </w:rPr>
              <w:t>Consultation Outcome</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F6898BA" w14:textId="3604BFC3"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sz w:val="18"/>
                <w:szCs w:val="18"/>
              </w:rPr>
            </w:pPr>
            <w:r w:rsidRPr="005A1511">
              <w:rPr>
                <w:rFonts w:ascii="Arial" w:eastAsia="Times New Roman" w:hAnsi="Arial" w:cs="Arial"/>
                <w:b/>
                <w:bCs/>
                <w:sz w:val="18"/>
                <w:szCs w:val="18"/>
              </w:rPr>
              <w:t xml:space="preserve">Total </w:t>
            </w:r>
            <w:r w:rsidR="00331215" w:rsidRPr="005A1511">
              <w:rPr>
                <w:rFonts w:ascii="Arial" w:eastAsia="Times New Roman" w:hAnsi="Arial" w:cs="Arial"/>
                <w:b/>
                <w:bCs/>
                <w:sz w:val="18"/>
                <w:szCs w:val="18"/>
              </w:rPr>
              <w:t>Consultation</w:t>
            </w:r>
            <w:r w:rsidRPr="005A1511">
              <w:rPr>
                <w:rFonts w:ascii="Arial" w:eastAsia="Times New Roman" w:hAnsi="Arial" w:cs="Arial"/>
                <w:b/>
                <w:bCs/>
                <w:sz w:val="18"/>
                <w:szCs w:val="18"/>
              </w:rPr>
              <w:t>s</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1AB80006" w14:textId="237F49E5"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sz w:val="18"/>
                <w:szCs w:val="18"/>
              </w:rPr>
            </w:pPr>
            <w:r w:rsidRPr="005A1511">
              <w:rPr>
                <w:rFonts w:ascii="Arial" w:eastAsia="Times New Roman" w:hAnsi="Arial" w:cs="Arial"/>
                <w:b/>
                <w:sz w:val="18"/>
                <w:szCs w:val="18"/>
              </w:rPr>
              <w:t xml:space="preserve">Total number of </w:t>
            </w:r>
            <w:r w:rsidR="00331215" w:rsidRPr="005A1511">
              <w:rPr>
                <w:rFonts w:ascii="Arial" w:eastAsia="Times New Roman" w:hAnsi="Arial" w:cs="Arial"/>
                <w:b/>
                <w:bCs/>
                <w:sz w:val="18"/>
                <w:szCs w:val="18"/>
              </w:rPr>
              <w:t>consultation</w:t>
            </w:r>
            <w:r w:rsidRPr="005A1511">
              <w:rPr>
                <w:rFonts w:ascii="Arial" w:eastAsia="Times New Roman" w:hAnsi="Arial" w:cs="Arial"/>
                <w:b/>
                <w:bCs/>
                <w:sz w:val="18"/>
                <w:szCs w:val="18"/>
              </w:rPr>
              <w:t>s</w:t>
            </w:r>
            <w:r w:rsidRPr="005A1511">
              <w:rPr>
                <w:rFonts w:ascii="Arial" w:eastAsia="Times New Roman" w:hAnsi="Arial" w:cs="Arial"/>
                <w:b/>
                <w:sz w:val="18"/>
                <w:szCs w:val="18"/>
              </w:rPr>
              <w:t xml:space="preserve"> where a medicine has been supplied</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FE5A1C0" w14:textId="467FA195"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sz w:val="18"/>
                <w:szCs w:val="18"/>
              </w:rPr>
            </w:pPr>
            <w:r w:rsidRPr="005A1511">
              <w:rPr>
                <w:rFonts w:ascii="Arial" w:eastAsia="Times New Roman" w:hAnsi="Arial" w:cs="Arial"/>
                <w:b/>
                <w:sz w:val="18"/>
                <w:szCs w:val="18"/>
              </w:rPr>
              <w:t xml:space="preserve">Percentage of </w:t>
            </w:r>
            <w:r w:rsidR="00331215" w:rsidRPr="005A1511">
              <w:rPr>
                <w:rFonts w:ascii="Arial" w:eastAsia="Times New Roman" w:hAnsi="Arial" w:cs="Arial"/>
                <w:b/>
                <w:bCs/>
                <w:sz w:val="18"/>
                <w:szCs w:val="18"/>
              </w:rPr>
              <w:t>consultation</w:t>
            </w:r>
            <w:r w:rsidRPr="005A1511">
              <w:rPr>
                <w:rFonts w:ascii="Arial" w:eastAsia="Times New Roman" w:hAnsi="Arial" w:cs="Arial"/>
                <w:b/>
                <w:bCs/>
                <w:sz w:val="18"/>
                <w:szCs w:val="18"/>
              </w:rPr>
              <w:t>s</w:t>
            </w:r>
            <w:r w:rsidRPr="005A1511">
              <w:rPr>
                <w:rFonts w:ascii="Arial" w:eastAsia="Times New Roman" w:hAnsi="Arial" w:cs="Arial"/>
                <w:b/>
                <w:sz w:val="18"/>
                <w:szCs w:val="18"/>
              </w:rPr>
              <w:t xml:space="preserve"> where a medicine has been supplied</w:t>
            </w:r>
          </w:p>
        </w:tc>
      </w:tr>
      <w:tr w:rsidR="00F241FE" w:rsidRPr="005A1511" w14:paraId="77209A55" w14:textId="77777777" w:rsidTr="001D5D1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597E5F9"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Advice given only</w:t>
            </w:r>
          </w:p>
        </w:tc>
        <w:tc>
          <w:tcPr>
            <w:tcW w:w="1560" w:type="dxa"/>
            <w:tcBorders>
              <w:top w:val="nil"/>
              <w:left w:val="nil"/>
              <w:bottom w:val="single" w:sz="4" w:space="0" w:color="auto"/>
              <w:right w:val="single" w:sz="4" w:space="0" w:color="auto"/>
            </w:tcBorders>
            <w:shd w:val="clear" w:color="auto" w:fill="auto"/>
            <w:noWrap/>
            <w:vAlign w:val="bottom"/>
            <w:hideMark/>
          </w:tcPr>
          <w:p w14:paraId="3F5E51C8"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199,274 </w:t>
            </w:r>
          </w:p>
        </w:tc>
        <w:tc>
          <w:tcPr>
            <w:tcW w:w="2126" w:type="dxa"/>
            <w:tcBorders>
              <w:top w:val="nil"/>
              <w:left w:val="nil"/>
              <w:bottom w:val="single" w:sz="4" w:space="0" w:color="auto"/>
              <w:right w:val="single" w:sz="4" w:space="0" w:color="auto"/>
            </w:tcBorders>
            <w:shd w:val="clear" w:color="auto" w:fill="auto"/>
            <w:noWrap/>
            <w:vAlign w:val="bottom"/>
            <w:hideMark/>
          </w:tcPr>
          <w:p w14:paraId="207434B5"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984</w:t>
            </w:r>
          </w:p>
        </w:tc>
        <w:tc>
          <w:tcPr>
            <w:tcW w:w="2268" w:type="dxa"/>
            <w:tcBorders>
              <w:top w:val="nil"/>
              <w:left w:val="nil"/>
              <w:bottom w:val="single" w:sz="4" w:space="0" w:color="auto"/>
              <w:right w:val="single" w:sz="4" w:space="0" w:color="auto"/>
            </w:tcBorders>
            <w:shd w:val="clear" w:color="auto" w:fill="auto"/>
            <w:noWrap/>
            <w:vAlign w:val="bottom"/>
            <w:hideMark/>
          </w:tcPr>
          <w:p w14:paraId="2516CF6F"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0.5</w:t>
            </w:r>
          </w:p>
        </w:tc>
      </w:tr>
      <w:tr w:rsidR="00F241FE" w:rsidRPr="005A1511" w14:paraId="40C04EF9" w14:textId="77777777" w:rsidTr="001D5D1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8CD93E2"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Non-urgent signposting to another service</w:t>
            </w:r>
          </w:p>
        </w:tc>
        <w:tc>
          <w:tcPr>
            <w:tcW w:w="1560" w:type="dxa"/>
            <w:tcBorders>
              <w:top w:val="nil"/>
              <w:left w:val="nil"/>
              <w:bottom w:val="single" w:sz="4" w:space="0" w:color="auto"/>
              <w:right w:val="single" w:sz="4" w:space="0" w:color="auto"/>
            </w:tcBorders>
            <w:shd w:val="clear" w:color="auto" w:fill="auto"/>
            <w:noWrap/>
            <w:vAlign w:val="bottom"/>
            <w:hideMark/>
          </w:tcPr>
          <w:p w14:paraId="41AF193F"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35,542 </w:t>
            </w:r>
          </w:p>
        </w:tc>
        <w:tc>
          <w:tcPr>
            <w:tcW w:w="2126" w:type="dxa"/>
            <w:tcBorders>
              <w:top w:val="nil"/>
              <w:left w:val="nil"/>
              <w:bottom w:val="single" w:sz="4" w:space="0" w:color="auto"/>
              <w:right w:val="single" w:sz="4" w:space="0" w:color="auto"/>
            </w:tcBorders>
            <w:shd w:val="clear" w:color="auto" w:fill="auto"/>
            <w:noWrap/>
            <w:vAlign w:val="bottom"/>
            <w:hideMark/>
          </w:tcPr>
          <w:p w14:paraId="75685F0C"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w:t>
            </w:r>
          </w:p>
        </w:tc>
        <w:tc>
          <w:tcPr>
            <w:tcW w:w="2268" w:type="dxa"/>
            <w:tcBorders>
              <w:top w:val="nil"/>
              <w:left w:val="nil"/>
              <w:bottom w:val="single" w:sz="4" w:space="0" w:color="auto"/>
              <w:right w:val="single" w:sz="4" w:space="0" w:color="auto"/>
            </w:tcBorders>
            <w:shd w:val="clear" w:color="auto" w:fill="auto"/>
            <w:noWrap/>
            <w:vAlign w:val="bottom"/>
            <w:hideMark/>
          </w:tcPr>
          <w:p w14:paraId="40135568"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w:t>
            </w:r>
          </w:p>
        </w:tc>
      </w:tr>
      <w:tr w:rsidR="00F241FE" w:rsidRPr="005A1511" w14:paraId="7CE95C13" w14:textId="77777777" w:rsidTr="001D5D1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CA27848"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Onward referral to another CPCS pharmacy</w:t>
            </w:r>
          </w:p>
        </w:tc>
        <w:tc>
          <w:tcPr>
            <w:tcW w:w="1560" w:type="dxa"/>
            <w:tcBorders>
              <w:top w:val="nil"/>
              <w:left w:val="nil"/>
              <w:bottom w:val="single" w:sz="4" w:space="0" w:color="auto"/>
              <w:right w:val="single" w:sz="4" w:space="0" w:color="auto"/>
            </w:tcBorders>
            <w:shd w:val="clear" w:color="auto" w:fill="auto"/>
            <w:noWrap/>
            <w:vAlign w:val="bottom"/>
            <w:hideMark/>
          </w:tcPr>
          <w:p w14:paraId="6FED231E"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1 </w:t>
            </w:r>
          </w:p>
        </w:tc>
        <w:tc>
          <w:tcPr>
            <w:tcW w:w="2126" w:type="dxa"/>
            <w:tcBorders>
              <w:top w:val="nil"/>
              <w:left w:val="nil"/>
              <w:bottom w:val="single" w:sz="4" w:space="0" w:color="auto"/>
              <w:right w:val="single" w:sz="4" w:space="0" w:color="auto"/>
            </w:tcBorders>
            <w:shd w:val="clear" w:color="auto" w:fill="auto"/>
            <w:noWrap/>
            <w:vAlign w:val="bottom"/>
            <w:hideMark/>
          </w:tcPr>
          <w:p w14:paraId="7769223E"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w:t>
            </w:r>
          </w:p>
        </w:tc>
        <w:tc>
          <w:tcPr>
            <w:tcW w:w="2268" w:type="dxa"/>
            <w:tcBorders>
              <w:top w:val="nil"/>
              <w:left w:val="nil"/>
              <w:bottom w:val="single" w:sz="4" w:space="0" w:color="auto"/>
              <w:right w:val="single" w:sz="4" w:space="0" w:color="auto"/>
            </w:tcBorders>
            <w:shd w:val="clear" w:color="auto" w:fill="auto"/>
            <w:noWrap/>
            <w:vAlign w:val="bottom"/>
            <w:hideMark/>
          </w:tcPr>
          <w:p w14:paraId="1753978B"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w:t>
            </w:r>
          </w:p>
        </w:tc>
      </w:tr>
      <w:tr w:rsidR="00F241FE" w:rsidRPr="005A1511" w14:paraId="66320689" w14:textId="77777777" w:rsidTr="001D5D1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F7E4807"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Other (please specify)</w:t>
            </w:r>
          </w:p>
        </w:tc>
        <w:tc>
          <w:tcPr>
            <w:tcW w:w="1560" w:type="dxa"/>
            <w:tcBorders>
              <w:top w:val="nil"/>
              <w:left w:val="nil"/>
              <w:bottom w:val="single" w:sz="4" w:space="0" w:color="auto"/>
              <w:right w:val="single" w:sz="4" w:space="0" w:color="auto"/>
            </w:tcBorders>
            <w:shd w:val="clear" w:color="auto" w:fill="auto"/>
            <w:noWrap/>
            <w:vAlign w:val="bottom"/>
            <w:hideMark/>
          </w:tcPr>
          <w:p w14:paraId="4A9E0996"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12,348 </w:t>
            </w:r>
          </w:p>
        </w:tc>
        <w:tc>
          <w:tcPr>
            <w:tcW w:w="2126" w:type="dxa"/>
            <w:tcBorders>
              <w:top w:val="nil"/>
              <w:left w:val="nil"/>
              <w:bottom w:val="single" w:sz="4" w:space="0" w:color="auto"/>
              <w:right w:val="single" w:sz="4" w:space="0" w:color="auto"/>
            </w:tcBorders>
            <w:shd w:val="clear" w:color="auto" w:fill="auto"/>
            <w:noWrap/>
            <w:vAlign w:val="bottom"/>
            <w:hideMark/>
          </w:tcPr>
          <w:p w14:paraId="2BE29F8D"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w:t>
            </w:r>
          </w:p>
        </w:tc>
        <w:tc>
          <w:tcPr>
            <w:tcW w:w="2268" w:type="dxa"/>
            <w:tcBorders>
              <w:top w:val="nil"/>
              <w:left w:val="nil"/>
              <w:bottom w:val="single" w:sz="4" w:space="0" w:color="auto"/>
              <w:right w:val="single" w:sz="4" w:space="0" w:color="auto"/>
            </w:tcBorders>
            <w:shd w:val="clear" w:color="auto" w:fill="auto"/>
            <w:noWrap/>
            <w:vAlign w:val="bottom"/>
            <w:hideMark/>
          </w:tcPr>
          <w:p w14:paraId="300FB8D1"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w:t>
            </w:r>
          </w:p>
        </w:tc>
      </w:tr>
      <w:tr w:rsidR="00F241FE" w:rsidRPr="005A1511" w14:paraId="7E6D0CFE" w14:textId="77777777" w:rsidTr="001D5D1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831A317"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Referral into a pharmacy local minor ailments service (MAS)</w:t>
            </w:r>
          </w:p>
        </w:tc>
        <w:tc>
          <w:tcPr>
            <w:tcW w:w="1560" w:type="dxa"/>
            <w:tcBorders>
              <w:top w:val="nil"/>
              <w:left w:val="nil"/>
              <w:bottom w:val="single" w:sz="4" w:space="0" w:color="auto"/>
              <w:right w:val="single" w:sz="4" w:space="0" w:color="auto"/>
            </w:tcBorders>
            <w:shd w:val="clear" w:color="auto" w:fill="auto"/>
            <w:noWrap/>
            <w:vAlign w:val="bottom"/>
            <w:hideMark/>
          </w:tcPr>
          <w:p w14:paraId="134A83B9"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2 </w:t>
            </w:r>
          </w:p>
        </w:tc>
        <w:tc>
          <w:tcPr>
            <w:tcW w:w="2126" w:type="dxa"/>
            <w:tcBorders>
              <w:top w:val="nil"/>
              <w:left w:val="nil"/>
              <w:bottom w:val="single" w:sz="4" w:space="0" w:color="auto"/>
              <w:right w:val="single" w:sz="4" w:space="0" w:color="auto"/>
            </w:tcBorders>
            <w:shd w:val="clear" w:color="auto" w:fill="auto"/>
            <w:noWrap/>
            <w:vAlign w:val="bottom"/>
            <w:hideMark/>
          </w:tcPr>
          <w:p w14:paraId="2CAC05EF"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w:t>
            </w:r>
          </w:p>
        </w:tc>
        <w:tc>
          <w:tcPr>
            <w:tcW w:w="2268" w:type="dxa"/>
            <w:tcBorders>
              <w:top w:val="nil"/>
              <w:left w:val="nil"/>
              <w:bottom w:val="single" w:sz="4" w:space="0" w:color="auto"/>
              <w:right w:val="single" w:sz="4" w:space="0" w:color="auto"/>
            </w:tcBorders>
            <w:shd w:val="clear" w:color="auto" w:fill="auto"/>
            <w:noWrap/>
            <w:vAlign w:val="bottom"/>
            <w:hideMark/>
          </w:tcPr>
          <w:p w14:paraId="5E6C5E5D"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w:t>
            </w:r>
          </w:p>
        </w:tc>
      </w:tr>
      <w:tr w:rsidR="00F241FE" w:rsidRPr="005A1511" w14:paraId="4A1E5FEF" w14:textId="77777777" w:rsidTr="001D5D1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8986C1A"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Referral into an appropriate locally commissioned NHS service, such as a patient group direction</w:t>
            </w:r>
          </w:p>
        </w:tc>
        <w:tc>
          <w:tcPr>
            <w:tcW w:w="1560" w:type="dxa"/>
            <w:tcBorders>
              <w:top w:val="nil"/>
              <w:left w:val="nil"/>
              <w:bottom w:val="single" w:sz="4" w:space="0" w:color="auto"/>
              <w:right w:val="single" w:sz="4" w:space="0" w:color="auto"/>
            </w:tcBorders>
            <w:shd w:val="clear" w:color="auto" w:fill="auto"/>
            <w:noWrap/>
            <w:vAlign w:val="bottom"/>
            <w:hideMark/>
          </w:tcPr>
          <w:p w14:paraId="4A77F6CA"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8,166 </w:t>
            </w:r>
          </w:p>
        </w:tc>
        <w:tc>
          <w:tcPr>
            <w:tcW w:w="2126" w:type="dxa"/>
            <w:tcBorders>
              <w:top w:val="nil"/>
              <w:left w:val="nil"/>
              <w:bottom w:val="single" w:sz="4" w:space="0" w:color="auto"/>
              <w:right w:val="single" w:sz="4" w:space="0" w:color="auto"/>
            </w:tcBorders>
            <w:shd w:val="clear" w:color="auto" w:fill="auto"/>
            <w:noWrap/>
            <w:vAlign w:val="bottom"/>
            <w:hideMark/>
          </w:tcPr>
          <w:p w14:paraId="774378F3"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w:t>
            </w:r>
          </w:p>
        </w:tc>
        <w:tc>
          <w:tcPr>
            <w:tcW w:w="2268" w:type="dxa"/>
            <w:tcBorders>
              <w:top w:val="nil"/>
              <w:left w:val="nil"/>
              <w:bottom w:val="single" w:sz="4" w:space="0" w:color="auto"/>
              <w:right w:val="single" w:sz="4" w:space="0" w:color="auto"/>
            </w:tcBorders>
            <w:shd w:val="clear" w:color="auto" w:fill="auto"/>
            <w:noWrap/>
            <w:vAlign w:val="bottom"/>
            <w:hideMark/>
          </w:tcPr>
          <w:p w14:paraId="7283ECBF"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w:t>
            </w:r>
          </w:p>
        </w:tc>
      </w:tr>
      <w:tr w:rsidR="00F241FE" w:rsidRPr="005A1511" w14:paraId="4C27A3BD" w14:textId="77777777" w:rsidTr="001D5D1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A533A1B"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Sale of an Over the Counter (OTC) medicine</w:t>
            </w:r>
          </w:p>
        </w:tc>
        <w:tc>
          <w:tcPr>
            <w:tcW w:w="1560" w:type="dxa"/>
            <w:tcBorders>
              <w:top w:val="nil"/>
              <w:left w:val="nil"/>
              <w:bottom w:val="single" w:sz="4" w:space="0" w:color="auto"/>
              <w:right w:val="single" w:sz="4" w:space="0" w:color="auto"/>
            </w:tcBorders>
            <w:shd w:val="clear" w:color="auto" w:fill="auto"/>
            <w:noWrap/>
            <w:vAlign w:val="bottom"/>
            <w:hideMark/>
          </w:tcPr>
          <w:p w14:paraId="35E8CEF6"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3,118 </w:t>
            </w:r>
          </w:p>
        </w:tc>
        <w:tc>
          <w:tcPr>
            <w:tcW w:w="2126" w:type="dxa"/>
            <w:tcBorders>
              <w:top w:val="nil"/>
              <w:left w:val="nil"/>
              <w:bottom w:val="single" w:sz="4" w:space="0" w:color="auto"/>
              <w:right w:val="single" w:sz="4" w:space="0" w:color="auto"/>
            </w:tcBorders>
            <w:shd w:val="clear" w:color="auto" w:fill="auto"/>
            <w:noWrap/>
            <w:vAlign w:val="bottom"/>
            <w:hideMark/>
          </w:tcPr>
          <w:p w14:paraId="3F589333"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78</w:t>
            </w:r>
          </w:p>
        </w:tc>
        <w:tc>
          <w:tcPr>
            <w:tcW w:w="2268" w:type="dxa"/>
            <w:tcBorders>
              <w:top w:val="nil"/>
              <w:left w:val="nil"/>
              <w:bottom w:val="single" w:sz="4" w:space="0" w:color="auto"/>
              <w:right w:val="single" w:sz="4" w:space="0" w:color="auto"/>
            </w:tcBorders>
            <w:shd w:val="clear" w:color="auto" w:fill="auto"/>
            <w:noWrap/>
            <w:vAlign w:val="bottom"/>
            <w:hideMark/>
          </w:tcPr>
          <w:p w14:paraId="4413F194"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2.5</w:t>
            </w:r>
          </w:p>
        </w:tc>
      </w:tr>
      <w:tr w:rsidR="00F241FE" w:rsidRPr="005A1511" w14:paraId="6C2D2799" w14:textId="77777777" w:rsidTr="001D5D13">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7C175DC"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Urgent escalation to another service</w:t>
            </w:r>
          </w:p>
        </w:tc>
        <w:tc>
          <w:tcPr>
            <w:tcW w:w="1560" w:type="dxa"/>
            <w:tcBorders>
              <w:top w:val="nil"/>
              <w:left w:val="nil"/>
              <w:bottom w:val="single" w:sz="4" w:space="0" w:color="auto"/>
              <w:right w:val="single" w:sz="4" w:space="0" w:color="auto"/>
            </w:tcBorders>
            <w:shd w:val="clear" w:color="auto" w:fill="auto"/>
            <w:noWrap/>
            <w:vAlign w:val="bottom"/>
            <w:hideMark/>
          </w:tcPr>
          <w:p w14:paraId="43D3377D"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37,059 </w:t>
            </w:r>
          </w:p>
        </w:tc>
        <w:tc>
          <w:tcPr>
            <w:tcW w:w="2126" w:type="dxa"/>
            <w:tcBorders>
              <w:top w:val="nil"/>
              <w:left w:val="nil"/>
              <w:bottom w:val="single" w:sz="4" w:space="0" w:color="auto"/>
              <w:right w:val="single" w:sz="4" w:space="0" w:color="auto"/>
            </w:tcBorders>
            <w:shd w:val="clear" w:color="auto" w:fill="auto"/>
            <w:noWrap/>
            <w:vAlign w:val="bottom"/>
            <w:hideMark/>
          </w:tcPr>
          <w:p w14:paraId="19048397"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7</w:t>
            </w:r>
          </w:p>
        </w:tc>
        <w:tc>
          <w:tcPr>
            <w:tcW w:w="2268" w:type="dxa"/>
            <w:tcBorders>
              <w:top w:val="nil"/>
              <w:left w:val="nil"/>
              <w:bottom w:val="single" w:sz="4" w:space="0" w:color="auto"/>
              <w:right w:val="single" w:sz="4" w:space="0" w:color="auto"/>
            </w:tcBorders>
            <w:shd w:val="clear" w:color="auto" w:fill="auto"/>
            <w:noWrap/>
            <w:vAlign w:val="bottom"/>
            <w:hideMark/>
          </w:tcPr>
          <w:p w14:paraId="5D38EEC7" w14:textId="77777777" w:rsidR="00F241FE" w:rsidRPr="005A1511" w:rsidRDefault="00F241FE" w:rsidP="008D0D60">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w:t>
            </w:r>
          </w:p>
        </w:tc>
      </w:tr>
    </w:tbl>
    <w:p w14:paraId="1B551A96" w14:textId="4CF30B4D" w:rsidR="00F241FE" w:rsidRPr="005A1511" w:rsidRDefault="00331215" w:rsidP="00F241FE">
      <w:pPr>
        <w:rPr>
          <w:rFonts w:ascii="Arial" w:hAnsi="Arial" w:cs="Arial"/>
          <w:i/>
          <w:iCs/>
          <w:color w:val="auto"/>
          <w:sz w:val="16"/>
          <w:szCs w:val="16"/>
        </w:rPr>
      </w:pPr>
      <w:r w:rsidRPr="005A1511">
        <w:rPr>
          <w:rFonts w:ascii="Arial" w:hAnsi="Arial" w:cs="Arial"/>
          <w:i/>
          <w:iCs/>
          <w:color w:val="auto"/>
          <w:sz w:val="16"/>
          <w:szCs w:val="16"/>
        </w:rPr>
        <w:t>Consultation</w:t>
      </w:r>
      <w:r w:rsidR="00F241FE" w:rsidRPr="005A1511">
        <w:rPr>
          <w:rFonts w:ascii="Arial" w:hAnsi="Arial" w:cs="Arial"/>
          <w:i/>
          <w:iCs/>
          <w:color w:val="auto"/>
          <w:sz w:val="16"/>
          <w:szCs w:val="16"/>
        </w:rPr>
        <w:t xml:space="preserve">s by consultation outcome, </w:t>
      </w:r>
      <w:r w:rsidR="00C2115B" w:rsidRPr="005A1511">
        <w:rPr>
          <w:rFonts w:ascii="Arial" w:hAnsi="Arial" w:cs="Arial"/>
          <w:i/>
          <w:iCs/>
          <w:color w:val="auto"/>
          <w:sz w:val="16"/>
          <w:szCs w:val="16"/>
        </w:rPr>
        <w:t xml:space="preserve">where a medicine has been supplied </w:t>
      </w:r>
      <w:r w:rsidR="00F241FE" w:rsidRPr="005A1511">
        <w:rPr>
          <w:rFonts w:ascii="Arial" w:hAnsi="Arial" w:cs="Arial"/>
          <w:i/>
          <w:iCs/>
          <w:color w:val="auto"/>
          <w:sz w:val="16"/>
          <w:szCs w:val="16"/>
        </w:rPr>
        <w:t xml:space="preserve"> (February – October 2024), excluding Sonar sites and Medicines supply / non-supply’ outcomes.</w:t>
      </w:r>
    </w:p>
    <w:p w14:paraId="18929782" w14:textId="77777777" w:rsidR="0060681D" w:rsidRPr="005A1511" w:rsidRDefault="0060681D" w:rsidP="00F241FE">
      <w:pPr>
        <w:rPr>
          <w:rFonts w:ascii="Arial" w:hAnsi="Arial" w:cs="Arial"/>
          <w:i/>
          <w:iCs/>
          <w:color w:val="auto"/>
          <w:sz w:val="16"/>
          <w:szCs w:val="16"/>
        </w:rPr>
      </w:pPr>
    </w:p>
    <w:p w14:paraId="12D6A500" w14:textId="77777777" w:rsidR="00B001D1" w:rsidRPr="005A1511" w:rsidRDefault="00B001D1">
      <w:pPr>
        <w:rPr>
          <w:rFonts w:ascii="Arial" w:eastAsia="Arial" w:hAnsi="Arial" w:cs="Arial"/>
          <w:b/>
        </w:rPr>
      </w:pPr>
      <w:r w:rsidRPr="005A1511">
        <w:rPr>
          <w:rFonts w:ascii="Arial" w:hAnsi="Arial" w:cs="Arial"/>
        </w:rPr>
        <w:br w:type="page"/>
      </w:r>
    </w:p>
    <w:p w14:paraId="5D56355B" w14:textId="5D369A9F" w:rsidR="00F241FE" w:rsidRPr="005A1511" w:rsidRDefault="00331215" w:rsidP="00F241FE">
      <w:pPr>
        <w:pStyle w:val="Heading2"/>
        <w:rPr>
          <w:sz w:val="22"/>
          <w:szCs w:val="22"/>
        </w:rPr>
      </w:pPr>
      <w:bookmarkStart w:id="55" w:name="_Consultations_with_missing"/>
      <w:bookmarkStart w:id="56" w:name="_Toc189144450"/>
      <w:bookmarkEnd w:id="55"/>
      <w:r w:rsidRPr="005A1511">
        <w:rPr>
          <w:sz w:val="22"/>
          <w:szCs w:val="22"/>
        </w:rPr>
        <w:lastRenderedPageBreak/>
        <w:t>Consultation</w:t>
      </w:r>
      <w:r w:rsidR="00F241FE" w:rsidRPr="005A1511">
        <w:rPr>
          <w:sz w:val="22"/>
          <w:szCs w:val="22"/>
        </w:rPr>
        <w:t xml:space="preserve">s with </w:t>
      </w:r>
      <w:r w:rsidR="00CC75CA" w:rsidRPr="005A1511">
        <w:rPr>
          <w:sz w:val="22"/>
          <w:szCs w:val="22"/>
        </w:rPr>
        <w:t>missing or unmatched GP practice ODS codes</w:t>
      </w:r>
      <w:bookmarkEnd w:id="56"/>
    </w:p>
    <w:p w14:paraId="4E1EA08D" w14:textId="7C351560" w:rsidR="00424DDA" w:rsidRPr="005A1511" w:rsidRDefault="0073058E" w:rsidP="002F7E95">
      <w:pPr>
        <w:rPr>
          <w:rFonts w:ascii="Arial" w:hAnsi="Arial" w:cs="Arial"/>
        </w:rPr>
      </w:pPr>
      <w:r w:rsidRPr="005A1511">
        <w:rPr>
          <w:rFonts w:ascii="Arial" w:hAnsi="Arial" w:cs="Arial"/>
        </w:rPr>
        <w:t xml:space="preserve">The following tables show the proportion of </w:t>
      </w:r>
      <w:r w:rsidR="00331215" w:rsidRPr="005A1511">
        <w:rPr>
          <w:rFonts w:ascii="Arial" w:hAnsi="Arial" w:cs="Arial"/>
        </w:rPr>
        <w:t>consultation</w:t>
      </w:r>
      <w:r w:rsidRPr="005A1511">
        <w:rPr>
          <w:rFonts w:ascii="Arial" w:hAnsi="Arial" w:cs="Arial"/>
        </w:rPr>
        <w:t xml:space="preserve">s which have either no </w:t>
      </w:r>
      <w:r w:rsidR="00C9703F" w:rsidRPr="005A1511">
        <w:rPr>
          <w:rFonts w:ascii="Arial" w:hAnsi="Arial" w:cs="Arial"/>
        </w:rPr>
        <w:t>General Practice</w:t>
      </w:r>
      <w:r w:rsidRPr="005A1511">
        <w:rPr>
          <w:rFonts w:ascii="Arial" w:hAnsi="Arial" w:cs="Arial"/>
        </w:rPr>
        <w:t xml:space="preserve"> ODS recorded, or </w:t>
      </w:r>
      <w:r w:rsidR="00397454" w:rsidRPr="005A1511">
        <w:rPr>
          <w:rFonts w:ascii="Arial" w:hAnsi="Arial" w:cs="Arial"/>
        </w:rPr>
        <w:t xml:space="preserve">which have </w:t>
      </w:r>
      <w:r w:rsidRPr="005A1511">
        <w:rPr>
          <w:rFonts w:ascii="Arial" w:hAnsi="Arial" w:cs="Arial"/>
        </w:rPr>
        <w:t xml:space="preserve">an ODS code </w:t>
      </w:r>
      <w:r w:rsidR="00397454" w:rsidRPr="005A1511">
        <w:rPr>
          <w:rFonts w:ascii="Arial" w:hAnsi="Arial" w:cs="Arial"/>
        </w:rPr>
        <w:t xml:space="preserve">recorded </w:t>
      </w:r>
      <w:r w:rsidRPr="005A1511">
        <w:rPr>
          <w:rFonts w:ascii="Arial" w:hAnsi="Arial" w:cs="Arial"/>
        </w:rPr>
        <w:t xml:space="preserve">which does not match the organisation data held by NHSBSA.  </w:t>
      </w:r>
    </w:p>
    <w:p w14:paraId="2C8A177D" w14:textId="703E841F" w:rsidR="006C1C88" w:rsidRPr="005A1511" w:rsidRDefault="0073058E" w:rsidP="002F7E95">
      <w:pPr>
        <w:rPr>
          <w:rFonts w:ascii="Arial" w:hAnsi="Arial" w:cs="Arial"/>
        </w:rPr>
      </w:pPr>
      <w:r w:rsidRPr="005A1511">
        <w:rPr>
          <w:rFonts w:ascii="Arial" w:hAnsi="Arial" w:cs="Arial"/>
        </w:rPr>
        <w:t xml:space="preserve">The tables </w:t>
      </w:r>
      <w:r w:rsidR="00275188" w:rsidRPr="005A1511">
        <w:rPr>
          <w:rFonts w:ascii="Arial" w:hAnsi="Arial" w:cs="Arial"/>
        </w:rPr>
        <w:t>show the data by NHS region and by clinical pathway and cover all Pharmacy First activity up to an</w:t>
      </w:r>
      <w:r w:rsidR="00424DDA" w:rsidRPr="005A1511">
        <w:rPr>
          <w:rFonts w:ascii="Arial" w:hAnsi="Arial" w:cs="Arial"/>
        </w:rPr>
        <w:t>d</w:t>
      </w:r>
      <w:r w:rsidR="00275188" w:rsidRPr="005A1511">
        <w:rPr>
          <w:rFonts w:ascii="Arial" w:hAnsi="Arial" w:cs="Arial"/>
        </w:rPr>
        <w:t xml:space="preserve"> including </w:t>
      </w:r>
      <w:r w:rsidR="00331215" w:rsidRPr="005A1511">
        <w:rPr>
          <w:rFonts w:ascii="Arial" w:hAnsi="Arial" w:cs="Arial"/>
        </w:rPr>
        <w:t>consultation</w:t>
      </w:r>
      <w:r w:rsidR="00424DDA" w:rsidRPr="005A1511">
        <w:rPr>
          <w:rFonts w:ascii="Arial" w:hAnsi="Arial" w:cs="Arial"/>
        </w:rPr>
        <w:t>s which were processed for payment in October 2024.</w:t>
      </w:r>
    </w:p>
    <w:p w14:paraId="2A329F38" w14:textId="74691C1D" w:rsidR="00424DDA" w:rsidRPr="005A1511" w:rsidRDefault="00424DDA" w:rsidP="002F7E95">
      <w:pPr>
        <w:rPr>
          <w:rFonts w:ascii="Arial" w:hAnsi="Arial" w:cs="Arial"/>
          <w:b/>
          <w:bCs/>
          <w:sz w:val="20"/>
          <w:szCs w:val="20"/>
        </w:rPr>
      </w:pPr>
      <w:r w:rsidRPr="005A1511">
        <w:rPr>
          <w:rFonts w:ascii="Arial" w:hAnsi="Arial" w:cs="Arial"/>
          <w:b/>
          <w:bCs/>
          <w:sz w:val="20"/>
          <w:szCs w:val="20"/>
        </w:rPr>
        <w:t>Data by NHS Region</w:t>
      </w:r>
    </w:p>
    <w:tbl>
      <w:tblPr>
        <w:tblW w:w="8480" w:type="dxa"/>
        <w:tblLook w:val="04A0" w:firstRow="1" w:lastRow="0" w:firstColumn="1" w:lastColumn="0" w:noHBand="0" w:noVBand="1"/>
      </w:tblPr>
      <w:tblGrid>
        <w:gridCol w:w="2520"/>
        <w:gridCol w:w="1480"/>
        <w:gridCol w:w="1760"/>
        <w:gridCol w:w="2720"/>
      </w:tblGrid>
      <w:tr w:rsidR="00FE059C" w:rsidRPr="005A1511" w14:paraId="775B7E51" w14:textId="77777777" w:rsidTr="00FE059C">
        <w:trPr>
          <w:trHeight w:val="73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5F54E"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sz w:val="18"/>
                <w:szCs w:val="18"/>
              </w:rPr>
            </w:pPr>
            <w:r w:rsidRPr="005A1511">
              <w:rPr>
                <w:rFonts w:ascii="Arial" w:eastAsia="Times New Roman" w:hAnsi="Arial" w:cs="Arial"/>
                <w:b/>
                <w:sz w:val="18"/>
                <w:szCs w:val="18"/>
              </w:rPr>
              <w:t>Region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0748C" w14:textId="76FB6DE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sz w:val="18"/>
                <w:szCs w:val="18"/>
              </w:rPr>
            </w:pPr>
            <w:r w:rsidRPr="005A1511">
              <w:rPr>
                <w:rFonts w:ascii="Arial" w:eastAsia="Times New Roman" w:hAnsi="Arial" w:cs="Arial"/>
                <w:b/>
                <w:bCs/>
                <w:sz w:val="18"/>
                <w:szCs w:val="18"/>
              </w:rPr>
              <w:t xml:space="preserve">Total </w:t>
            </w:r>
            <w:r w:rsidR="00331215" w:rsidRPr="005A1511">
              <w:rPr>
                <w:rFonts w:ascii="Arial" w:eastAsia="Times New Roman" w:hAnsi="Arial" w:cs="Arial"/>
                <w:b/>
                <w:bCs/>
                <w:sz w:val="18"/>
                <w:szCs w:val="18"/>
              </w:rPr>
              <w:t>Consultation</w:t>
            </w:r>
            <w:r w:rsidRPr="005A1511">
              <w:rPr>
                <w:rFonts w:ascii="Arial" w:eastAsia="Times New Roman" w:hAnsi="Arial" w:cs="Arial"/>
                <w:b/>
                <w:bCs/>
                <w:sz w:val="18"/>
                <w:szCs w:val="18"/>
              </w:rPr>
              <w:t>s</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3F613"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sz w:val="18"/>
                <w:szCs w:val="18"/>
              </w:rPr>
            </w:pPr>
            <w:r w:rsidRPr="005A1511">
              <w:rPr>
                <w:rFonts w:ascii="Arial" w:eastAsia="Times New Roman" w:hAnsi="Arial" w:cs="Arial"/>
                <w:b/>
                <w:sz w:val="18"/>
                <w:szCs w:val="18"/>
              </w:rPr>
              <w:t>Percentage with no GP ODS code</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64213A"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sz w:val="18"/>
                <w:szCs w:val="18"/>
              </w:rPr>
            </w:pPr>
            <w:r w:rsidRPr="005A1511">
              <w:rPr>
                <w:rFonts w:ascii="Arial" w:eastAsia="Times New Roman" w:hAnsi="Arial" w:cs="Arial"/>
                <w:b/>
                <w:sz w:val="18"/>
                <w:szCs w:val="18"/>
              </w:rPr>
              <w:t>Percentage with GP ODS code not matching NHSBSA data</w:t>
            </w:r>
          </w:p>
        </w:tc>
      </w:tr>
      <w:tr w:rsidR="00FE059C" w:rsidRPr="005A1511" w14:paraId="71C2CFE8" w14:textId="77777777" w:rsidTr="00FE059C">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9D7E0"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EAST OF ENGLAND</w:t>
            </w:r>
          </w:p>
        </w:tc>
        <w:tc>
          <w:tcPr>
            <w:tcW w:w="1480" w:type="dxa"/>
            <w:tcBorders>
              <w:top w:val="nil"/>
              <w:left w:val="nil"/>
              <w:bottom w:val="single" w:sz="4" w:space="0" w:color="auto"/>
              <w:right w:val="single" w:sz="4" w:space="0" w:color="auto"/>
            </w:tcBorders>
            <w:shd w:val="clear" w:color="auto" w:fill="auto"/>
            <w:noWrap/>
            <w:vAlign w:val="bottom"/>
            <w:hideMark/>
          </w:tcPr>
          <w:p w14:paraId="70AB55F5"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164,475 </w:t>
            </w:r>
          </w:p>
        </w:tc>
        <w:tc>
          <w:tcPr>
            <w:tcW w:w="1760" w:type="dxa"/>
            <w:tcBorders>
              <w:top w:val="nil"/>
              <w:left w:val="nil"/>
              <w:bottom w:val="single" w:sz="4" w:space="0" w:color="auto"/>
              <w:right w:val="single" w:sz="4" w:space="0" w:color="auto"/>
            </w:tcBorders>
            <w:shd w:val="clear" w:color="auto" w:fill="auto"/>
            <w:noWrap/>
            <w:vAlign w:val="bottom"/>
            <w:hideMark/>
          </w:tcPr>
          <w:p w14:paraId="780D90EF"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0.005</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E279F"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1.23</w:t>
            </w:r>
          </w:p>
        </w:tc>
      </w:tr>
      <w:tr w:rsidR="00FE059C" w:rsidRPr="005A1511" w14:paraId="50BDE2D5" w14:textId="77777777" w:rsidTr="00FE059C">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EC9E"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LONDON</w:t>
            </w:r>
          </w:p>
        </w:tc>
        <w:tc>
          <w:tcPr>
            <w:tcW w:w="1480" w:type="dxa"/>
            <w:tcBorders>
              <w:top w:val="nil"/>
              <w:left w:val="nil"/>
              <w:bottom w:val="single" w:sz="4" w:space="0" w:color="auto"/>
              <w:right w:val="single" w:sz="4" w:space="0" w:color="auto"/>
            </w:tcBorders>
            <w:shd w:val="clear" w:color="auto" w:fill="auto"/>
            <w:noWrap/>
            <w:vAlign w:val="bottom"/>
            <w:hideMark/>
          </w:tcPr>
          <w:p w14:paraId="26B8549F"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195,137 </w:t>
            </w:r>
          </w:p>
        </w:tc>
        <w:tc>
          <w:tcPr>
            <w:tcW w:w="1760" w:type="dxa"/>
            <w:tcBorders>
              <w:top w:val="nil"/>
              <w:left w:val="nil"/>
              <w:bottom w:val="single" w:sz="4" w:space="0" w:color="auto"/>
              <w:right w:val="single" w:sz="4" w:space="0" w:color="auto"/>
            </w:tcBorders>
            <w:shd w:val="clear" w:color="auto" w:fill="auto"/>
            <w:noWrap/>
            <w:vAlign w:val="bottom"/>
            <w:hideMark/>
          </w:tcPr>
          <w:p w14:paraId="08932ED5"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0.014</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85768"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1.67</w:t>
            </w:r>
          </w:p>
        </w:tc>
      </w:tr>
      <w:tr w:rsidR="00FE059C" w:rsidRPr="005A1511" w14:paraId="180DC6E3" w14:textId="77777777" w:rsidTr="00FE059C">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3EC1C"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MIDLANDS</w:t>
            </w:r>
          </w:p>
        </w:tc>
        <w:tc>
          <w:tcPr>
            <w:tcW w:w="1480" w:type="dxa"/>
            <w:tcBorders>
              <w:top w:val="nil"/>
              <w:left w:val="nil"/>
              <w:bottom w:val="single" w:sz="4" w:space="0" w:color="auto"/>
              <w:right w:val="single" w:sz="4" w:space="0" w:color="auto"/>
            </w:tcBorders>
            <w:shd w:val="clear" w:color="auto" w:fill="auto"/>
            <w:noWrap/>
            <w:vAlign w:val="bottom"/>
            <w:hideMark/>
          </w:tcPr>
          <w:p w14:paraId="5475A2C5"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309,298 </w:t>
            </w:r>
          </w:p>
        </w:tc>
        <w:tc>
          <w:tcPr>
            <w:tcW w:w="1760" w:type="dxa"/>
            <w:tcBorders>
              <w:top w:val="nil"/>
              <w:left w:val="nil"/>
              <w:bottom w:val="single" w:sz="4" w:space="0" w:color="auto"/>
              <w:right w:val="single" w:sz="4" w:space="0" w:color="auto"/>
            </w:tcBorders>
            <w:shd w:val="clear" w:color="auto" w:fill="auto"/>
            <w:noWrap/>
            <w:vAlign w:val="bottom"/>
            <w:hideMark/>
          </w:tcPr>
          <w:p w14:paraId="3FF24D09"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0.011</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23A92"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1.66</w:t>
            </w:r>
          </w:p>
        </w:tc>
      </w:tr>
      <w:tr w:rsidR="00FE059C" w:rsidRPr="005A1511" w14:paraId="0690F4DE" w14:textId="77777777" w:rsidTr="00FE059C">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3AFC1"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NORTH EAST AND YORKSHIRE</w:t>
            </w:r>
          </w:p>
        </w:tc>
        <w:tc>
          <w:tcPr>
            <w:tcW w:w="1480" w:type="dxa"/>
            <w:tcBorders>
              <w:top w:val="nil"/>
              <w:left w:val="nil"/>
              <w:bottom w:val="single" w:sz="4" w:space="0" w:color="auto"/>
              <w:right w:val="single" w:sz="4" w:space="0" w:color="auto"/>
            </w:tcBorders>
            <w:shd w:val="clear" w:color="auto" w:fill="auto"/>
            <w:noWrap/>
            <w:vAlign w:val="bottom"/>
            <w:hideMark/>
          </w:tcPr>
          <w:p w14:paraId="33CA6F48"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251,721 </w:t>
            </w:r>
          </w:p>
        </w:tc>
        <w:tc>
          <w:tcPr>
            <w:tcW w:w="1760" w:type="dxa"/>
            <w:tcBorders>
              <w:top w:val="nil"/>
              <w:left w:val="nil"/>
              <w:bottom w:val="single" w:sz="4" w:space="0" w:color="auto"/>
              <w:right w:val="single" w:sz="4" w:space="0" w:color="auto"/>
            </w:tcBorders>
            <w:shd w:val="clear" w:color="auto" w:fill="auto"/>
            <w:noWrap/>
            <w:vAlign w:val="bottom"/>
            <w:hideMark/>
          </w:tcPr>
          <w:p w14:paraId="781BF3C5"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0.006</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3CBDE"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0.98</w:t>
            </w:r>
          </w:p>
        </w:tc>
      </w:tr>
      <w:tr w:rsidR="00FE059C" w:rsidRPr="005A1511" w14:paraId="5C2A74DC" w14:textId="77777777" w:rsidTr="00FE059C">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EADBD"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NORTH WEST</w:t>
            </w:r>
          </w:p>
        </w:tc>
        <w:tc>
          <w:tcPr>
            <w:tcW w:w="1480" w:type="dxa"/>
            <w:tcBorders>
              <w:top w:val="nil"/>
              <w:left w:val="nil"/>
              <w:bottom w:val="single" w:sz="4" w:space="0" w:color="auto"/>
              <w:right w:val="single" w:sz="4" w:space="0" w:color="auto"/>
            </w:tcBorders>
            <w:shd w:val="clear" w:color="auto" w:fill="auto"/>
            <w:noWrap/>
            <w:vAlign w:val="bottom"/>
            <w:hideMark/>
          </w:tcPr>
          <w:p w14:paraId="082BCAE9"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219,939 </w:t>
            </w:r>
          </w:p>
        </w:tc>
        <w:tc>
          <w:tcPr>
            <w:tcW w:w="1760" w:type="dxa"/>
            <w:tcBorders>
              <w:top w:val="nil"/>
              <w:left w:val="nil"/>
              <w:bottom w:val="single" w:sz="4" w:space="0" w:color="auto"/>
              <w:right w:val="single" w:sz="4" w:space="0" w:color="auto"/>
            </w:tcBorders>
            <w:shd w:val="clear" w:color="auto" w:fill="auto"/>
            <w:noWrap/>
            <w:vAlign w:val="bottom"/>
            <w:hideMark/>
          </w:tcPr>
          <w:p w14:paraId="1313F64F"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0.016</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CFEDE"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1.78</w:t>
            </w:r>
          </w:p>
        </w:tc>
      </w:tr>
      <w:tr w:rsidR="00FE059C" w:rsidRPr="005A1511" w14:paraId="2AF54F78" w14:textId="77777777" w:rsidTr="00FE059C">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1F4DC"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SOUTH EAST</w:t>
            </w:r>
          </w:p>
        </w:tc>
        <w:tc>
          <w:tcPr>
            <w:tcW w:w="1480" w:type="dxa"/>
            <w:tcBorders>
              <w:top w:val="nil"/>
              <w:left w:val="nil"/>
              <w:bottom w:val="single" w:sz="4" w:space="0" w:color="auto"/>
              <w:right w:val="single" w:sz="4" w:space="0" w:color="auto"/>
            </w:tcBorders>
            <w:shd w:val="clear" w:color="auto" w:fill="auto"/>
            <w:noWrap/>
            <w:vAlign w:val="bottom"/>
            <w:hideMark/>
          </w:tcPr>
          <w:p w14:paraId="08AB8D11"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215,000 </w:t>
            </w:r>
          </w:p>
        </w:tc>
        <w:tc>
          <w:tcPr>
            <w:tcW w:w="1760" w:type="dxa"/>
            <w:tcBorders>
              <w:top w:val="nil"/>
              <w:left w:val="nil"/>
              <w:bottom w:val="single" w:sz="4" w:space="0" w:color="auto"/>
              <w:right w:val="single" w:sz="4" w:space="0" w:color="auto"/>
            </w:tcBorders>
            <w:shd w:val="clear" w:color="auto" w:fill="auto"/>
            <w:noWrap/>
            <w:vAlign w:val="bottom"/>
            <w:hideMark/>
          </w:tcPr>
          <w:p w14:paraId="384F834B"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0.01</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C9DF9"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1.92</w:t>
            </w:r>
          </w:p>
        </w:tc>
      </w:tr>
      <w:tr w:rsidR="00FE059C" w:rsidRPr="005A1511" w14:paraId="33E28743" w14:textId="77777777" w:rsidTr="00FE059C">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68BA8"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SOUTH WEST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8766F"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141,514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46853"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0.004</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3167D" w14:textId="77777777" w:rsidR="00FE059C" w:rsidRPr="005A1511" w:rsidRDefault="00FE059C" w:rsidP="00FE059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1.48</w:t>
            </w:r>
          </w:p>
        </w:tc>
      </w:tr>
    </w:tbl>
    <w:p w14:paraId="26D28457" w14:textId="77777777" w:rsidR="002F7E95" w:rsidRPr="005A1511" w:rsidRDefault="002F7E95" w:rsidP="002F7E95">
      <w:pPr>
        <w:rPr>
          <w:rFonts w:ascii="Arial" w:hAnsi="Arial" w:cs="Arial"/>
        </w:rPr>
      </w:pPr>
    </w:p>
    <w:p w14:paraId="5509E770" w14:textId="7AE9FAC6" w:rsidR="00424DDA" w:rsidRPr="005A1511" w:rsidRDefault="00424DDA" w:rsidP="002F7E95">
      <w:pPr>
        <w:rPr>
          <w:rFonts w:ascii="Arial" w:hAnsi="Arial" w:cs="Arial"/>
          <w:b/>
          <w:bCs/>
          <w:sz w:val="20"/>
          <w:szCs w:val="20"/>
        </w:rPr>
      </w:pPr>
      <w:r w:rsidRPr="005A1511">
        <w:rPr>
          <w:rFonts w:ascii="Arial" w:hAnsi="Arial" w:cs="Arial"/>
          <w:b/>
          <w:bCs/>
          <w:sz w:val="20"/>
          <w:szCs w:val="20"/>
        </w:rPr>
        <w:t>Data by Clinical Pathway</w:t>
      </w:r>
    </w:p>
    <w:tbl>
      <w:tblPr>
        <w:tblW w:w="8480" w:type="dxa"/>
        <w:tblLook w:val="04A0" w:firstRow="1" w:lastRow="0" w:firstColumn="1" w:lastColumn="0" w:noHBand="0" w:noVBand="1"/>
      </w:tblPr>
      <w:tblGrid>
        <w:gridCol w:w="2520"/>
        <w:gridCol w:w="1480"/>
        <w:gridCol w:w="1760"/>
        <w:gridCol w:w="2720"/>
      </w:tblGrid>
      <w:tr w:rsidR="007F31A7" w:rsidRPr="005A1511" w14:paraId="5F95B96E" w14:textId="77777777" w:rsidTr="007F31A7">
        <w:trPr>
          <w:trHeight w:val="49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16245"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sz w:val="18"/>
                <w:szCs w:val="18"/>
              </w:rPr>
            </w:pPr>
            <w:r w:rsidRPr="005A1511">
              <w:rPr>
                <w:rFonts w:ascii="Arial" w:eastAsia="Times New Roman" w:hAnsi="Arial" w:cs="Arial"/>
                <w:b/>
                <w:sz w:val="18"/>
                <w:szCs w:val="18"/>
              </w:rPr>
              <w:t>Clinical Pathway</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3B5EC" w14:textId="689FAA02"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sz w:val="18"/>
                <w:szCs w:val="18"/>
              </w:rPr>
            </w:pPr>
            <w:r w:rsidRPr="005A1511">
              <w:rPr>
                <w:rFonts w:ascii="Arial" w:eastAsia="Times New Roman" w:hAnsi="Arial" w:cs="Arial"/>
                <w:b/>
                <w:bCs/>
                <w:sz w:val="18"/>
                <w:szCs w:val="18"/>
              </w:rPr>
              <w:t xml:space="preserve">Total </w:t>
            </w:r>
            <w:r w:rsidR="00331215" w:rsidRPr="005A1511">
              <w:rPr>
                <w:rFonts w:ascii="Arial" w:eastAsia="Times New Roman" w:hAnsi="Arial" w:cs="Arial"/>
                <w:b/>
                <w:bCs/>
                <w:sz w:val="18"/>
                <w:szCs w:val="18"/>
              </w:rPr>
              <w:t>Consultation</w:t>
            </w:r>
            <w:r w:rsidRPr="005A1511">
              <w:rPr>
                <w:rFonts w:ascii="Arial" w:eastAsia="Times New Roman" w:hAnsi="Arial" w:cs="Arial"/>
                <w:b/>
                <w:bCs/>
                <w:sz w:val="18"/>
                <w:szCs w:val="18"/>
              </w:rPr>
              <w:t>s</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F71C29"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sz w:val="18"/>
                <w:szCs w:val="18"/>
              </w:rPr>
            </w:pPr>
            <w:r w:rsidRPr="005A1511">
              <w:rPr>
                <w:rFonts w:ascii="Arial" w:eastAsia="Times New Roman" w:hAnsi="Arial" w:cs="Arial"/>
                <w:b/>
                <w:sz w:val="18"/>
                <w:szCs w:val="18"/>
              </w:rPr>
              <w:t>Percentage with no GP ODS code</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053A6"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sz w:val="18"/>
                <w:szCs w:val="18"/>
              </w:rPr>
            </w:pPr>
            <w:r w:rsidRPr="005A1511">
              <w:rPr>
                <w:rFonts w:ascii="Arial" w:eastAsia="Times New Roman" w:hAnsi="Arial" w:cs="Arial"/>
                <w:b/>
                <w:sz w:val="18"/>
                <w:szCs w:val="18"/>
              </w:rPr>
              <w:t>Percentage with GP ODS code not matching NHSBSA data</w:t>
            </w:r>
          </w:p>
        </w:tc>
      </w:tr>
      <w:tr w:rsidR="007F31A7" w:rsidRPr="005A1511" w14:paraId="74E9CB95" w14:textId="77777777" w:rsidTr="007F31A7">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79EA9"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Acute Otitis Media</w:t>
            </w:r>
          </w:p>
        </w:tc>
        <w:tc>
          <w:tcPr>
            <w:tcW w:w="1480" w:type="dxa"/>
            <w:tcBorders>
              <w:top w:val="nil"/>
              <w:left w:val="nil"/>
              <w:bottom w:val="single" w:sz="4" w:space="0" w:color="auto"/>
              <w:right w:val="single" w:sz="4" w:space="0" w:color="auto"/>
            </w:tcBorders>
            <w:shd w:val="clear" w:color="auto" w:fill="auto"/>
            <w:noWrap/>
            <w:vAlign w:val="bottom"/>
            <w:hideMark/>
          </w:tcPr>
          <w:p w14:paraId="6F8E69DF"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168,390 </w:t>
            </w:r>
          </w:p>
        </w:tc>
        <w:tc>
          <w:tcPr>
            <w:tcW w:w="1760" w:type="dxa"/>
            <w:tcBorders>
              <w:top w:val="nil"/>
              <w:left w:val="nil"/>
              <w:bottom w:val="single" w:sz="4" w:space="0" w:color="auto"/>
              <w:right w:val="single" w:sz="4" w:space="0" w:color="auto"/>
            </w:tcBorders>
            <w:shd w:val="clear" w:color="auto" w:fill="auto"/>
            <w:noWrap/>
            <w:vAlign w:val="bottom"/>
            <w:hideMark/>
          </w:tcPr>
          <w:p w14:paraId="45807DDB"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0.008</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91F7C"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1.39</w:t>
            </w:r>
          </w:p>
        </w:tc>
      </w:tr>
      <w:tr w:rsidR="007F31A7" w:rsidRPr="005A1511" w14:paraId="5533FC02" w14:textId="77777777" w:rsidTr="007F31A7">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416ED"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Acute Sore Throat</w:t>
            </w:r>
          </w:p>
        </w:tc>
        <w:tc>
          <w:tcPr>
            <w:tcW w:w="1480" w:type="dxa"/>
            <w:tcBorders>
              <w:top w:val="nil"/>
              <w:left w:val="nil"/>
              <w:bottom w:val="single" w:sz="4" w:space="0" w:color="auto"/>
              <w:right w:val="single" w:sz="4" w:space="0" w:color="auto"/>
            </w:tcBorders>
            <w:shd w:val="clear" w:color="auto" w:fill="auto"/>
            <w:noWrap/>
            <w:vAlign w:val="bottom"/>
            <w:hideMark/>
          </w:tcPr>
          <w:p w14:paraId="11606F6C"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473,243 </w:t>
            </w:r>
          </w:p>
        </w:tc>
        <w:tc>
          <w:tcPr>
            <w:tcW w:w="1760" w:type="dxa"/>
            <w:tcBorders>
              <w:top w:val="nil"/>
              <w:left w:val="nil"/>
              <w:bottom w:val="single" w:sz="4" w:space="0" w:color="auto"/>
              <w:right w:val="single" w:sz="4" w:space="0" w:color="auto"/>
            </w:tcBorders>
            <w:shd w:val="clear" w:color="auto" w:fill="auto"/>
            <w:noWrap/>
            <w:vAlign w:val="bottom"/>
            <w:hideMark/>
          </w:tcPr>
          <w:p w14:paraId="3B9F363C"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0.011</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077E2"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1.64</w:t>
            </w:r>
          </w:p>
        </w:tc>
      </w:tr>
      <w:tr w:rsidR="007F31A7" w:rsidRPr="005A1511" w14:paraId="6E0079CB" w14:textId="77777777" w:rsidTr="007F31A7">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7A993"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Impetigo</w:t>
            </w:r>
          </w:p>
        </w:tc>
        <w:tc>
          <w:tcPr>
            <w:tcW w:w="1480" w:type="dxa"/>
            <w:tcBorders>
              <w:top w:val="nil"/>
              <w:left w:val="nil"/>
              <w:bottom w:val="single" w:sz="4" w:space="0" w:color="auto"/>
              <w:right w:val="single" w:sz="4" w:space="0" w:color="auto"/>
            </w:tcBorders>
            <w:shd w:val="clear" w:color="auto" w:fill="auto"/>
            <w:noWrap/>
            <w:vAlign w:val="bottom"/>
            <w:hideMark/>
          </w:tcPr>
          <w:p w14:paraId="2C1145DE"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65,316 </w:t>
            </w:r>
          </w:p>
        </w:tc>
        <w:tc>
          <w:tcPr>
            <w:tcW w:w="1760" w:type="dxa"/>
            <w:tcBorders>
              <w:top w:val="nil"/>
              <w:left w:val="nil"/>
              <w:bottom w:val="single" w:sz="4" w:space="0" w:color="auto"/>
              <w:right w:val="single" w:sz="4" w:space="0" w:color="auto"/>
            </w:tcBorders>
            <w:shd w:val="clear" w:color="auto" w:fill="auto"/>
            <w:noWrap/>
            <w:vAlign w:val="bottom"/>
            <w:hideMark/>
          </w:tcPr>
          <w:p w14:paraId="2DB22AD8"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0.015</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2681A"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1.45</w:t>
            </w:r>
          </w:p>
        </w:tc>
      </w:tr>
      <w:tr w:rsidR="007F31A7" w:rsidRPr="005A1511" w14:paraId="32882494" w14:textId="77777777" w:rsidTr="007F31A7">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D6479"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Infected Insect Bites</w:t>
            </w:r>
          </w:p>
        </w:tc>
        <w:tc>
          <w:tcPr>
            <w:tcW w:w="1480" w:type="dxa"/>
            <w:tcBorders>
              <w:top w:val="nil"/>
              <w:left w:val="nil"/>
              <w:bottom w:val="single" w:sz="4" w:space="0" w:color="auto"/>
              <w:right w:val="single" w:sz="4" w:space="0" w:color="auto"/>
            </w:tcBorders>
            <w:shd w:val="clear" w:color="auto" w:fill="auto"/>
            <w:noWrap/>
            <w:vAlign w:val="bottom"/>
            <w:hideMark/>
          </w:tcPr>
          <w:p w14:paraId="6B143605"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180,819 </w:t>
            </w:r>
          </w:p>
        </w:tc>
        <w:tc>
          <w:tcPr>
            <w:tcW w:w="1760" w:type="dxa"/>
            <w:tcBorders>
              <w:top w:val="nil"/>
              <w:left w:val="nil"/>
              <w:bottom w:val="single" w:sz="4" w:space="0" w:color="auto"/>
              <w:right w:val="single" w:sz="4" w:space="0" w:color="auto"/>
            </w:tcBorders>
            <w:shd w:val="clear" w:color="auto" w:fill="auto"/>
            <w:noWrap/>
            <w:vAlign w:val="bottom"/>
            <w:hideMark/>
          </w:tcPr>
          <w:p w14:paraId="01694346"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0.006</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85CF"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1.57</w:t>
            </w:r>
          </w:p>
        </w:tc>
      </w:tr>
      <w:tr w:rsidR="007F31A7" w:rsidRPr="005A1511" w14:paraId="0A868109" w14:textId="77777777" w:rsidTr="007F31A7">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0008F"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Shingles</w:t>
            </w:r>
          </w:p>
        </w:tc>
        <w:tc>
          <w:tcPr>
            <w:tcW w:w="1480" w:type="dxa"/>
            <w:tcBorders>
              <w:top w:val="nil"/>
              <w:left w:val="nil"/>
              <w:bottom w:val="single" w:sz="4" w:space="0" w:color="auto"/>
              <w:right w:val="single" w:sz="4" w:space="0" w:color="auto"/>
            </w:tcBorders>
            <w:shd w:val="clear" w:color="auto" w:fill="auto"/>
            <w:noWrap/>
            <w:vAlign w:val="bottom"/>
            <w:hideMark/>
          </w:tcPr>
          <w:p w14:paraId="315229AB"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42,399 </w:t>
            </w:r>
          </w:p>
        </w:tc>
        <w:tc>
          <w:tcPr>
            <w:tcW w:w="1760" w:type="dxa"/>
            <w:tcBorders>
              <w:top w:val="nil"/>
              <w:left w:val="nil"/>
              <w:bottom w:val="single" w:sz="4" w:space="0" w:color="auto"/>
              <w:right w:val="single" w:sz="4" w:space="0" w:color="auto"/>
            </w:tcBorders>
            <w:shd w:val="clear" w:color="auto" w:fill="auto"/>
            <w:noWrap/>
            <w:vAlign w:val="bottom"/>
            <w:hideMark/>
          </w:tcPr>
          <w:p w14:paraId="3815560B"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0.012</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2C46E"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1.5</w:t>
            </w:r>
          </w:p>
        </w:tc>
      </w:tr>
      <w:tr w:rsidR="007F31A7" w:rsidRPr="005A1511" w14:paraId="08B57FBD" w14:textId="77777777" w:rsidTr="007F31A7">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0FE46"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Sinusitis</w:t>
            </w:r>
          </w:p>
        </w:tc>
        <w:tc>
          <w:tcPr>
            <w:tcW w:w="1480" w:type="dxa"/>
            <w:tcBorders>
              <w:top w:val="nil"/>
              <w:left w:val="nil"/>
              <w:bottom w:val="single" w:sz="4" w:space="0" w:color="auto"/>
              <w:right w:val="single" w:sz="4" w:space="0" w:color="auto"/>
            </w:tcBorders>
            <w:shd w:val="clear" w:color="auto" w:fill="auto"/>
            <w:noWrap/>
            <w:vAlign w:val="bottom"/>
            <w:hideMark/>
          </w:tcPr>
          <w:p w14:paraId="57F7B29F"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146,880 </w:t>
            </w:r>
          </w:p>
        </w:tc>
        <w:tc>
          <w:tcPr>
            <w:tcW w:w="1760" w:type="dxa"/>
            <w:tcBorders>
              <w:top w:val="nil"/>
              <w:left w:val="nil"/>
              <w:bottom w:val="single" w:sz="4" w:space="0" w:color="auto"/>
              <w:right w:val="single" w:sz="4" w:space="0" w:color="auto"/>
            </w:tcBorders>
            <w:shd w:val="clear" w:color="auto" w:fill="auto"/>
            <w:noWrap/>
            <w:vAlign w:val="bottom"/>
            <w:hideMark/>
          </w:tcPr>
          <w:p w14:paraId="548C6CE1"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0.007</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9DBE4"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1.49</w:t>
            </w:r>
          </w:p>
        </w:tc>
      </w:tr>
      <w:tr w:rsidR="007F31A7" w:rsidRPr="005A1511" w14:paraId="54DFB933" w14:textId="77777777" w:rsidTr="007F31A7">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23B32" w14:textId="37FB98A3"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Uncomplicated UTI</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5B639"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 xml:space="preserve">420,037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C6001"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0.011</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BE227" w14:textId="77777777" w:rsidR="007F31A7" w:rsidRPr="005A1511" w:rsidRDefault="007F31A7" w:rsidP="007F31A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1.49</w:t>
            </w:r>
          </w:p>
        </w:tc>
      </w:tr>
    </w:tbl>
    <w:p w14:paraId="1127B39B" w14:textId="77777777" w:rsidR="004A2297" w:rsidRPr="005A1511" w:rsidRDefault="004A2297" w:rsidP="004A2297">
      <w:pPr>
        <w:rPr>
          <w:rFonts w:ascii="Arial" w:hAnsi="Arial" w:cs="Arial"/>
        </w:rPr>
      </w:pPr>
    </w:p>
    <w:p w14:paraId="320A3785" w14:textId="49E910A3" w:rsidR="004A2297" w:rsidRPr="005A1511" w:rsidRDefault="002868A6" w:rsidP="004A2297">
      <w:pPr>
        <w:rPr>
          <w:rFonts w:ascii="Arial" w:hAnsi="Arial" w:cs="Arial"/>
        </w:rPr>
      </w:pPr>
      <w:r w:rsidRPr="005A1511">
        <w:rPr>
          <w:rFonts w:ascii="Arial" w:hAnsi="Arial" w:cs="Arial"/>
        </w:rPr>
        <w:t>General Practice</w:t>
      </w:r>
      <w:r w:rsidR="004A2297" w:rsidRPr="005A1511">
        <w:rPr>
          <w:rFonts w:ascii="Arial" w:hAnsi="Arial" w:cs="Arial"/>
        </w:rPr>
        <w:t xml:space="preserve"> ODS data is reported as captured in pharmacy IT systems</w:t>
      </w:r>
      <w:r w:rsidR="008F548F" w:rsidRPr="005A1511">
        <w:rPr>
          <w:rFonts w:ascii="Arial" w:hAnsi="Arial" w:cs="Arial"/>
        </w:rPr>
        <w:t xml:space="preserve"> and is not validated by NHSBSA </w:t>
      </w:r>
      <w:r w:rsidR="000371C7" w:rsidRPr="005A1511">
        <w:rPr>
          <w:rFonts w:ascii="Arial" w:hAnsi="Arial" w:cs="Arial"/>
        </w:rPr>
        <w:t xml:space="preserve">in any way </w:t>
      </w:r>
      <w:r w:rsidR="008F548F" w:rsidRPr="005A1511">
        <w:rPr>
          <w:rFonts w:ascii="Arial" w:hAnsi="Arial" w:cs="Arial"/>
        </w:rPr>
        <w:t>during processing</w:t>
      </w:r>
      <w:r w:rsidR="000371C7" w:rsidRPr="005A1511">
        <w:rPr>
          <w:rFonts w:ascii="Arial" w:hAnsi="Arial" w:cs="Arial"/>
        </w:rPr>
        <w:t xml:space="preserve">.  For context, </w:t>
      </w:r>
      <w:r w:rsidR="003E5609" w:rsidRPr="005A1511">
        <w:rPr>
          <w:rFonts w:ascii="Arial" w:hAnsi="Arial" w:cs="Arial"/>
        </w:rPr>
        <w:t>a monthly average of 91.5</w:t>
      </w:r>
      <w:r w:rsidR="000371C7" w:rsidRPr="005A1511">
        <w:rPr>
          <w:rFonts w:ascii="Arial" w:hAnsi="Arial" w:cs="Arial"/>
        </w:rPr>
        <w:t xml:space="preserve">% of </w:t>
      </w:r>
      <w:r w:rsidR="00ED03C9" w:rsidRPr="005A1511">
        <w:rPr>
          <w:rFonts w:ascii="Arial" w:hAnsi="Arial" w:cs="Arial"/>
        </w:rPr>
        <w:t>GP</w:t>
      </w:r>
      <w:r w:rsidR="000371C7" w:rsidRPr="005A1511">
        <w:rPr>
          <w:rFonts w:ascii="Arial" w:hAnsi="Arial" w:cs="Arial"/>
        </w:rPr>
        <w:t xml:space="preserve"> ODS codes </w:t>
      </w:r>
      <w:r w:rsidR="003E5609" w:rsidRPr="005A1511">
        <w:rPr>
          <w:rFonts w:ascii="Arial" w:hAnsi="Arial" w:cs="Arial"/>
        </w:rPr>
        <w:t xml:space="preserve">captured in Pharmacy First </w:t>
      </w:r>
      <w:r w:rsidR="000371C7" w:rsidRPr="005A1511">
        <w:rPr>
          <w:rFonts w:ascii="Arial" w:hAnsi="Arial" w:cs="Arial"/>
        </w:rPr>
        <w:t>match the data held for patient registered prac</w:t>
      </w:r>
      <w:r w:rsidR="00A86807" w:rsidRPr="005A1511">
        <w:rPr>
          <w:rFonts w:ascii="Arial" w:hAnsi="Arial" w:cs="Arial"/>
        </w:rPr>
        <w:t>tice</w:t>
      </w:r>
      <w:r w:rsidR="003E5609" w:rsidRPr="005A1511">
        <w:rPr>
          <w:rFonts w:ascii="Arial" w:hAnsi="Arial" w:cs="Arial"/>
        </w:rPr>
        <w:t xml:space="preserve"> by NHSBSA</w:t>
      </w:r>
      <w:r w:rsidR="00A86807" w:rsidRPr="005A1511">
        <w:rPr>
          <w:rFonts w:ascii="Arial" w:hAnsi="Arial" w:cs="Arial"/>
        </w:rPr>
        <w:t xml:space="preserve">, </w:t>
      </w:r>
      <w:r w:rsidR="00362221" w:rsidRPr="005A1511">
        <w:rPr>
          <w:rFonts w:ascii="Arial" w:hAnsi="Arial" w:cs="Arial"/>
        </w:rPr>
        <w:t xml:space="preserve">for the period </w:t>
      </w:r>
      <w:r w:rsidR="003E5609" w:rsidRPr="005A1511">
        <w:rPr>
          <w:rFonts w:ascii="Arial" w:hAnsi="Arial" w:cs="Arial"/>
        </w:rPr>
        <w:t xml:space="preserve">February to </w:t>
      </w:r>
      <w:r w:rsidR="00362221" w:rsidRPr="005A1511">
        <w:rPr>
          <w:rFonts w:ascii="Arial" w:hAnsi="Arial" w:cs="Arial"/>
        </w:rPr>
        <w:t>October 2024.</w:t>
      </w:r>
    </w:p>
    <w:p w14:paraId="79A0366F" w14:textId="77777777" w:rsidR="00233D86" w:rsidRPr="005A1511" w:rsidRDefault="00233D86">
      <w:pPr>
        <w:rPr>
          <w:rFonts w:ascii="Arial" w:eastAsia="Arial" w:hAnsi="Arial" w:cs="Arial"/>
          <w:b/>
        </w:rPr>
      </w:pPr>
      <w:r w:rsidRPr="005A1511">
        <w:rPr>
          <w:rFonts w:ascii="Arial" w:hAnsi="Arial" w:cs="Arial"/>
        </w:rPr>
        <w:br w:type="page"/>
      </w:r>
    </w:p>
    <w:p w14:paraId="3A99784D" w14:textId="61940138" w:rsidR="0051424A" w:rsidRPr="005A1511" w:rsidRDefault="00E40459" w:rsidP="0051424A">
      <w:pPr>
        <w:pStyle w:val="Heading2"/>
        <w:rPr>
          <w:sz w:val="22"/>
          <w:szCs w:val="22"/>
        </w:rPr>
      </w:pPr>
      <w:bookmarkStart w:id="57" w:name="_Toc189144451"/>
      <w:r w:rsidRPr="005A1511">
        <w:rPr>
          <w:sz w:val="22"/>
          <w:szCs w:val="22"/>
        </w:rPr>
        <w:lastRenderedPageBreak/>
        <w:t>Consultation r</w:t>
      </w:r>
      <w:r w:rsidR="0051424A" w:rsidRPr="005A1511">
        <w:rPr>
          <w:sz w:val="22"/>
          <w:szCs w:val="22"/>
        </w:rPr>
        <w:t>ecords with</w:t>
      </w:r>
      <w:r w:rsidRPr="005A1511">
        <w:rPr>
          <w:sz w:val="22"/>
          <w:szCs w:val="22"/>
        </w:rPr>
        <w:t>out valid</w:t>
      </w:r>
      <w:r w:rsidR="00E455FA" w:rsidRPr="005A1511">
        <w:rPr>
          <w:sz w:val="22"/>
          <w:szCs w:val="22"/>
        </w:rPr>
        <w:t xml:space="preserve"> NHS numbers</w:t>
      </w:r>
      <w:bookmarkEnd w:id="57"/>
    </w:p>
    <w:p w14:paraId="1DB198F8" w14:textId="6B3610E0" w:rsidR="00E455FA" w:rsidRPr="005A1511" w:rsidRDefault="00D92627" w:rsidP="00E455FA">
      <w:pPr>
        <w:rPr>
          <w:rFonts w:ascii="Arial" w:hAnsi="Arial" w:cs="Arial"/>
        </w:rPr>
      </w:pPr>
      <w:r w:rsidRPr="005A1511">
        <w:rPr>
          <w:rFonts w:ascii="Arial" w:hAnsi="Arial" w:cs="Arial"/>
        </w:rPr>
        <w:t>Some Pharmacy First</w:t>
      </w:r>
      <w:r w:rsidR="004B0981" w:rsidRPr="005A1511">
        <w:rPr>
          <w:rFonts w:ascii="Arial" w:hAnsi="Arial" w:cs="Arial"/>
        </w:rPr>
        <w:t xml:space="preserve"> consultation records have been </w:t>
      </w:r>
      <w:r w:rsidRPr="005A1511">
        <w:rPr>
          <w:rFonts w:ascii="Arial" w:hAnsi="Arial" w:cs="Arial"/>
        </w:rPr>
        <w:t xml:space="preserve">recorded </w:t>
      </w:r>
      <w:r w:rsidR="004B0981" w:rsidRPr="005A1511">
        <w:rPr>
          <w:rFonts w:ascii="Arial" w:hAnsi="Arial" w:cs="Arial"/>
        </w:rPr>
        <w:t xml:space="preserve">without a valid NHS number.  This is more prevalent in pharmacy sites using the Cegedim </w:t>
      </w:r>
      <w:r w:rsidR="004827C4" w:rsidRPr="005A1511">
        <w:rPr>
          <w:rFonts w:ascii="Arial" w:hAnsi="Arial" w:cs="Arial"/>
        </w:rPr>
        <w:t>system and</w:t>
      </w:r>
      <w:r w:rsidR="009206E8" w:rsidRPr="005A1511">
        <w:rPr>
          <w:rFonts w:ascii="Arial" w:hAnsi="Arial" w:cs="Arial"/>
        </w:rPr>
        <w:t xml:space="preserve"> is not linked to any specific ICB</w:t>
      </w:r>
      <w:r w:rsidR="004827C4" w:rsidRPr="005A1511">
        <w:rPr>
          <w:rFonts w:ascii="Arial" w:hAnsi="Arial" w:cs="Arial"/>
        </w:rPr>
        <w:t xml:space="preserve">, NHS </w:t>
      </w:r>
      <w:r w:rsidR="009206E8" w:rsidRPr="005A1511">
        <w:rPr>
          <w:rFonts w:ascii="Arial" w:hAnsi="Arial" w:cs="Arial"/>
        </w:rPr>
        <w:t>region</w:t>
      </w:r>
      <w:r w:rsidR="004827C4" w:rsidRPr="005A1511">
        <w:rPr>
          <w:rFonts w:ascii="Arial" w:hAnsi="Arial" w:cs="Arial"/>
        </w:rPr>
        <w:t xml:space="preserve"> or clinical pathway</w:t>
      </w:r>
      <w:r w:rsidR="009206E8" w:rsidRPr="005A1511">
        <w:rPr>
          <w:rFonts w:ascii="Arial" w:hAnsi="Arial" w:cs="Arial"/>
        </w:rPr>
        <w:t>.</w:t>
      </w:r>
    </w:p>
    <w:p w14:paraId="1C8CEBC7" w14:textId="3CE6A420" w:rsidR="009206E8" w:rsidRPr="005A1511" w:rsidRDefault="009206E8" w:rsidP="00E455FA">
      <w:pPr>
        <w:rPr>
          <w:rFonts w:ascii="Arial" w:hAnsi="Arial" w:cs="Arial"/>
        </w:rPr>
      </w:pPr>
      <w:r w:rsidRPr="005A1511">
        <w:rPr>
          <w:rFonts w:ascii="Arial" w:hAnsi="Arial" w:cs="Arial"/>
        </w:rPr>
        <w:t xml:space="preserve">For the period February to October 2024, the </w:t>
      </w:r>
      <w:r w:rsidR="00970633" w:rsidRPr="005A1511">
        <w:rPr>
          <w:rFonts w:ascii="Arial" w:hAnsi="Arial" w:cs="Arial"/>
        </w:rPr>
        <w:t>number and percentage of consultations captured without a valid NHS number are as follows</w:t>
      </w:r>
      <w:r w:rsidR="00E312A4" w:rsidRPr="005A1511">
        <w:rPr>
          <w:rFonts w:ascii="Arial" w:hAnsi="Arial" w:cs="Arial"/>
        </w:rPr>
        <w:t xml:space="preserve"> (shown by region, clinical pathway, and supplier)</w:t>
      </w:r>
      <w:r w:rsidR="00970633" w:rsidRPr="005A1511">
        <w:rPr>
          <w:rFonts w:ascii="Arial" w:hAnsi="Arial" w:cs="Arial"/>
        </w:rPr>
        <w:t>:</w:t>
      </w:r>
    </w:p>
    <w:tbl>
      <w:tblPr>
        <w:tblW w:w="8500" w:type="dxa"/>
        <w:tblLook w:val="04A0" w:firstRow="1" w:lastRow="0" w:firstColumn="1" w:lastColumn="0" w:noHBand="0" w:noVBand="1"/>
      </w:tblPr>
      <w:tblGrid>
        <w:gridCol w:w="2122"/>
        <w:gridCol w:w="1468"/>
        <w:gridCol w:w="2217"/>
        <w:gridCol w:w="2693"/>
      </w:tblGrid>
      <w:tr w:rsidR="00AB5BED" w:rsidRPr="005A1511" w14:paraId="7EC545B2" w14:textId="77777777" w:rsidTr="00AB5BE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74E85"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sz w:val="18"/>
                <w:szCs w:val="18"/>
              </w:rPr>
            </w:pPr>
            <w:r w:rsidRPr="005A1511">
              <w:rPr>
                <w:rFonts w:ascii="Arial" w:eastAsia="Times New Roman" w:hAnsi="Arial" w:cs="Arial"/>
                <w:b/>
                <w:bCs/>
                <w:sz w:val="18"/>
                <w:szCs w:val="18"/>
              </w:rPr>
              <w:t>Region</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C1F6D" w14:textId="77777777" w:rsidR="00AB5BED" w:rsidRPr="005A1511" w:rsidRDefault="00AB5BED" w:rsidP="00E312A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Total Consultations</w:t>
            </w:r>
          </w:p>
        </w:tc>
        <w:tc>
          <w:tcPr>
            <w:tcW w:w="2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E9402" w14:textId="77777777" w:rsidR="00AB5BED" w:rsidRPr="005A1511" w:rsidRDefault="00AB5BED" w:rsidP="00E312A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Consultations without valid NHS number</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0CA7F" w14:textId="77777777" w:rsidR="00AB5BED" w:rsidRPr="005A1511" w:rsidRDefault="00AB5BED" w:rsidP="00E312A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Percentage of consultation without NHS number</w:t>
            </w:r>
          </w:p>
        </w:tc>
      </w:tr>
      <w:tr w:rsidR="00AB5BED" w:rsidRPr="005A1511" w14:paraId="38963864" w14:textId="77777777" w:rsidTr="00AB5BE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FBC84"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EAST OF ENGLAND</w:t>
            </w:r>
          </w:p>
        </w:tc>
        <w:tc>
          <w:tcPr>
            <w:tcW w:w="1468" w:type="dxa"/>
            <w:tcBorders>
              <w:top w:val="nil"/>
              <w:left w:val="nil"/>
              <w:bottom w:val="single" w:sz="4" w:space="0" w:color="auto"/>
              <w:right w:val="single" w:sz="4" w:space="0" w:color="auto"/>
            </w:tcBorders>
            <w:shd w:val="clear" w:color="auto" w:fill="auto"/>
            <w:noWrap/>
            <w:vAlign w:val="bottom"/>
            <w:hideMark/>
          </w:tcPr>
          <w:p w14:paraId="03C001BA"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164,475</w:t>
            </w:r>
          </w:p>
        </w:tc>
        <w:tc>
          <w:tcPr>
            <w:tcW w:w="2217" w:type="dxa"/>
            <w:tcBorders>
              <w:top w:val="nil"/>
              <w:left w:val="nil"/>
              <w:bottom w:val="single" w:sz="4" w:space="0" w:color="auto"/>
              <w:right w:val="single" w:sz="4" w:space="0" w:color="auto"/>
            </w:tcBorders>
            <w:shd w:val="clear" w:color="auto" w:fill="auto"/>
            <w:noWrap/>
            <w:vAlign w:val="bottom"/>
            <w:hideMark/>
          </w:tcPr>
          <w:p w14:paraId="780EF417"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1,190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7070C"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0.72</w:t>
            </w:r>
          </w:p>
        </w:tc>
      </w:tr>
      <w:tr w:rsidR="00AB5BED" w:rsidRPr="005A1511" w14:paraId="79B9B763" w14:textId="77777777" w:rsidTr="00AB5BE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E36DB"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LONDON</w:t>
            </w:r>
          </w:p>
        </w:tc>
        <w:tc>
          <w:tcPr>
            <w:tcW w:w="1468" w:type="dxa"/>
            <w:tcBorders>
              <w:top w:val="nil"/>
              <w:left w:val="nil"/>
              <w:bottom w:val="single" w:sz="4" w:space="0" w:color="auto"/>
              <w:right w:val="single" w:sz="4" w:space="0" w:color="auto"/>
            </w:tcBorders>
            <w:shd w:val="clear" w:color="auto" w:fill="auto"/>
            <w:noWrap/>
            <w:vAlign w:val="bottom"/>
            <w:hideMark/>
          </w:tcPr>
          <w:p w14:paraId="348B6A4B"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195,137</w:t>
            </w:r>
          </w:p>
        </w:tc>
        <w:tc>
          <w:tcPr>
            <w:tcW w:w="2217" w:type="dxa"/>
            <w:tcBorders>
              <w:top w:val="nil"/>
              <w:left w:val="nil"/>
              <w:bottom w:val="single" w:sz="4" w:space="0" w:color="auto"/>
              <w:right w:val="single" w:sz="4" w:space="0" w:color="auto"/>
            </w:tcBorders>
            <w:shd w:val="clear" w:color="auto" w:fill="auto"/>
            <w:noWrap/>
            <w:vAlign w:val="bottom"/>
            <w:hideMark/>
          </w:tcPr>
          <w:p w14:paraId="6379871A"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3,005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0D1B4"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1.54</w:t>
            </w:r>
          </w:p>
        </w:tc>
      </w:tr>
      <w:tr w:rsidR="00AB5BED" w:rsidRPr="005A1511" w14:paraId="3B7568AB" w14:textId="77777777" w:rsidTr="00AB5BE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D385D"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MIDLANDS</w:t>
            </w:r>
          </w:p>
        </w:tc>
        <w:tc>
          <w:tcPr>
            <w:tcW w:w="1468" w:type="dxa"/>
            <w:tcBorders>
              <w:top w:val="nil"/>
              <w:left w:val="nil"/>
              <w:bottom w:val="single" w:sz="4" w:space="0" w:color="auto"/>
              <w:right w:val="single" w:sz="4" w:space="0" w:color="auto"/>
            </w:tcBorders>
            <w:shd w:val="clear" w:color="auto" w:fill="auto"/>
            <w:noWrap/>
            <w:vAlign w:val="bottom"/>
            <w:hideMark/>
          </w:tcPr>
          <w:p w14:paraId="4A283B19"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309,298</w:t>
            </w:r>
          </w:p>
        </w:tc>
        <w:tc>
          <w:tcPr>
            <w:tcW w:w="2217" w:type="dxa"/>
            <w:tcBorders>
              <w:top w:val="nil"/>
              <w:left w:val="nil"/>
              <w:bottom w:val="single" w:sz="4" w:space="0" w:color="auto"/>
              <w:right w:val="single" w:sz="4" w:space="0" w:color="auto"/>
            </w:tcBorders>
            <w:shd w:val="clear" w:color="auto" w:fill="auto"/>
            <w:noWrap/>
            <w:vAlign w:val="bottom"/>
            <w:hideMark/>
          </w:tcPr>
          <w:p w14:paraId="04701CD4"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5,600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EB653"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1.81</w:t>
            </w:r>
          </w:p>
        </w:tc>
      </w:tr>
      <w:tr w:rsidR="00AB5BED" w:rsidRPr="005A1511" w14:paraId="59A81D4F" w14:textId="77777777" w:rsidTr="00AB5BE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D2BC9"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NORTH EAST AND YORKSHIRE</w:t>
            </w:r>
          </w:p>
        </w:tc>
        <w:tc>
          <w:tcPr>
            <w:tcW w:w="1468" w:type="dxa"/>
            <w:tcBorders>
              <w:top w:val="nil"/>
              <w:left w:val="nil"/>
              <w:bottom w:val="single" w:sz="4" w:space="0" w:color="auto"/>
              <w:right w:val="single" w:sz="4" w:space="0" w:color="auto"/>
            </w:tcBorders>
            <w:shd w:val="clear" w:color="auto" w:fill="auto"/>
            <w:noWrap/>
            <w:vAlign w:val="bottom"/>
            <w:hideMark/>
          </w:tcPr>
          <w:p w14:paraId="1FC57252"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251,721</w:t>
            </w:r>
          </w:p>
        </w:tc>
        <w:tc>
          <w:tcPr>
            <w:tcW w:w="2217" w:type="dxa"/>
            <w:tcBorders>
              <w:top w:val="nil"/>
              <w:left w:val="nil"/>
              <w:bottom w:val="single" w:sz="4" w:space="0" w:color="auto"/>
              <w:right w:val="single" w:sz="4" w:space="0" w:color="auto"/>
            </w:tcBorders>
            <w:shd w:val="clear" w:color="auto" w:fill="auto"/>
            <w:noWrap/>
            <w:vAlign w:val="bottom"/>
            <w:hideMark/>
          </w:tcPr>
          <w:p w14:paraId="74BF8562"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10,858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CF962"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4.31</w:t>
            </w:r>
          </w:p>
        </w:tc>
      </w:tr>
      <w:tr w:rsidR="00AB5BED" w:rsidRPr="005A1511" w14:paraId="69C00470" w14:textId="77777777" w:rsidTr="00AB5BE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95184"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NORTH WEST</w:t>
            </w:r>
          </w:p>
        </w:tc>
        <w:tc>
          <w:tcPr>
            <w:tcW w:w="1468" w:type="dxa"/>
            <w:tcBorders>
              <w:top w:val="nil"/>
              <w:left w:val="nil"/>
              <w:bottom w:val="single" w:sz="4" w:space="0" w:color="auto"/>
              <w:right w:val="single" w:sz="4" w:space="0" w:color="auto"/>
            </w:tcBorders>
            <w:shd w:val="clear" w:color="auto" w:fill="auto"/>
            <w:noWrap/>
            <w:vAlign w:val="bottom"/>
            <w:hideMark/>
          </w:tcPr>
          <w:p w14:paraId="46390B6C"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219,939</w:t>
            </w:r>
          </w:p>
        </w:tc>
        <w:tc>
          <w:tcPr>
            <w:tcW w:w="2217" w:type="dxa"/>
            <w:tcBorders>
              <w:top w:val="nil"/>
              <w:left w:val="nil"/>
              <w:bottom w:val="single" w:sz="4" w:space="0" w:color="auto"/>
              <w:right w:val="single" w:sz="4" w:space="0" w:color="auto"/>
            </w:tcBorders>
            <w:shd w:val="clear" w:color="auto" w:fill="auto"/>
            <w:noWrap/>
            <w:vAlign w:val="bottom"/>
            <w:hideMark/>
          </w:tcPr>
          <w:p w14:paraId="1577F93E"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2,849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16C2E"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w:t>
            </w:r>
          </w:p>
        </w:tc>
      </w:tr>
      <w:tr w:rsidR="00AB5BED" w:rsidRPr="005A1511" w14:paraId="2DA6F531" w14:textId="77777777" w:rsidTr="00AB5BE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733D4"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SOUTH EAST</w:t>
            </w:r>
          </w:p>
        </w:tc>
        <w:tc>
          <w:tcPr>
            <w:tcW w:w="1468" w:type="dxa"/>
            <w:tcBorders>
              <w:top w:val="nil"/>
              <w:left w:val="nil"/>
              <w:bottom w:val="single" w:sz="4" w:space="0" w:color="auto"/>
              <w:right w:val="single" w:sz="4" w:space="0" w:color="auto"/>
            </w:tcBorders>
            <w:shd w:val="clear" w:color="auto" w:fill="auto"/>
            <w:noWrap/>
            <w:vAlign w:val="bottom"/>
            <w:hideMark/>
          </w:tcPr>
          <w:p w14:paraId="260BF826"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215,000</w:t>
            </w:r>
          </w:p>
        </w:tc>
        <w:tc>
          <w:tcPr>
            <w:tcW w:w="2217" w:type="dxa"/>
            <w:tcBorders>
              <w:top w:val="nil"/>
              <w:left w:val="nil"/>
              <w:bottom w:val="single" w:sz="4" w:space="0" w:color="auto"/>
              <w:right w:val="single" w:sz="4" w:space="0" w:color="auto"/>
            </w:tcBorders>
            <w:shd w:val="clear" w:color="auto" w:fill="auto"/>
            <w:noWrap/>
            <w:vAlign w:val="bottom"/>
            <w:hideMark/>
          </w:tcPr>
          <w:p w14:paraId="343BA31F"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2,090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DA384"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0.97</w:t>
            </w:r>
          </w:p>
        </w:tc>
      </w:tr>
      <w:tr w:rsidR="00AB5BED" w:rsidRPr="005A1511" w14:paraId="26354D00" w14:textId="77777777" w:rsidTr="00AB5BED">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9248D"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SOUTH WEST</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C2790"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141,514</w:t>
            </w:r>
          </w:p>
        </w:tc>
        <w:tc>
          <w:tcPr>
            <w:tcW w:w="2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6A059"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2,434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2326C" w14:textId="77777777" w:rsidR="00AB5BED" w:rsidRPr="005A1511" w:rsidRDefault="00AB5BED" w:rsidP="00AB5BE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1.72</w:t>
            </w:r>
          </w:p>
        </w:tc>
      </w:tr>
    </w:tbl>
    <w:p w14:paraId="69FA54E3" w14:textId="77777777" w:rsidR="00970633" w:rsidRPr="005A1511" w:rsidRDefault="00970633" w:rsidP="00E455FA">
      <w:pPr>
        <w:rPr>
          <w:rFonts w:ascii="Arial" w:hAnsi="Arial" w:cs="Arial"/>
        </w:rPr>
      </w:pPr>
    </w:p>
    <w:tbl>
      <w:tblPr>
        <w:tblW w:w="8500" w:type="dxa"/>
        <w:tblLook w:val="04A0" w:firstRow="1" w:lastRow="0" w:firstColumn="1" w:lastColumn="0" w:noHBand="0" w:noVBand="1"/>
      </w:tblPr>
      <w:tblGrid>
        <w:gridCol w:w="2122"/>
        <w:gridCol w:w="1417"/>
        <w:gridCol w:w="2268"/>
        <w:gridCol w:w="2693"/>
      </w:tblGrid>
      <w:tr w:rsidR="00642133" w:rsidRPr="005A1511" w14:paraId="276FBDB0" w14:textId="77777777" w:rsidTr="00642133">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D0F6C"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sz w:val="18"/>
                <w:szCs w:val="18"/>
              </w:rPr>
            </w:pPr>
            <w:r w:rsidRPr="005A1511">
              <w:rPr>
                <w:rFonts w:ascii="Arial" w:eastAsia="Times New Roman" w:hAnsi="Arial" w:cs="Arial"/>
                <w:b/>
                <w:bCs/>
                <w:sz w:val="18"/>
                <w:szCs w:val="18"/>
              </w:rPr>
              <w:t>Clinical Pathway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592DA"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Total Consultations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F8F42"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Consultations without valid NHS number</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7BD8D"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Percentage of consultation without NHS number</w:t>
            </w:r>
          </w:p>
        </w:tc>
      </w:tr>
      <w:tr w:rsidR="00642133" w:rsidRPr="005A1511" w14:paraId="27AFF9D2" w14:textId="77777777" w:rsidTr="00642133">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CDF42"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Acute Otitis Media</w:t>
            </w:r>
          </w:p>
        </w:tc>
        <w:tc>
          <w:tcPr>
            <w:tcW w:w="1417" w:type="dxa"/>
            <w:tcBorders>
              <w:top w:val="nil"/>
              <w:left w:val="nil"/>
              <w:bottom w:val="single" w:sz="4" w:space="0" w:color="auto"/>
              <w:right w:val="single" w:sz="4" w:space="0" w:color="auto"/>
            </w:tcBorders>
            <w:shd w:val="clear" w:color="auto" w:fill="auto"/>
            <w:noWrap/>
            <w:vAlign w:val="bottom"/>
            <w:hideMark/>
          </w:tcPr>
          <w:p w14:paraId="429DA40B"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168,390</w:t>
            </w:r>
          </w:p>
        </w:tc>
        <w:tc>
          <w:tcPr>
            <w:tcW w:w="2268" w:type="dxa"/>
            <w:tcBorders>
              <w:top w:val="nil"/>
              <w:left w:val="nil"/>
              <w:bottom w:val="single" w:sz="4" w:space="0" w:color="auto"/>
              <w:right w:val="single" w:sz="4" w:space="0" w:color="auto"/>
            </w:tcBorders>
            <w:shd w:val="clear" w:color="auto" w:fill="auto"/>
            <w:noWrap/>
            <w:vAlign w:val="bottom"/>
            <w:hideMark/>
          </w:tcPr>
          <w:p w14:paraId="34AB1543"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3,573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B67F5"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2.12</w:t>
            </w:r>
          </w:p>
        </w:tc>
      </w:tr>
      <w:tr w:rsidR="00642133" w:rsidRPr="005A1511" w14:paraId="3A41AD80" w14:textId="77777777" w:rsidTr="00642133">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FC2A2"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Acute Sore Throat</w:t>
            </w:r>
          </w:p>
        </w:tc>
        <w:tc>
          <w:tcPr>
            <w:tcW w:w="1417" w:type="dxa"/>
            <w:tcBorders>
              <w:top w:val="nil"/>
              <w:left w:val="nil"/>
              <w:bottom w:val="single" w:sz="4" w:space="0" w:color="auto"/>
              <w:right w:val="single" w:sz="4" w:space="0" w:color="auto"/>
            </w:tcBorders>
            <w:shd w:val="clear" w:color="auto" w:fill="auto"/>
            <w:noWrap/>
            <w:vAlign w:val="bottom"/>
            <w:hideMark/>
          </w:tcPr>
          <w:p w14:paraId="68AA966B"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473,243</w:t>
            </w:r>
          </w:p>
        </w:tc>
        <w:tc>
          <w:tcPr>
            <w:tcW w:w="2268" w:type="dxa"/>
            <w:tcBorders>
              <w:top w:val="nil"/>
              <w:left w:val="nil"/>
              <w:bottom w:val="single" w:sz="4" w:space="0" w:color="auto"/>
              <w:right w:val="single" w:sz="4" w:space="0" w:color="auto"/>
            </w:tcBorders>
            <w:shd w:val="clear" w:color="auto" w:fill="auto"/>
            <w:noWrap/>
            <w:vAlign w:val="bottom"/>
            <w:hideMark/>
          </w:tcPr>
          <w:p w14:paraId="73597157"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9,744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E1B14"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2.06</w:t>
            </w:r>
          </w:p>
        </w:tc>
      </w:tr>
      <w:tr w:rsidR="00642133" w:rsidRPr="005A1511" w14:paraId="7DB53B43" w14:textId="77777777" w:rsidTr="00642133">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9DC2C"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Impetigo</w:t>
            </w:r>
          </w:p>
        </w:tc>
        <w:tc>
          <w:tcPr>
            <w:tcW w:w="1417" w:type="dxa"/>
            <w:tcBorders>
              <w:top w:val="nil"/>
              <w:left w:val="nil"/>
              <w:bottom w:val="single" w:sz="4" w:space="0" w:color="auto"/>
              <w:right w:val="single" w:sz="4" w:space="0" w:color="auto"/>
            </w:tcBorders>
            <w:shd w:val="clear" w:color="auto" w:fill="auto"/>
            <w:noWrap/>
            <w:vAlign w:val="bottom"/>
            <w:hideMark/>
          </w:tcPr>
          <w:p w14:paraId="03704134"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65,316</w:t>
            </w:r>
          </w:p>
        </w:tc>
        <w:tc>
          <w:tcPr>
            <w:tcW w:w="2268" w:type="dxa"/>
            <w:tcBorders>
              <w:top w:val="nil"/>
              <w:left w:val="nil"/>
              <w:bottom w:val="single" w:sz="4" w:space="0" w:color="auto"/>
              <w:right w:val="single" w:sz="4" w:space="0" w:color="auto"/>
            </w:tcBorders>
            <w:shd w:val="clear" w:color="auto" w:fill="auto"/>
            <w:noWrap/>
            <w:vAlign w:val="bottom"/>
            <w:hideMark/>
          </w:tcPr>
          <w:p w14:paraId="04822ABB"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1,124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FC50"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1.72</w:t>
            </w:r>
          </w:p>
        </w:tc>
      </w:tr>
      <w:tr w:rsidR="00642133" w:rsidRPr="005A1511" w14:paraId="3AE8378E" w14:textId="77777777" w:rsidTr="00642133">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F6E01"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Infected Insect Bites</w:t>
            </w:r>
          </w:p>
        </w:tc>
        <w:tc>
          <w:tcPr>
            <w:tcW w:w="1417" w:type="dxa"/>
            <w:tcBorders>
              <w:top w:val="nil"/>
              <w:left w:val="nil"/>
              <w:bottom w:val="single" w:sz="4" w:space="0" w:color="auto"/>
              <w:right w:val="single" w:sz="4" w:space="0" w:color="auto"/>
            </w:tcBorders>
            <w:shd w:val="clear" w:color="auto" w:fill="auto"/>
            <w:noWrap/>
            <w:vAlign w:val="bottom"/>
            <w:hideMark/>
          </w:tcPr>
          <w:p w14:paraId="611BEF28"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180,819</w:t>
            </w:r>
          </w:p>
        </w:tc>
        <w:tc>
          <w:tcPr>
            <w:tcW w:w="2268" w:type="dxa"/>
            <w:tcBorders>
              <w:top w:val="nil"/>
              <w:left w:val="nil"/>
              <w:bottom w:val="single" w:sz="4" w:space="0" w:color="auto"/>
              <w:right w:val="single" w:sz="4" w:space="0" w:color="auto"/>
            </w:tcBorders>
            <w:shd w:val="clear" w:color="auto" w:fill="auto"/>
            <w:noWrap/>
            <w:vAlign w:val="bottom"/>
            <w:hideMark/>
          </w:tcPr>
          <w:p w14:paraId="07B2C6B9"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2,549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E5DFA"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1.41</w:t>
            </w:r>
          </w:p>
        </w:tc>
      </w:tr>
      <w:tr w:rsidR="00642133" w:rsidRPr="005A1511" w14:paraId="74229CA6" w14:textId="77777777" w:rsidTr="00642133">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8269D"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Shingles</w:t>
            </w:r>
          </w:p>
        </w:tc>
        <w:tc>
          <w:tcPr>
            <w:tcW w:w="1417" w:type="dxa"/>
            <w:tcBorders>
              <w:top w:val="nil"/>
              <w:left w:val="nil"/>
              <w:bottom w:val="single" w:sz="4" w:space="0" w:color="auto"/>
              <w:right w:val="single" w:sz="4" w:space="0" w:color="auto"/>
            </w:tcBorders>
            <w:shd w:val="clear" w:color="auto" w:fill="auto"/>
            <w:noWrap/>
            <w:vAlign w:val="bottom"/>
            <w:hideMark/>
          </w:tcPr>
          <w:p w14:paraId="42DE41AE"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42,399</w:t>
            </w:r>
          </w:p>
        </w:tc>
        <w:tc>
          <w:tcPr>
            <w:tcW w:w="2268" w:type="dxa"/>
            <w:tcBorders>
              <w:top w:val="nil"/>
              <w:left w:val="nil"/>
              <w:bottom w:val="single" w:sz="4" w:space="0" w:color="auto"/>
              <w:right w:val="single" w:sz="4" w:space="0" w:color="auto"/>
            </w:tcBorders>
            <w:shd w:val="clear" w:color="auto" w:fill="auto"/>
            <w:noWrap/>
            <w:vAlign w:val="bottom"/>
            <w:hideMark/>
          </w:tcPr>
          <w:p w14:paraId="638A98BC"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691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24D0C"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1.63</w:t>
            </w:r>
          </w:p>
        </w:tc>
      </w:tr>
      <w:tr w:rsidR="00642133" w:rsidRPr="005A1511" w14:paraId="46AE524B" w14:textId="77777777" w:rsidTr="00642133">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07D98"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Sinusitis</w:t>
            </w:r>
          </w:p>
        </w:tc>
        <w:tc>
          <w:tcPr>
            <w:tcW w:w="1417" w:type="dxa"/>
            <w:tcBorders>
              <w:top w:val="nil"/>
              <w:left w:val="nil"/>
              <w:bottom w:val="single" w:sz="4" w:space="0" w:color="auto"/>
              <w:right w:val="single" w:sz="4" w:space="0" w:color="auto"/>
            </w:tcBorders>
            <w:shd w:val="clear" w:color="auto" w:fill="auto"/>
            <w:noWrap/>
            <w:vAlign w:val="bottom"/>
            <w:hideMark/>
          </w:tcPr>
          <w:p w14:paraId="353F22A3"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146,880</w:t>
            </w:r>
          </w:p>
        </w:tc>
        <w:tc>
          <w:tcPr>
            <w:tcW w:w="2268" w:type="dxa"/>
            <w:tcBorders>
              <w:top w:val="nil"/>
              <w:left w:val="nil"/>
              <w:bottom w:val="single" w:sz="4" w:space="0" w:color="auto"/>
              <w:right w:val="single" w:sz="4" w:space="0" w:color="auto"/>
            </w:tcBorders>
            <w:shd w:val="clear" w:color="auto" w:fill="auto"/>
            <w:noWrap/>
            <w:vAlign w:val="bottom"/>
            <w:hideMark/>
          </w:tcPr>
          <w:p w14:paraId="522088C7"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2,421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C11A9"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1.65</w:t>
            </w:r>
          </w:p>
        </w:tc>
      </w:tr>
      <w:tr w:rsidR="00642133" w:rsidRPr="005A1511" w14:paraId="6D79DA77" w14:textId="77777777" w:rsidTr="00642133">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7CF2E"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Uncomplicated UTI</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3D992"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420,037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EA947"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7,924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0F092" w14:textId="77777777" w:rsidR="00642133" w:rsidRPr="005A1511" w:rsidRDefault="00642133" w:rsidP="00642133">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1.89</w:t>
            </w:r>
          </w:p>
        </w:tc>
      </w:tr>
    </w:tbl>
    <w:p w14:paraId="01FFA99D" w14:textId="77777777" w:rsidR="00E312A4" w:rsidRPr="005A1511" w:rsidRDefault="00E312A4" w:rsidP="00E455FA">
      <w:pPr>
        <w:rPr>
          <w:rFonts w:ascii="Arial" w:hAnsi="Arial" w:cs="Arial"/>
        </w:rPr>
      </w:pPr>
    </w:p>
    <w:tbl>
      <w:tblPr>
        <w:tblW w:w="8500" w:type="dxa"/>
        <w:tblLook w:val="04A0" w:firstRow="1" w:lastRow="0" w:firstColumn="1" w:lastColumn="0" w:noHBand="0" w:noVBand="1"/>
      </w:tblPr>
      <w:tblGrid>
        <w:gridCol w:w="2122"/>
        <w:gridCol w:w="1417"/>
        <w:gridCol w:w="2268"/>
        <w:gridCol w:w="2693"/>
      </w:tblGrid>
      <w:tr w:rsidR="008D2667" w:rsidRPr="005A1511" w14:paraId="245C31B4" w14:textId="77777777" w:rsidTr="008D2667">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10100"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sz w:val="18"/>
                <w:szCs w:val="18"/>
              </w:rPr>
            </w:pPr>
            <w:r w:rsidRPr="005A1511">
              <w:rPr>
                <w:rFonts w:ascii="Arial" w:eastAsia="Times New Roman" w:hAnsi="Arial" w:cs="Arial"/>
                <w:b/>
                <w:bCs/>
                <w:sz w:val="18"/>
                <w:szCs w:val="18"/>
              </w:rPr>
              <w:t>Supplier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05B1A"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Total Consultations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3E942"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Consultations without valid NHS number</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869B5"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Percentage of consultation without NHS number</w:t>
            </w:r>
          </w:p>
        </w:tc>
      </w:tr>
      <w:tr w:rsidR="008D2667" w:rsidRPr="005A1511" w14:paraId="2E488CDE" w14:textId="77777777" w:rsidTr="008D2667">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B7DE9"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Cegedim</w:t>
            </w:r>
          </w:p>
        </w:tc>
        <w:tc>
          <w:tcPr>
            <w:tcW w:w="1417" w:type="dxa"/>
            <w:tcBorders>
              <w:top w:val="nil"/>
              <w:left w:val="nil"/>
              <w:bottom w:val="single" w:sz="4" w:space="0" w:color="auto"/>
              <w:right w:val="single" w:sz="4" w:space="0" w:color="auto"/>
            </w:tcBorders>
            <w:shd w:val="clear" w:color="auto" w:fill="auto"/>
            <w:noWrap/>
            <w:vAlign w:val="bottom"/>
            <w:hideMark/>
          </w:tcPr>
          <w:p w14:paraId="084A4457"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47,142</w:t>
            </w:r>
          </w:p>
        </w:tc>
        <w:tc>
          <w:tcPr>
            <w:tcW w:w="2268" w:type="dxa"/>
            <w:tcBorders>
              <w:top w:val="nil"/>
              <w:left w:val="nil"/>
              <w:bottom w:val="single" w:sz="4" w:space="0" w:color="auto"/>
              <w:right w:val="single" w:sz="4" w:space="0" w:color="auto"/>
            </w:tcBorders>
            <w:shd w:val="clear" w:color="auto" w:fill="auto"/>
            <w:noWrap/>
            <w:vAlign w:val="bottom"/>
            <w:hideMark/>
          </w:tcPr>
          <w:p w14:paraId="242C7847"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7,262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EF7E2"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15.4</w:t>
            </w:r>
          </w:p>
        </w:tc>
      </w:tr>
      <w:tr w:rsidR="008D2667" w:rsidRPr="005A1511" w14:paraId="15DBC7C0" w14:textId="77777777" w:rsidTr="008D2667">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0EC7A"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EMIS</w:t>
            </w:r>
          </w:p>
        </w:tc>
        <w:tc>
          <w:tcPr>
            <w:tcW w:w="1417" w:type="dxa"/>
            <w:tcBorders>
              <w:top w:val="nil"/>
              <w:left w:val="nil"/>
              <w:bottom w:val="single" w:sz="4" w:space="0" w:color="auto"/>
              <w:right w:val="single" w:sz="4" w:space="0" w:color="auto"/>
            </w:tcBorders>
            <w:shd w:val="clear" w:color="auto" w:fill="auto"/>
            <w:noWrap/>
            <w:vAlign w:val="bottom"/>
            <w:hideMark/>
          </w:tcPr>
          <w:p w14:paraId="2B8CD744"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1,372,623</w:t>
            </w:r>
          </w:p>
        </w:tc>
        <w:tc>
          <w:tcPr>
            <w:tcW w:w="2268" w:type="dxa"/>
            <w:tcBorders>
              <w:top w:val="nil"/>
              <w:left w:val="nil"/>
              <w:bottom w:val="single" w:sz="4" w:space="0" w:color="auto"/>
              <w:right w:val="single" w:sz="4" w:space="0" w:color="auto"/>
            </w:tcBorders>
            <w:shd w:val="clear" w:color="auto" w:fill="auto"/>
            <w:noWrap/>
            <w:vAlign w:val="bottom"/>
            <w:hideMark/>
          </w:tcPr>
          <w:p w14:paraId="552B2877"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19,380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C321F"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1.41</w:t>
            </w:r>
          </w:p>
        </w:tc>
      </w:tr>
      <w:tr w:rsidR="008D2667" w:rsidRPr="005A1511" w14:paraId="1EF37ED0" w14:textId="77777777" w:rsidTr="008D2667">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AC739"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Positive</w:t>
            </w:r>
          </w:p>
        </w:tc>
        <w:tc>
          <w:tcPr>
            <w:tcW w:w="1417" w:type="dxa"/>
            <w:tcBorders>
              <w:top w:val="nil"/>
              <w:left w:val="nil"/>
              <w:bottom w:val="single" w:sz="4" w:space="0" w:color="auto"/>
              <w:right w:val="single" w:sz="4" w:space="0" w:color="auto"/>
            </w:tcBorders>
            <w:shd w:val="clear" w:color="auto" w:fill="auto"/>
            <w:noWrap/>
            <w:vAlign w:val="bottom"/>
            <w:hideMark/>
          </w:tcPr>
          <w:p w14:paraId="0609B193"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10,264</w:t>
            </w:r>
          </w:p>
        </w:tc>
        <w:tc>
          <w:tcPr>
            <w:tcW w:w="2268" w:type="dxa"/>
            <w:tcBorders>
              <w:top w:val="nil"/>
              <w:left w:val="nil"/>
              <w:bottom w:val="single" w:sz="4" w:space="0" w:color="auto"/>
              <w:right w:val="single" w:sz="4" w:space="0" w:color="auto"/>
            </w:tcBorders>
            <w:shd w:val="clear" w:color="auto" w:fill="auto"/>
            <w:noWrap/>
            <w:vAlign w:val="bottom"/>
            <w:hideMark/>
          </w:tcPr>
          <w:p w14:paraId="3CEDFC0A"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AE8D9"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1.14</w:t>
            </w:r>
          </w:p>
        </w:tc>
      </w:tr>
      <w:tr w:rsidR="008D2667" w:rsidRPr="005A1511" w14:paraId="61FEF1E7" w14:textId="77777777" w:rsidTr="008D2667">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4AAF4"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Sonar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F5817"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67,055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33129"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1,267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1E4AF" w14:textId="77777777" w:rsidR="008D2667" w:rsidRPr="005A1511" w:rsidRDefault="008D2667" w:rsidP="008D266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1.89</w:t>
            </w:r>
          </w:p>
        </w:tc>
      </w:tr>
    </w:tbl>
    <w:p w14:paraId="32CABA64" w14:textId="77777777" w:rsidR="00642133" w:rsidRPr="005A1511" w:rsidRDefault="00642133" w:rsidP="00E455FA">
      <w:pPr>
        <w:rPr>
          <w:rFonts w:ascii="Arial" w:hAnsi="Arial" w:cs="Arial"/>
        </w:rPr>
      </w:pPr>
    </w:p>
    <w:p w14:paraId="086F6CA7" w14:textId="08816402" w:rsidR="00DB772C" w:rsidRPr="005A1511" w:rsidRDefault="008D2667" w:rsidP="004A2297">
      <w:pPr>
        <w:rPr>
          <w:rFonts w:ascii="Arial" w:hAnsi="Arial" w:cs="Arial"/>
        </w:rPr>
      </w:pPr>
      <w:r w:rsidRPr="005A1511">
        <w:rPr>
          <w:rFonts w:ascii="Arial" w:hAnsi="Arial" w:cs="Arial"/>
        </w:rPr>
        <w:t xml:space="preserve">Please refer to </w:t>
      </w:r>
      <w:hyperlink w:anchor="_Appendix_3:_Data_1" w:history="1">
        <w:r w:rsidRPr="005A1511">
          <w:rPr>
            <w:rStyle w:val="Hyperlink"/>
            <w:rFonts w:ascii="Arial" w:hAnsi="Arial" w:cs="Arial"/>
          </w:rPr>
          <w:t xml:space="preserve">Appendix </w:t>
        </w:r>
        <w:r w:rsidR="004827C4" w:rsidRPr="005A1511">
          <w:rPr>
            <w:rStyle w:val="Hyperlink"/>
            <w:rFonts w:ascii="Arial" w:hAnsi="Arial" w:cs="Arial"/>
          </w:rPr>
          <w:t>3</w:t>
        </w:r>
      </w:hyperlink>
      <w:r w:rsidRPr="005A1511">
        <w:rPr>
          <w:rFonts w:ascii="Arial" w:hAnsi="Arial" w:cs="Arial"/>
        </w:rPr>
        <w:t xml:space="preserve"> for more information on data completeness in the dashboard.</w:t>
      </w:r>
    </w:p>
    <w:p w14:paraId="009EF6E0" w14:textId="77777777" w:rsidR="004A263A" w:rsidRPr="005A1511" w:rsidRDefault="004A263A">
      <w:pPr>
        <w:rPr>
          <w:rFonts w:ascii="Arial" w:eastAsia="Arial" w:hAnsi="Arial" w:cs="Arial"/>
          <w:b/>
        </w:rPr>
      </w:pPr>
      <w:bookmarkStart w:id="58" w:name="_Variation_in_Nitrofurantion"/>
      <w:bookmarkStart w:id="59" w:name="_Variation_in_nitrofurantoin"/>
      <w:bookmarkEnd w:id="58"/>
      <w:bookmarkEnd w:id="59"/>
      <w:r w:rsidRPr="005A1511">
        <w:rPr>
          <w:rFonts w:ascii="Arial" w:hAnsi="Arial" w:cs="Arial"/>
        </w:rPr>
        <w:br w:type="page"/>
      </w:r>
    </w:p>
    <w:p w14:paraId="1EEA06A7" w14:textId="3601DD99" w:rsidR="00675374" w:rsidRPr="005A1511" w:rsidRDefault="00172F57" w:rsidP="00675374">
      <w:pPr>
        <w:pStyle w:val="Heading2"/>
        <w:rPr>
          <w:sz w:val="22"/>
          <w:szCs w:val="22"/>
        </w:rPr>
      </w:pPr>
      <w:bookmarkStart w:id="60" w:name="_Toc189144452"/>
      <w:r w:rsidRPr="005A1511">
        <w:rPr>
          <w:sz w:val="22"/>
          <w:szCs w:val="22"/>
        </w:rPr>
        <w:lastRenderedPageBreak/>
        <w:t xml:space="preserve">Variation in </w:t>
      </w:r>
      <w:r w:rsidR="00641FA4" w:rsidRPr="005A1511">
        <w:rPr>
          <w:sz w:val="22"/>
          <w:szCs w:val="22"/>
        </w:rPr>
        <w:t>nitrofurantoin</w:t>
      </w:r>
      <w:r w:rsidR="009107FC" w:rsidRPr="005A1511">
        <w:rPr>
          <w:sz w:val="22"/>
          <w:szCs w:val="22"/>
        </w:rPr>
        <w:t xml:space="preserve"> MR 100mg quantities</w:t>
      </w:r>
      <w:bookmarkEnd w:id="60"/>
    </w:p>
    <w:p w14:paraId="51191B6A" w14:textId="538A73C4" w:rsidR="00675374" w:rsidRPr="005A1511" w:rsidRDefault="00935F60" w:rsidP="004A2297">
      <w:pPr>
        <w:rPr>
          <w:rFonts w:ascii="Arial" w:hAnsi="Arial" w:cs="Arial"/>
        </w:rPr>
      </w:pPr>
      <w:r w:rsidRPr="005A1511">
        <w:rPr>
          <w:rFonts w:ascii="Arial" w:hAnsi="Arial" w:cs="Arial"/>
        </w:rPr>
        <w:t xml:space="preserve">The </w:t>
      </w:r>
      <w:hyperlink r:id="rId26" w:history="1">
        <w:r w:rsidRPr="005A1511">
          <w:rPr>
            <w:rStyle w:val="Hyperlink"/>
            <w:rFonts w:ascii="Arial" w:hAnsi="Arial" w:cs="Arial"/>
          </w:rPr>
          <w:t>Patient Group Direction</w:t>
        </w:r>
      </w:hyperlink>
      <w:r w:rsidRPr="005A1511">
        <w:rPr>
          <w:rFonts w:ascii="Arial" w:hAnsi="Arial" w:cs="Arial"/>
        </w:rPr>
        <w:t xml:space="preserve"> </w:t>
      </w:r>
      <w:r w:rsidR="00BE102B" w:rsidRPr="005A1511">
        <w:rPr>
          <w:rFonts w:ascii="Arial" w:hAnsi="Arial" w:cs="Arial"/>
        </w:rPr>
        <w:t xml:space="preserve">for </w:t>
      </w:r>
      <w:r w:rsidR="00B440BA" w:rsidRPr="005A1511">
        <w:rPr>
          <w:rFonts w:ascii="Arial" w:hAnsi="Arial" w:cs="Arial"/>
        </w:rPr>
        <w:t xml:space="preserve">the Uncomplicated UTI Clinical Pathway states that a </w:t>
      </w:r>
      <w:r w:rsidR="00BC6D6C" w:rsidRPr="005A1511">
        <w:rPr>
          <w:rFonts w:ascii="Arial" w:hAnsi="Arial" w:cs="Arial"/>
        </w:rPr>
        <w:t xml:space="preserve">patients meeting the treatment gateway </w:t>
      </w:r>
      <w:r w:rsidR="00B440BA" w:rsidRPr="005A1511">
        <w:rPr>
          <w:rFonts w:ascii="Arial" w:hAnsi="Arial" w:cs="Arial"/>
        </w:rPr>
        <w:t xml:space="preserve">should be </w:t>
      </w:r>
      <w:r w:rsidR="00EA0BC9" w:rsidRPr="005A1511">
        <w:rPr>
          <w:rFonts w:ascii="Arial" w:hAnsi="Arial" w:cs="Arial"/>
        </w:rPr>
        <w:t>provided with a three-day supply</w:t>
      </w:r>
      <w:r w:rsidR="00F01C1A" w:rsidRPr="005A1511">
        <w:rPr>
          <w:rFonts w:ascii="Arial" w:hAnsi="Arial" w:cs="Arial"/>
        </w:rPr>
        <w:t xml:space="preserve"> of nitrofurantoin</w:t>
      </w:r>
      <w:r w:rsidR="00EA0BC9" w:rsidRPr="005A1511">
        <w:rPr>
          <w:rFonts w:ascii="Arial" w:hAnsi="Arial" w:cs="Arial"/>
        </w:rPr>
        <w:t xml:space="preserve">, </w:t>
      </w:r>
      <w:r w:rsidR="00B440BA" w:rsidRPr="005A1511">
        <w:rPr>
          <w:rFonts w:ascii="Arial" w:hAnsi="Arial" w:cs="Arial"/>
        </w:rPr>
        <w:t xml:space="preserve">either </w:t>
      </w:r>
      <w:r w:rsidR="00BC6D6C" w:rsidRPr="005A1511">
        <w:rPr>
          <w:rFonts w:ascii="Arial" w:hAnsi="Arial" w:cs="Arial"/>
        </w:rPr>
        <w:t xml:space="preserve">as </w:t>
      </w:r>
      <w:r w:rsidR="005D6012" w:rsidRPr="005A1511">
        <w:rPr>
          <w:rFonts w:ascii="Arial" w:hAnsi="Arial" w:cs="Arial"/>
        </w:rPr>
        <w:t>6 100mg modified-release capsules, or</w:t>
      </w:r>
      <w:r w:rsidR="00621877" w:rsidRPr="005A1511">
        <w:rPr>
          <w:rFonts w:ascii="Arial" w:hAnsi="Arial" w:cs="Arial"/>
        </w:rPr>
        <w:t>, if the 100mg MR capsule is unavailable,</w:t>
      </w:r>
      <w:r w:rsidR="005D6012" w:rsidRPr="005A1511">
        <w:rPr>
          <w:rFonts w:ascii="Arial" w:hAnsi="Arial" w:cs="Arial"/>
        </w:rPr>
        <w:t xml:space="preserve"> 12 50mg immediate-release </w:t>
      </w:r>
      <w:r w:rsidR="006235F6" w:rsidRPr="005A1511">
        <w:rPr>
          <w:rFonts w:ascii="Arial" w:hAnsi="Arial" w:cs="Arial"/>
        </w:rPr>
        <w:t xml:space="preserve">tablets or </w:t>
      </w:r>
      <w:r w:rsidR="005D6012" w:rsidRPr="005A1511">
        <w:rPr>
          <w:rFonts w:ascii="Arial" w:hAnsi="Arial" w:cs="Arial"/>
        </w:rPr>
        <w:t>capsules</w:t>
      </w:r>
      <w:r w:rsidR="00F01C1A" w:rsidRPr="005A1511">
        <w:rPr>
          <w:rFonts w:ascii="Arial" w:hAnsi="Arial" w:cs="Arial"/>
        </w:rPr>
        <w:t>.</w:t>
      </w:r>
    </w:p>
    <w:p w14:paraId="34101B83" w14:textId="7556507C" w:rsidR="00774CB2" w:rsidRPr="005A1511" w:rsidRDefault="00774CB2" w:rsidP="004A2297">
      <w:pPr>
        <w:rPr>
          <w:rFonts w:ascii="Arial" w:hAnsi="Arial" w:cs="Arial"/>
        </w:rPr>
      </w:pPr>
      <w:r w:rsidRPr="005A1511">
        <w:rPr>
          <w:rFonts w:ascii="Arial" w:hAnsi="Arial" w:cs="Arial"/>
        </w:rPr>
        <w:t xml:space="preserve">Analysis of the data submitted for payment reveals that quantities other than </w:t>
      </w:r>
      <w:r w:rsidR="00EA7E80" w:rsidRPr="005A1511">
        <w:rPr>
          <w:rFonts w:ascii="Arial" w:hAnsi="Arial" w:cs="Arial"/>
        </w:rPr>
        <w:t xml:space="preserve">6 (MR) or 12 (IR) have been supplied, in low volumes but on a consistent basis.  The table </w:t>
      </w:r>
      <w:r w:rsidR="00B57085" w:rsidRPr="005A1511">
        <w:rPr>
          <w:rFonts w:ascii="Arial" w:hAnsi="Arial" w:cs="Arial"/>
        </w:rPr>
        <w:t>below</w:t>
      </w:r>
      <w:r w:rsidR="00EA7E80" w:rsidRPr="005A1511">
        <w:rPr>
          <w:rFonts w:ascii="Arial" w:hAnsi="Arial" w:cs="Arial"/>
        </w:rPr>
        <w:t xml:space="preserve"> shows the proportion of </w:t>
      </w:r>
      <w:r w:rsidR="00293AC9" w:rsidRPr="005A1511">
        <w:rPr>
          <w:rFonts w:ascii="Arial" w:hAnsi="Arial" w:cs="Arial"/>
        </w:rPr>
        <w:t>items of nitrofurantoin 100mg modified-release capsules supplied</w:t>
      </w:r>
      <w:r w:rsidR="00EA7E80" w:rsidRPr="005A1511">
        <w:rPr>
          <w:rFonts w:ascii="Arial" w:hAnsi="Arial" w:cs="Arial"/>
        </w:rPr>
        <w:t xml:space="preserve"> under the pathway which have </w:t>
      </w:r>
      <w:r w:rsidR="005D48F2" w:rsidRPr="005A1511">
        <w:rPr>
          <w:rFonts w:ascii="Arial" w:hAnsi="Arial" w:cs="Arial"/>
        </w:rPr>
        <w:t xml:space="preserve">quantities other than those allowed under PGD, vs </w:t>
      </w:r>
      <w:r w:rsidR="00293AC9" w:rsidRPr="005A1511">
        <w:rPr>
          <w:rFonts w:ascii="Arial" w:hAnsi="Arial" w:cs="Arial"/>
        </w:rPr>
        <w:t>those with a quantity of 6</w:t>
      </w:r>
      <w:r w:rsidR="006235F6" w:rsidRPr="005A1511">
        <w:rPr>
          <w:rFonts w:ascii="Arial" w:hAnsi="Arial" w:cs="Arial"/>
        </w:rPr>
        <w:t xml:space="preserve"> (50mg IR tablets and capsules are not included in this table, as they are beyond the scope of the comparator)</w:t>
      </w:r>
      <w:r w:rsidR="00293AC9" w:rsidRPr="005A1511">
        <w:rPr>
          <w:rFonts w:ascii="Arial" w:hAnsi="Arial" w:cs="Arial"/>
        </w:rPr>
        <w:t>:</w:t>
      </w:r>
    </w:p>
    <w:tbl>
      <w:tblPr>
        <w:tblW w:w="8500" w:type="dxa"/>
        <w:tblLook w:val="04A0" w:firstRow="1" w:lastRow="0" w:firstColumn="1" w:lastColumn="0" w:noHBand="0" w:noVBand="1"/>
      </w:tblPr>
      <w:tblGrid>
        <w:gridCol w:w="820"/>
        <w:gridCol w:w="2020"/>
        <w:gridCol w:w="2684"/>
        <w:gridCol w:w="2976"/>
      </w:tblGrid>
      <w:tr w:rsidR="00EF2E8D" w:rsidRPr="005A1511" w14:paraId="7AE41F07" w14:textId="77777777" w:rsidTr="009A7EFB">
        <w:trPr>
          <w:trHeight w:val="24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DBB52"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sz w:val="18"/>
                <w:szCs w:val="18"/>
              </w:rPr>
            </w:pPr>
            <w:r w:rsidRPr="005A1511">
              <w:rPr>
                <w:rFonts w:ascii="Arial" w:eastAsia="Times New Roman" w:hAnsi="Arial" w:cs="Arial"/>
                <w:b/>
                <w:bCs/>
                <w:sz w:val="18"/>
                <w:szCs w:val="18"/>
              </w:rPr>
              <w:t>Month</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39B7F46F" w14:textId="77777777" w:rsidR="00EF2E8D" w:rsidRPr="005A1511" w:rsidRDefault="00EF2E8D" w:rsidP="009A7EF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Total items supplied</w:t>
            </w:r>
          </w:p>
        </w:tc>
        <w:tc>
          <w:tcPr>
            <w:tcW w:w="2684" w:type="dxa"/>
            <w:tcBorders>
              <w:top w:val="single" w:sz="4" w:space="0" w:color="auto"/>
              <w:left w:val="nil"/>
              <w:bottom w:val="single" w:sz="4" w:space="0" w:color="auto"/>
              <w:right w:val="single" w:sz="4" w:space="0" w:color="auto"/>
            </w:tcBorders>
            <w:shd w:val="clear" w:color="auto" w:fill="auto"/>
            <w:noWrap/>
            <w:vAlign w:val="bottom"/>
            <w:hideMark/>
          </w:tcPr>
          <w:p w14:paraId="61291047" w14:textId="77777777" w:rsidR="00EF2E8D" w:rsidRPr="005A1511" w:rsidRDefault="00EF2E8D" w:rsidP="009A7EF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Percentage of items supplied with quantity of 6</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7F625858" w14:textId="77777777" w:rsidR="00EF2E8D" w:rsidRPr="005A1511" w:rsidRDefault="00EF2E8D" w:rsidP="009A7EFB">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Percentage of items supplied with quantity other than 6</w:t>
            </w:r>
          </w:p>
        </w:tc>
      </w:tr>
      <w:tr w:rsidR="00EF2E8D" w:rsidRPr="005A1511" w14:paraId="332EBABA" w14:textId="77777777" w:rsidTr="009A7EFB">
        <w:trPr>
          <w:trHeight w:val="2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C874183"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202402</w:t>
            </w:r>
          </w:p>
        </w:tc>
        <w:tc>
          <w:tcPr>
            <w:tcW w:w="2020" w:type="dxa"/>
            <w:tcBorders>
              <w:top w:val="nil"/>
              <w:left w:val="nil"/>
              <w:bottom w:val="single" w:sz="4" w:space="0" w:color="auto"/>
              <w:right w:val="single" w:sz="4" w:space="0" w:color="auto"/>
            </w:tcBorders>
            <w:shd w:val="clear" w:color="auto" w:fill="auto"/>
            <w:noWrap/>
            <w:vAlign w:val="bottom"/>
            <w:hideMark/>
          </w:tcPr>
          <w:p w14:paraId="0BE8FCB5"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26,560</w:t>
            </w:r>
          </w:p>
        </w:tc>
        <w:tc>
          <w:tcPr>
            <w:tcW w:w="2684" w:type="dxa"/>
            <w:tcBorders>
              <w:top w:val="nil"/>
              <w:left w:val="nil"/>
              <w:bottom w:val="single" w:sz="4" w:space="0" w:color="auto"/>
              <w:right w:val="single" w:sz="4" w:space="0" w:color="auto"/>
            </w:tcBorders>
            <w:shd w:val="clear" w:color="auto" w:fill="auto"/>
            <w:noWrap/>
            <w:vAlign w:val="bottom"/>
            <w:hideMark/>
          </w:tcPr>
          <w:p w14:paraId="0433757D"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98.66</w:t>
            </w:r>
          </w:p>
        </w:tc>
        <w:tc>
          <w:tcPr>
            <w:tcW w:w="2976" w:type="dxa"/>
            <w:tcBorders>
              <w:top w:val="nil"/>
              <w:left w:val="nil"/>
              <w:bottom w:val="single" w:sz="4" w:space="0" w:color="auto"/>
              <w:right w:val="single" w:sz="4" w:space="0" w:color="auto"/>
            </w:tcBorders>
            <w:shd w:val="clear" w:color="auto" w:fill="auto"/>
            <w:noWrap/>
            <w:vAlign w:val="bottom"/>
            <w:hideMark/>
          </w:tcPr>
          <w:p w14:paraId="452EE5B2"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1.34</w:t>
            </w:r>
          </w:p>
        </w:tc>
      </w:tr>
      <w:tr w:rsidR="00EF2E8D" w:rsidRPr="005A1511" w14:paraId="323CB047" w14:textId="77777777" w:rsidTr="009A7EFB">
        <w:trPr>
          <w:trHeight w:val="2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2BE3BFA"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202403</w:t>
            </w:r>
          </w:p>
        </w:tc>
        <w:tc>
          <w:tcPr>
            <w:tcW w:w="2020" w:type="dxa"/>
            <w:tcBorders>
              <w:top w:val="nil"/>
              <w:left w:val="nil"/>
              <w:bottom w:val="single" w:sz="4" w:space="0" w:color="auto"/>
              <w:right w:val="single" w:sz="4" w:space="0" w:color="auto"/>
            </w:tcBorders>
            <w:shd w:val="clear" w:color="auto" w:fill="auto"/>
            <w:noWrap/>
            <w:vAlign w:val="bottom"/>
            <w:hideMark/>
          </w:tcPr>
          <w:p w14:paraId="770FA774"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28,982</w:t>
            </w:r>
          </w:p>
        </w:tc>
        <w:tc>
          <w:tcPr>
            <w:tcW w:w="2684" w:type="dxa"/>
            <w:tcBorders>
              <w:top w:val="nil"/>
              <w:left w:val="nil"/>
              <w:bottom w:val="single" w:sz="4" w:space="0" w:color="auto"/>
              <w:right w:val="single" w:sz="4" w:space="0" w:color="auto"/>
            </w:tcBorders>
            <w:shd w:val="clear" w:color="auto" w:fill="auto"/>
            <w:noWrap/>
            <w:vAlign w:val="bottom"/>
            <w:hideMark/>
          </w:tcPr>
          <w:p w14:paraId="2E9811D7"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98.56</w:t>
            </w:r>
          </w:p>
        </w:tc>
        <w:tc>
          <w:tcPr>
            <w:tcW w:w="2976" w:type="dxa"/>
            <w:tcBorders>
              <w:top w:val="nil"/>
              <w:left w:val="nil"/>
              <w:bottom w:val="single" w:sz="4" w:space="0" w:color="auto"/>
              <w:right w:val="single" w:sz="4" w:space="0" w:color="auto"/>
            </w:tcBorders>
            <w:shd w:val="clear" w:color="auto" w:fill="auto"/>
            <w:noWrap/>
            <w:vAlign w:val="bottom"/>
            <w:hideMark/>
          </w:tcPr>
          <w:p w14:paraId="1AF132F5"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1.44</w:t>
            </w:r>
          </w:p>
        </w:tc>
      </w:tr>
      <w:tr w:rsidR="00EF2E8D" w:rsidRPr="005A1511" w14:paraId="6F4B9509" w14:textId="77777777" w:rsidTr="009A7EFB">
        <w:trPr>
          <w:trHeight w:val="2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D437460"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202404</w:t>
            </w:r>
          </w:p>
        </w:tc>
        <w:tc>
          <w:tcPr>
            <w:tcW w:w="2020" w:type="dxa"/>
            <w:tcBorders>
              <w:top w:val="nil"/>
              <w:left w:val="nil"/>
              <w:bottom w:val="single" w:sz="4" w:space="0" w:color="auto"/>
              <w:right w:val="single" w:sz="4" w:space="0" w:color="auto"/>
            </w:tcBorders>
            <w:shd w:val="clear" w:color="auto" w:fill="auto"/>
            <w:noWrap/>
            <w:vAlign w:val="bottom"/>
            <w:hideMark/>
          </w:tcPr>
          <w:p w14:paraId="7FD465E1"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35,132</w:t>
            </w:r>
          </w:p>
        </w:tc>
        <w:tc>
          <w:tcPr>
            <w:tcW w:w="2684" w:type="dxa"/>
            <w:tcBorders>
              <w:top w:val="nil"/>
              <w:left w:val="nil"/>
              <w:bottom w:val="single" w:sz="4" w:space="0" w:color="auto"/>
              <w:right w:val="single" w:sz="4" w:space="0" w:color="auto"/>
            </w:tcBorders>
            <w:shd w:val="clear" w:color="auto" w:fill="auto"/>
            <w:noWrap/>
            <w:vAlign w:val="bottom"/>
            <w:hideMark/>
          </w:tcPr>
          <w:p w14:paraId="1255753B"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98.69</w:t>
            </w:r>
          </w:p>
        </w:tc>
        <w:tc>
          <w:tcPr>
            <w:tcW w:w="2976" w:type="dxa"/>
            <w:tcBorders>
              <w:top w:val="nil"/>
              <w:left w:val="nil"/>
              <w:bottom w:val="single" w:sz="4" w:space="0" w:color="auto"/>
              <w:right w:val="single" w:sz="4" w:space="0" w:color="auto"/>
            </w:tcBorders>
            <w:shd w:val="clear" w:color="auto" w:fill="auto"/>
            <w:noWrap/>
            <w:vAlign w:val="bottom"/>
            <w:hideMark/>
          </w:tcPr>
          <w:p w14:paraId="737F2216"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1.31</w:t>
            </w:r>
          </w:p>
        </w:tc>
      </w:tr>
      <w:tr w:rsidR="00EF2E8D" w:rsidRPr="005A1511" w14:paraId="6981AEA8" w14:textId="77777777" w:rsidTr="009A7EFB">
        <w:trPr>
          <w:trHeight w:val="2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1A15B9A"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202405</w:t>
            </w:r>
          </w:p>
        </w:tc>
        <w:tc>
          <w:tcPr>
            <w:tcW w:w="2020" w:type="dxa"/>
            <w:tcBorders>
              <w:top w:val="nil"/>
              <w:left w:val="nil"/>
              <w:bottom w:val="single" w:sz="4" w:space="0" w:color="auto"/>
              <w:right w:val="single" w:sz="4" w:space="0" w:color="auto"/>
            </w:tcBorders>
            <w:shd w:val="clear" w:color="auto" w:fill="auto"/>
            <w:noWrap/>
            <w:vAlign w:val="bottom"/>
            <w:hideMark/>
          </w:tcPr>
          <w:p w14:paraId="6643FAFC"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37,638</w:t>
            </w:r>
          </w:p>
        </w:tc>
        <w:tc>
          <w:tcPr>
            <w:tcW w:w="2684" w:type="dxa"/>
            <w:tcBorders>
              <w:top w:val="nil"/>
              <w:left w:val="nil"/>
              <w:bottom w:val="single" w:sz="4" w:space="0" w:color="auto"/>
              <w:right w:val="single" w:sz="4" w:space="0" w:color="auto"/>
            </w:tcBorders>
            <w:shd w:val="clear" w:color="auto" w:fill="auto"/>
            <w:noWrap/>
            <w:vAlign w:val="bottom"/>
            <w:hideMark/>
          </w:tcPr>
          <w:p w14:paraId="59007FCB"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98.81</w:t>
            </w:r>
          </w:p>
        </w:tc>
        <w:tc>
          <w:tcPr>
            <w:tcW w:w="2976" w:type="dxa"/>
            <w:tcBorders>
              <w:top w:val="nil"/>
              <w:left w:val="nil"/>
              <w:bottom w:val="single" w:sz="4" w:space="0" w:color="auto"/>
              <w:right w:val="single" w:sz="4" w:space="0" w:color="auto"/>
            </w:tcBorders>
            <w:shd w:val="clear" w:color="auto" w:fill="auto"/>
            <w:noWrap/>
            <w:vAlign w:val="bottom"/>
            <w:hideMark/>
          </w:tcPr>
          <w:p w14:paraId="03337E51"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1.19</w:t>
            </w:r>
          </w:p>
        </w:tc>
      </w:tr>
      <w:tr w:rsidR="00EF2E8D" w:rsidRPr="005A1511" w14:paraId="00C5F9F1" w14:textId="77777777" w:rsidTr="009A7EFB">
        <w:trPr>
          <w:trHeight w:val="2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F165CF1"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202406</w:t>
            </w:r>
          </w:p>
        </w:tc>
        <w:tc>
          <w:tcPr>
            <w:tcW w:w="2020" w:type="dxa"/>
            <w:tcBorders>
              <w:top w:val="nil"/>
              <w:left w:val="nil"/>
              <w:bottom w:val="single" w:sz="4" w:space="0" w:color="auto"/>
              <w:right w:val="single" w:sz="4" w:space="0" w:color="auto"/>
            </w:tcBorders>
            <w:shd w:val="clear" w:color="auto" w:fill="auto"/>
            <w:noWrap/>
            <w:vAlign w:val="bottom"/>
            <w:hideMark/>
          </w:tcPr>
          <w:p w14:paraId="07F86857"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36,478</w:t>
            </w:r>
          </w:p>
        </w:tc>
        <w:tc>
          <w:tcPr>
            <w:tcW w:w="2684" w:type="dxa"/>
            <w:tcBorders>
              <w:top w:val="nil"/>
              <w:left w:val="nil"/>
              <w:bottom w:val="single" w:sz="4" w:space="0" w:color="auto"/>
              <w:right w:val="single" w:sz="4" w:space="0" w:color="auto"/>
            </w:tcBorders>
            <w:shd w:val="clear" w:color="auto" w:fill="auto"/>
            <w:noWrap/>
            <w:vAlign w:val="bottom"/>
            <w:hideMark/>
          </w:tcPr>
          <w:p w14:paraId="5FC77C76"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98.92</w:t>
            </w:r>
          </w:p>
        </w:tc>
        <w:tc>
          <w:tcPr>
            <w:tcW w:w="2976" w:type="dxa"/>
            <w:tcBorders>
              <w:top w:val="nil"/>
              <w:left w:val="nil"/>
              <w:bottom w:val="single" w:sz="4" w:space="0" w:color="auto"/>
              <w:right w:val="single" w:sz="4" w:space="0" w:color="auto"/>
            </w:tcBorders>
            <w:shd w:val="clear" w:color="auto" w:fill="auto"/>
            <w:noWrap/>
            <w:vAlign w:val="bottom"/>
            <w:hideMark/>
          </w:tcPr>
          <w:p w14:paraId="02FEB72D"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1.08</w:t>
            </w:r>
          </w:p>
        </w:tc>
      </w:tr>
      <w:tr w:rsidR="00EF2E8D" w:rsidRPr="005A1511" w14:paraId="0661D116" w14:textId="77777777" w:rsidTr="009A7EFB">
        <w:trPr>
          <w:trHeight w:val="2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61235B2"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202407</w:t>
            </w:r>
          </w:p>
        </w:tc>
        <w:tc>
          <w:tcPr>
            <w:tcW w:w="2020" w:type="dxa"/>
            <w:tcBorders>
              <w:top w:val="nil"/>
              <w:left w:val="nil"/>
              <w:bottom w:val="single" w:sz="4" w:space="0" w:color="auto"/>
              <w:right w:val="single" w:sz="4" w:space="0" w:color="auto"/>
            </w:tcBorders>
            <w:shd w:val="clear" w:color="auto" w:fill="auto"/>
            <w:noWrap/>
            <w:vAlign w:val="bottom"/>
            <w:hideMark/>
          </w:tcPr>
          <w:p w14:paraId="43A2BF68"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43,217</w:t>
            </w:r>
          </w:p>
        </w:tc>
        <w:tc>
          <w:tcPr>
            <w:tcW w:w="2684" w:type="dxa"/>
            <w:tcBorders>
              <w:top w:val="nil"/>
              <w:left w:val="nil"/>
              <w:bottom w:val="single" w:sz="4" w:space="0" w:color="auto"/>
              <w:right w:val="single" w:sz="4" w:space="0" w:color="auto"/>
            </w:tcBorders>
            <w:shd w:val="clear" w:color="auto" w:fill="auto"/>
            <w:noWrap/>
            <w:vAlign w:val="bottom"/>
            <w:hideMark/>
          </w:tcPr>
          <w:p w14:paraId="5595C608"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98.90</w:t>
            </w:r>
          </w:p>
        </w:tc>
        <w:tc>
          <w:tcPr>
            <w:tcW w:w="2976" w:type="dxa"/>
            <w:tcBorders>
              <w:top w:val="nil"/>
              <w:left w:val="nil"/>
              <w:bottom w:val="single" w:sz="4" w:space="0" w:color="auto"/>
              <w:right w:val="single" w:sz="4" w:space="0" w:color="auto"/>
            </w:tcBorders>
            <w:shd w:val="clear" w:color="auto" w:fill="auto"/>
            <w:noWrap/>
            <w:vAlign w:val="bottom"/>
            <w:hideMark/>
          </w:tcPr>
          <w:p w14:paraId="6DDB0528"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1.10</w:t>
            </w:r>
          </w:p>
        </w:tc>
      </w:tr>
      <w:tr w:rsidR="00EF2E8D" w:rsidRPr="005A1511" w14:paraId="2613C19C" w14:textId="77777777" w:rsidTr="009A7EFB">
        <w:trPr>
          <w:trHeight w:val="2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19EEEB7"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202408</w:t>
            </w:r>
          </w:p>
        </w:tc>
        <w:tc>
          <w:tcPr>
            <w:tcW w:w="2020" w:type="dxa"/>
            <w:tcBorders>
              <w:top w:val="nil"/>
              <w:left w:val="nil"/>
              <w:bottom w:val="single" w:sz="4" w:space="0" w:color="auto"/>
              <w:right w:val="single" w:sz="4" w:space="0" w:color="auto"/>
            </w:tcBorders>
            <w:shd w:val="clear" w:color="auto" w:fill="auto"/>
            <w:noWrap/>
            <w:vAlign w:val="bottom"/>
            <w:hideMark/>
          </w:tcPr>
          <w:p w14:paraId="7938C562"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45,027</w:t>
            </w:r>
          </w:p>
        </w:tc>
        <w:tc>
          <w:tcPr>
            <w:tcW w:w="2684" w:type="dxa"/>
            <w:tcBorders>
              <w:top w:val="nil"/>
              <w:left w:val="nil"/>
              <w:bottom w:val="single" w:sz="4" w:space="0" w:color="auto"/>
              <w:right w:val="single" w:sz="4" w:space="0" w:color="auto"/>
            </w:tcBorders>
            <w:shd w:val="clear" w:color="auto" w:fill="auto"/>
            <w:noWrap/>
            <w:vAlign w:val="bottom"/>
            <w:hideMark/>
          </w:tcPr>
          <w:p w14:paraId="11F937D1"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98.93</w:t>
            </w:r>
          </w:p>
        </w:tc>
        <w:tc>
          <w:tcPr>
            <w:tcW w:w="2976" w:type="dxa"/>
            <w:tcBorders>
              <w:top w:val="nil"/>
              <w:left w:val="nil"/>
              <w:bottom w:val="single" w:sz="4" w:space="0" w:color="auto"/>
              <w:right w:val="single" w:sz="4" w:space="0" w:color="auto"/>
            </w:tcBorders>
            <w:shd w:val="clear" w:color="auto" w:fill="auto"/>
            <w:noWrap/>
            <w:vAlign w:val="bottom"/>
            <w:hideMark/>
          </w:tcPr>
          <w:p w14:paraId="20DF001B"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1.07</w:t>
            </w:r>
          </w:p>
        </w:tc>
      </w:tr>
      <w:tr w:rsidR="00EF2E8D" w:rsidRPr="005A1511" w14:paraId="6F1DC1D5" w14:textId="77777777" w:rsidTr="009A7EFB">
        <w:trPr>
          <w:trHeight w:val="2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EF7412E"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202409</w:t>
            </w:r>
          </w:p>
        </w:tc>
        <w:tc>
          <w:tcPr>
            <w:tcW w:w="2020" w:type="dxa"/>
            <w:tcBorders>
              <w:top w:val="nil"/>
              <w:left w:val="nil"/>
              <w:bottom w:val="single" w:sz="4" w:space="0" w:color="auto"/>
              <w:right w:val="single" w:sz="4" w:space="0" w:color="auto"/>
            </w:tcBorders>
            <w:shd w:val="clear" w:color="auto" w:fill="auto"/>
            <w:noWrap/>
            <w:vAlign w:val="bottom"/>
            <w:hideMark/>
          </w:tcPr>
          <w:p w14:paraId="4E8C74CD"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46,757</w:t>
            </w:r>
          </w:p>
        </w:tc>
        <w:tc>
          <w:tcPr>
            <w:tcW w:w="2684" w:type="dxa"/>
            <w:tcBorders>
              <w:top w:val="nil"/>
              <w:left w:val="nil"/>
              <w:bottom w:val="single" w:sz="4" w:space="0" w:color="auto"/>
              <w:right w:val="single" w:sz="4" w:space="0" w:color="auto"/>
            </w:tcBorders>
            <w:shd w:val="clear" w:color="auto" w:fill="auto"/>
            <w:noWrap/>
            <w:vAlign w:val="bottom"/>
            <w:hideMark/>
          </w:tcPr>
          <w:p w14:paraId="7D69B64F"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98.98</w:t>
            </w:r>
          </w:p>
        </w:tc>
        <w:tc>
          <w:tcPr>
            <w:tcW w:w="2976" w:type="dxa"/>
            <w:tcBorders>
              <w:top w:val="nil"/>
              <w:left w:val="nil"/>
              <w:bottom w:val="single" w:sz="4" w:space="0" w:color="auto"/>
              <w:right w:val="single" w:sz="4" w:space="0" w:color="auto"/>
            </w:tcBorders>
            <w:shd w:val="clear" w:color="auto" w:fill="auto"/>
            <w:noWrap/>
            <w:vAlign w:val="bottom"/>
            <w:hideMark/>
          </w:tcPr>
          <w:p w14:paraId="5B83ECBC"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1.02</w:t>
            </w:r>
          </w:p>
        </w:tc>
      </w:tr>
      <w:tr w:rsidR="00EF2E8D" w:rsidRPr="005A1511" w14:paraId="5243F830" w14:textId="77777777" w:rsidTr="009A7EFB">
        <w:trPr>
          <w:trHeight w:val="24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3A20AE7"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202410</w:t>
            </w:r>
          </w:p>
        </w:tc>
        <w:tc>
          <w:tcPr>
            <w:tcW w:w="2020" w:type="dxa"/>
            <w:tcBorders>
              <w:top w:val="nil"/>
              <w:left w:val="nil"/>
              <w:bottom w:val="single" w:sz="4" w:space="0" w:color="auto"/>
              <w:right w:val="single" w:sz="4" w:space="0" w:color="auto"/>
            </w:tcBorders>
            <w:shd w:val="clear" w:color="auto" w:fill="auto"/>
            <w:noWrap/>
            <w:vAlign w:val="bottom"/>
            <w:hideMark/>
          </w:tcPr>
          <w:p w14:paraId="5A8929F1"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51,784</w:t>
            </w:r>
          </w:p>
        </w:tc>
        <w:tc>
          <w:tcPr>
            <w:tcW w:w="2684" w:type="dxa"/>
            <w:tcBorders>
              <w:top w:val="nil"/>
              <w:left w:val="nil"/>
              <w:bottom w:val="single" w:sz="4" w:space="0" w:color="auto"/>
              <w:right w:val="single" w:sz="4" w:space="0" w:color="auto"/>
            </w:tcBorders>
            <w:shd w:val="clear" w:color="auto" w:fill="auto"/>
            <w:noWrap/>
            <w:vAlign w:val="bottom"/>
            <w:hideMark/>
          </w:tcPr>
          <w:p w14:paraId="5B1ADD36"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98.95</w:t>
            </w:r>
          </w:p>
        </w:tc>
        <w:tc>
          <w:tcPr>
            <w:tcW w:w="2976" w:type="dxa"/>
            <w:tcBorders>
              <w:top w:val="nil"/>
              <w:left w:val="nil"/>
              <w:bottom w:val="single" w:sz="4" w:space="0" w:color="auto"/>
              <w:right w:val="single" w:sz="4" w:space="0" w:color="auto"/>
            </w:tcBorders>
            <w:shd w:val="clear" w:color="auto" w:fill="auto"/>
            <w:noWrap/>
            <w:vAlign w:val="bottom"/>
            <w:hideMark/>
          </w:tcPr>
          <w:p w14:paraId="30A55894" w14:textId="77777777" w:rsidR="00EF2E8D" w:rsidRPr="005A1511" w:rsidRDefault="00EF2E8D" w:rsidP="00EF2E8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1.05</w:t>
            </w:r>
          </w:p>
        </w:tc>
      </w:tr>
    </w:tbl>
    <w:p w14:paraId="67F036F3" w14:textId="77777777" w:rsidR="00233D86" w:rsidRPr="005A1511" w:rsidRDefault="00233D86">
      <w:pPr>
        <w:rPr>
          <w:rFonts w:ascii="Arial" w:eastAsia="Arial" w:hAnsi="Arial" w:cs="Arial"/>
          <w:b/>
          <w:sz w:val="24"/>
          <w:szCs w:val="24"/>
        </w:rPr>
      </w:pPr>
      <w:r w:rsidRPr="005A1511">
        <w:rPr>
          <w:rFonts w:ascii="Arial" w:hAnsi="Arial" w:cs="Arial"/>
        </w:rPr>
        <w:br w:type="page"/>
      </w:r>
    </w:p>
    <w:p w14:paraId="64B5F6BB" w14:textId="1255281A" w:rsidR="004827C4" w:rsidRPr="005A1511" w:rsidRDefault="004827C4" w:rsidP="004827C4">
      <w:pPr>
        <w:pStyle w:val="Heading1"/>
      </w:pPr>
      <w:bookmarkStart w:id="61" w:name="_Appendix_3:_Data_1"/>
      <w:bookmarkStart w:id="62" w:name="_Toc189144453"/>
      <w:bookmarkEnd w:id="61"/>
      <w:r w:rsidRPr="005A1511">
        <w:lastRenderedPageBreak/>
        <w:t xml:space="preserve">Appendix </w:t>
      </w:r>
      <w:r w:rsidR="00991354" w:rsidRPr="005A1511">
        <w:t>3</w:t>
      </w:r>
      <w:r w:rsidRPr="005A1511">
        <w:t xml:space="preserve">: </w:t>
      </w:r>
      <w:r w:rsidR="00991354" w:rsidRPr="005A1511">
        <w:t>Data completeness and dashboard inclusion</w:t>
      </w:r>
      <w:bookmarkEnd w:id="62"/>
    </w:p>
    <w:p w14:paraId="70FF09B1" w14:textId="603CC6B8" w:rsidR="001C5087" w:rsidRPr="005A1511" w:rsidRDefault="00F2534D" w:rsidP="001C5087">
      <w:pPr>
        <w:rPr>
          <w:rFonts w:ascii="Arial" w:hAnsi="Arial" w:cs="Arial"/>
        </w:rPr>
      </w:pPr>
      <w:r w:rsidRPr="005A1511">
        <w:rPr>
          <w:rFonts w:ascii="Arial" w:hAnsi="Arial" w:cs="Arial"/>
        </w:rPr>
        <w:t xml:space="preserve">As mentioned </w:t>
      </w:r>
      <w:r w:rsidR="00DE6C29" w:rsidRPr="005A1511">
        <w:rPr>
          <w:rFonts w:ascii="Arial" w:hAnsi="Arial" w:cs="Arial"/>
        </w:rPr>
        <w:t xml:space="preserve">in the </w:t>
      </w:r>
      <w:hyperlink w:anchor="_Patient_identifiable_data" w:history="1">
        <w:r w:rsidR="00DE6C29" w:rsidRPr="005A1511">
          <w:rPr>
            <w:rStyle w:val="Hyperlink"/>
            <w:rFonts w:ascii="Arial" w:hAnsi="Arial" w:cs="Arial"/>
          </w:rPr>
          <w:t>Patient identifiable data completeness</w:t>
        </w:r>
      </w:hyperlink>
      <w:r w:rsidR="00DE6C29" w:rsidRPr="005A1511">
        <w:rPr>
          <w:rFonts w:ascii="Arial" w:hAnsi="Arial" w:cs="Arial"/>
        </w:rPr>
        <w:t xml:space="preserve"> section</w:t>
      </w:r>
      <w:r w:rsidRPr="005A1511">
        <w:rPr>
          <w:rFonts w:ascii="Arial" w:hAnsi="Arial" w:cs="Arial"/>
        </w:rPr>
        <w:t xml:space="preserve"> in this document, no restrictions are placed on the inclusion of </w:t>
      </w:r>
      <w:r w:rsidR="00F30623" w:rsidRPr="005A1511">
        <w:rPr>
          <w:rFonts w:ascii="Arial" w:hAnsi="Arial" w:cs="Arial"/>
        </w:rPr>
        <w:t xml:space="preserve">consultation activity where no valid NHS number has been captured for the </w:t>
      </w:r>
      <w:r w:rsidRPr="005A1511">
        <w:rPr>
          <w:rFonts w:ascii="Arial" w:hAnsi="Arial" w:cs="Arial"/>
        </w:rPr>
        <w:t>patient</w:t>
      </w:r>
      <w:r w:rsidR="00F30623" w:rsidRPr="005A1511">
        <w:rPr>
          <w:rFonts w:ascii="Arial" w:hAnsi="Arial" w:cs="Arial"/>
        </w:rPr>
        <w:t xml:space="preserve">.  </w:t>
      </w:r>
      <w:r w:rsidR="000859E2" w:rsidRPr="005A1511">
        <w:rPr>
          <w:rFonts w:ascii="Arial" w:hAnsi="Arial" w:cs="Arial"/>
        </w:rPr>
        <w:t>Where</w:t>
      </w:r>
      <w:r w:rsidR="006450ED" w:rsidRPr="005A1511">
        <w:rPr>
          <w:rFonts w:ascii="Arial" w:hAnsi="Arial" w:cs="Arial"/>
        </w:rPr>
        <w:t xml:space="preserve"> in the dashboard any</w:t>
      </w:r>
      <w:r w:rsidR="000859E2" w:rsidRPr="005A1511">
        <w:rPr>
          <w:rFonts w:ascii="Arial" w:hAnsi="Arial" w:cs="Arial"/>
        </w:rPr>
        <w:t xml:space="preserve"> such activity and patients appear is dependent on </w:t>
      </w:r>
      <w:r w:rsidR="00AA1C7B" w:rsidRPr="005A1511">
        <w:rPr>
          <w:rFonts w:ascii="Arial" w:hAnsi="Arial" w:cs="Arial"/>
        </w:rPr>
        <w:t>whether other data items, such a</w:t>
      </w:r>
      <w:r w:rsidR="006450ED" w:rsidRPr="005A1511">
        <w:rPr>
          <w:rFonts w:ascii="Arial" w:hAnsi="Arial" w:cs="Arial"/>
        </w:rPr>
        <w:t>s</w:t>
      </w:r>
      <w:r w:rsidR="00AA1C7B" w:rsidRPr="005A1511">
        <w:rPr>
          <w:rFonts w:ascii="Arial" w:hAnsi="Arial" w:cs="Arial"/>
        </w:rPr>
        <w:t xml:space="preserve"> GP practice ODS code, age band and gender have been captured on the </w:t>
      </w:r>
      <w:r w:rsidR="00FE3553" w:rsidRPr="005A1511">
        <w:rPr>
          <w:rFonts w:ascii="Arial" w:hAnsi="Arial" w:cs="Arial"/>
        </w:rPr>
        <w:t xml:space="preserve">consultation </w:t>
      </w:r>
      <w:r w:rsidR="00AA1C7B" w:rsidRPr="005A1511">
        <w:rPr>
          <w:rFonts w:ascii="Arial" w:hAnsi="Arial" w:cs="Arial"/>
        </w:rPr>
        <w:t>record.</w:t>
      </w:r>
    </w:p>
    <w:p w14:paraId="548306B6" w14:textId="66E2CB68" w:rsidR="00AA1C7B" w:rsidRPr="005A1511" w:rsidRDefault="00AA1C7B" w:rsidP="001C5087">
      <w:pPr>
        <w:rPr>
          <w:rFonts w:ascii="Arial" w:hAnsi="Arial" w:cs="Arial"/>
        </w:rPr>
      </w:pPr>
      <w:r w:rsidRPr="005A1511">
        <w:rPr>
          <w:rFonts w:ascii="Arial" w:hAnsi="Arial" w:cs="Arial"/>
        </w:rPr>
        <w:t>Broadly speaking, patients and consultation activity will be included on the following basis:</w:t>
      </w:r>
    </w:p>
    <w:p w14:paraId="3A3FFA41" w14:textId="5C698575" w:rsidR="0002597B" w:rsidRPr="005A1511" w:rsidRDefault="0002597B" w:rsidP="006954D2">
      <w:pPr>
        <w:pStyle w:val="ListParagraph"/>
        <w:numPr>
          <w:ilvl w:val="0"/>
          <w:numId w:val="27"/>
        </w:numPr>
        <w:rPr>
          <w:rFonts w:ascii="Arial" w:hAnsi="Arial" w:cs="Arial"/>
        </w:rPr>
      </w:pPr>
      <w:r w:rsidRPr="005A1511">
        <w:rPr>
          <w:rFonts w:ascii="Arial" w:hAnsi="Arial" w:cs="Arial"/>
        </w:rPr>
        <w:t>All consultations are included in the National and Community Pharmacy comparators, with no exclusions.</w:t>
      </w:r>
    </w:p>
    <w:p w14:paraId="0D8E6095" w14:textId="3D7B2405" w:rsidR="006954D2" w:rsidRPr="005A1511" w:rsidRDefault="006954D2" w:rsidP="006954D2">
      <w:pPr>
        <w:pStyle w:val="ListParagraph"/>
        <w:numPr>
          <w:ilvl w:val="0"/>
          <w:numId w:val="27"/>
        </w:numPr>
        <w:rPr>
          <w:rFonts w:ascii="Arial" w:hAnsi="Arial" w:cs="Arial"/>
        </w:rPr>
      </w:pPr>
      <w:r w:rsidRPr="005A1511">
        <w:rPr>
          <w:rFonts w:ascii="Arial" w:hAnsi="Arial" w:cs="Arial"/>
        </w:rPr>
        <w:t xml:space="preserve">Any patients without a valid NHS number will be included in all national </w:t>
      </w:r>
      <w:r w:rsidR="00CD08D1" w:rsidRPr="005A1511">
        <w:rPr>
          <w:rFonts w:ascii="Arial" w:hAnsi="Arial" w:cs="Arial"/>
        </w:rPr>
        <w:t>comparator</w:t>
      </w:r>
      <w:r w:rsidRPr="005A1511">
        <w:rPr>
          <w:rFonts w:ascii="Arial" w:hAnsi="Arial" w:cs="Arial"/>
        </w:rPr>
        <w:t xml:space="preserve">s, but such patients may be undercounted (see </w:t>
      </w:r>
      <w:r w:rsidR="00CF6ADB" w:rsidRPr="005A1511">
        <w:rPr>
          <w:rFonts w:ascii="Arial" w:hAnsi="Arial" w:cs="Arial"/>
        </w:rPr>
        <w:t xml:space="preserve">note 1 </w:t>
      </w:r>
      <w:r w:rsidRPr="005A1511">
        <w:rPr>
          <w:rFonts w:ascii="Arial" w:hAnsi="Arial" w:cs="Arial"/>
        </w:rPr>
        <w:t>below)</w:t>
      </w:r>
      <w:r w:rsidR="00A77D47" w:rsidRPr="005A1511">
        <w:rPr>
          <w:rFonts w:ascii="Arial" w:hAnsi="Arial" w:cs="Arial"/>
        </w:rPr>
        <w:t xml:space="preserve">.  At ICB and NHS </w:t>
      </w:r>
      <w:r w:rsidR="0031151C" w:rsidRPr="005A1511">
        <w:rPr>
          <w:rFonts w:ascii="Arial" w:hAnsi="Arial" w:cs="Arial"/>
        </w:rPr>
        <w:t>r</w:t>
      </w:r>
      <w:r w:rsidR="00A77D47" w:rsidRPr="005A1511">
        <w:rPr>
          <w:rFonts w:ascii="Arial" w:hAnsi="Arial" w:cs="Arial"/>
        </w:rPr>
        <w:t>egion level:</w:t>
      </w:r>
    </w:p>
    <w:p w14:paraId="4DAD2B92" w14:textId="2F6FC3F4" w:rsidR="006954D2" w:rsidRPr="005A1511" w:rsidRDefault="00500CCB" w:rsidP="00A77D47">
      <w:pPr>
        <w:pStyle w:val="ListParagraph"/>
        <w:numPr>
          <w:ilvl w:val="1"/>
          <w:numId w:val="27"/>
        </w:numPr>
        <w:rPr>
          <w:rFonts w:ascii="Arial" w:hAnsi="Arial" w:cs="Arial"/>
        </w:rPr>
      </w:pPr>
      <w:r w:rsidRPr="005A1511">
        <w:rPr>
          <w:rFonts w:ascii="Arial" w:hAnsi="Arial" w:cs="Arial"/>
        </w:rPr>
        <w:t>patients without a valid NHS number but with a valid GP ODS code</w:t>
      </w:r>
      <w:r w:rsidR="00CF6ADB" w:rsidRPr="005A1511">
        <w:rPr>
          <w:rFonts w:ascii="Arial" w:hAnsi="Arial" w:cs="Arial"/>
        </w:rPr>
        <w:t xml:space="preserve"> (see note 2 below)</w:t>
      </w:r>
      <w:r w:rsidRPr="005A1511">
        <w:rPr>
          <w:rFonts w:ascii="Arial" w:hAnsi="Arial" w:cs="Arial"/>
        </w:rPr>
        <w:t xml:space="preserve"> will appear in all ICB and </w:t>
      </w:r>
      <w:r w:rsidR="0031151C" w:rsidRPr="005A1511">
        <w:rPr>
          <w:rFonts w:ascii="Arial" w:hAnsi="Arial" w:cs="Arial"/>
        </w:rPr>
        <w:t>r</w:t>
      </w:r>
      <w:r w:rsidRPr="005A1511">
        <w:rPr>
          <w:rFonts w:ascii="Arial" w:hAnsi="Arial" w:cs="Arial"/>
        </w:rPr>
        <w:t xml:space="preserve">egion </w:t>
      </w:r>
      <w:r w:rsidR="00CD08D1" w:rsidRPr="005A1511">
        <w:rPr>
          <w:rFonts w:ascii="Arial" w:hAnsi="Arial" w:cs="Arial"/>
        </w:rPr>
        <w:t>comparator</w:t>
      </w:r>
      <w:r w:rsidRPr="005A1511">
        <w:rPr>
          <w:rFonts w:ascii="Arial" w:hAnsi="Arial" w:cs="Arial"/>
        </w:rPr>
        <w:t xml:space="preserve">s, but such patients may be </w:t>
      </w:r>
      <w:r w:rsidR="00184E16" w:rsidRPr="005A1511">
        <w:rPr>
          <w:rFonts w:ascii="Arial" w:hAnsi="Arial" w:cs="Arial"/>
        </w:rPr>
        <w:t>undercounted.</w:t>
      </w:r>
    </w:p>
    <w:p w14:paraId="1815211C" w14:textId="32F2D7CF" w:rsidR="0023140D" w:rsidRPr="005A1511" w:rsidRDefault="0023140D" w:rsidP="00A77D47">
      <w:pPr>
        <w:pStyle w:val="ListParagraph"/>
        <w:numPr>
          <w:ilvl w:val="1"/>
          <w:numId w:val="27"/>
        </w:numPr>
        <w:rPr>
          <w:rFonts w:ascii="Arial" w:hAnsi="Arial" w:cs="Arial"/>
        </w:rPr>
      </w:pPr>
      <w:r w:rsidRPr="005A1511">
        <w:rPr>
          <w:rFonts w:ascii="Arial" w:hAnsi="Arial" w:cs="Arial"/>
        </w:rPr>
        <w:t>Consultations for patients without a valid NHS number, but with a valid GP ODS code</w:t>
      </w:r>
      <w:r w:rsidR="0004252A" w:rsidRPr="005A1511">
        <w:rPr>
          <w:rFonts w:ascii="Arial" w:hAnsi="Arial" w:cs="Arial"/>
        </w:rPr>
        <w:t xml:space="preserve"> will appear in all ICB and NHS </w:t>
      </w:r>
      <w:r w:rsidR="0031151C" w:rsidRPr="005A1511">
        <w:rPr>
          <w:rFonts w:ascii="Arial" w:hAnsi="Arial" w:cs="Arial"/>
        </w:rPr>
        <w:t>r</w:t>
      </w:r>
      <w:r w:rsidR="0004252A" w:rsidRPr="005A1511">
        <w:rPr>
          <w:rFonts w:ascii="Arial" w:hAnsi="Arial" w:cs="Arial"/>
        </w:rPr>
        <w:t>egion comparators, and be counted accurately.</w:t>
      </w:r>
    </w:p>
    <w:p w14:paraId="6D1BBD0B" w14:textId="0DCB5CC9" w:rsidR="00500CCB" w:rsidRPr="005A1511" w:rsidRDefault="00500CCB" w:rsidP="00A77D47">
      <w:pPr>
        <w:pStyle w:val="ListParagraph"/>
        <w:numPr>
          <w:ilvl w:val="1"/>
          <w:numId w:val="27"/>
        </w:numPr>
        <w:rPr>
          <w:rFonts w:ascii="Arial" w:hAnsi="Arial" w:cs="Arial"/>
        </w:rPr>
      </w:pPr>
      <w:r w:rsidRPr="005A1511">
        <w:rPr>
          <w:rFonts w:ascii="Arial" w:hAnsi="Arial" w:cs="Arial"/>
        </w:rPr>
        <w:t xml:space="preserve">patients without a valid NHS number but without a valid GP ODS code will not appear in any ICB and </w:t>
      </w:r>
      <w:r w:rsidR="0031151C" w:rsidRPr="005A1511">
        <w:rPr>
          <w:rFonts w:ascii="Arial" w:hAnsi="Arial" w:cs="Arial"/>
        </w:rPr>
        <w:t>r</w:t>
      </w:r>
      <w:r w:rsidRPr="005A1511">
        <w:rPr>
          <w:rFonts w:ascii="Arial" w:hAnsi="Arial" w:cs="Arial"/>
        </w:rPr>
        <w:t xml:space="preserve">egion </w:t>
      </w:r>
      <w:r w:rsidR="00CD08D1" w:rsidRPr="005A1511">
        <w:rPr>
          <w:rFonts w:ascii="Arial" w:hAnsi="Arial" w:cs="Arial"/>
        </w:rPr>
        <w:t>comparator</w:t>
      </w:r>
      <w:r w:rsidRPr="005A1511">
        <w:rPr>
          <w:rFonts w:ascii="Arial" w:hAnsi="Arial" w:cs="Arial"/>
        </w:rPr>
        <w:t xml:space="preserve">s, but such patients may be </w:t>
      </w:r>
      <w:r w:rsidR="00184E16" w:rsidRPr="005A1511">
        <w:rPr>
          <w:rFonts w:ascii="Arial" w:hAnsi="Arial" w:cs="Arial"/>
        </w:rPr>
        <w:t>undercounted.</w:t>
      </w:r>
    </w:p>
    <w:p w14:paraId="03B52639" w14:textId="33790F66" w:rsidR="0004252A" w:rsidRPr="005A1511" w:rsidRDefault="0004252A" w:rsidP="00F9168F">
      <w:pPr>
        <w:pStyle w:val="ListParagraph"/>
        <w:numPr>
          <w:ilvl w:val="1"/>
          <w:numId w:val="27"/>
        </w:numPr>
        <w:rPr>
          <w:rFonts w:ascii="Arial" w:hAnsi="Arial" w:cs="Arial"/>
        </w:rPr>
      </w:pPr>
      <w:r w:rsidRPr="005A1511">
        <w:rPr>
          <w:rFonts w:ascii="Arial" w:hAnsi="Arial" w:cs="Arial"/>
        </w:rPr>
        <w:t xml:space="preserve">Consultations for patients without a valid NHS number, but without a valid GP ODS code will not be included in any ICB and NHS </w:t>
      </w:r>
      <w:r w:rsidR="0031151C" w:rsidRPr="005A1511">
        <w:rPr>
          <w:rFonts w:ascii="Arial" w:hAnsi="Arial" w:cs="Arial"/>
        </w:rPr>
        <w:t>r</w:t>
      </w:r>
      <w:r w:rsidRPr="005A1511">
        <w:rPr>
          <w:rFonts w:ascii="Arial" w:hAnsi="Arial" w:cs="Arial"/>
        </w:rPr>
        <w:t>egion comparators.</w:t>
      </w:r>
    </w:p>
    <w:p w14:paraId="43EF1457" w14:textId="3C7352E4" w:rsidR="00500CCB" w:rsidRPr="005A1511" w:rsidRDefault="0004252A" w:rsidP="006954D2">
      <w:pPr>
        <w:pStyle w:val="ListParagraph"/>
        <w:numPr>
          <w:ilvl w:val="0"/>
          <w:numId w:val="27"/>
        </w:numPr>
        <w:rPr>
          <w:rFonts w:ascii="Arial" w:hAnsi="Arial" w:cs="Arial"/>
        </w:rPr>
      </w:pPr>
      <w:r w:rsidRPr="005A1511">
        <w:rPr>
          <w:rFonts w:ascii="Arial" w:hAnsi="Arial" w:cs="Arial"/>
        </w:rPr>
        <w:t>P</w:t>
      </w:r>
      <w:r w:rsidR="00500CCB" w:rsidRPr="005A1511">
        <w:rPr>
          <w:rFonts w:ascii="Arial" w:hAnsi="Arial" w:cs="Arial"/>
        </w:rPr>
        <w:t xml:space="preserve">atients without a valid NHS number will appear in the Community Pharmacy </w:t>
      </w:r>
      <w:r w:rsidR="00CD08D1" w:rsidRPr="005A1511">
        <w:rPr>
          <w:rFonts w:ascii="Arial" w:hAnsi="Arial" w:cs="Arial"/>
        </w:rPr>
        <w:t>comparator</w:t>
      </w:r>
      <w:r w:rsidR="00500CCB" w:rsidRPr="005A1511">
        <w:rPr>
          <w:rFonts w:ascii="Arial" w:hAnsi="Arial" w:cs="Arial"/>
        </w:rPr>
        <w:t xml:space="preserve">s, but such patients may be </w:t>
      </w:r>
      <w:r w:rsidR="00184E16" w:rsidRPr="005A1511">
        <w:rPr>
          <w:rFonts w:ascii="Arial" w:hAnsi="Arial" w:cs="Arial"/>
        </w:rPr>
        <w:t>undercounted.</w:t>
      </w:r>
    </w:p>
    <w:p w14:paraId="39E603C9" w14:textId="400E88F1" w:rsidR="00500CCB" w:rsidRPr="005A1511" w:rsidRDefault="00F43D9C" w:rsidP="00792C49">
      <w:pPr>
        <w:pStyle w:val="ListParagraph"/>
        <w:numPr>
          <w:ilvl w:val="0"/>
          <w:numId w:val="27"/>
        </w:numPr>
        <w:rPr>
          <w:rFonts w:ascii="Arial" w:hAnsi="Arial" w:cs="Arial"/>
        </w:rPr>
      </w:pPr>
      <w:r w:rsidRPr="005A1511">
        <w:rPr>
          <w:rFonts w:ascii="Arial" w:hAnsi="Arial" w:cs="Arial"/>
        </w:rPr>
        <w:t>A</w:t>
      </w:r>
      <w:r w:rsidR="007F0C92" w:rsidRPr="005A1511">
        <w:rPr>
          <w:rFonts w:ascii="Arial" w:hAnsi="Arial" w:cs="Arial"/>
        </w:rPr>
        <w:t>ll</w:t>
      </w:r>
      <w:r w:rsidRPr="005A1511">
        <w:rPr>
          <w:rFonts w:ascii="Arial" w:hAnsi="Arial" w:cs="Arial"/>
        </w:rPr>
        <w:t xml:space="preserve"> Pharmacy First consultation</w:t>
      </w:r>
      <w:r w:rsidR="007F0C92" w:rsidRPr="005A1511">
        <w:rPr>
          <w:rFonts w:ascii="Arial" w:hAnsi="Arial" w:cs="Arial"/>
        </w:rPr>
        <w:t xml:space="preserve"> records have an age band and gender</w:t>
      </w:r>
      <w:r w:rsidRPr="005A1511">
        <w:rPr>
          <w:rFonts w:ascii="Arial" w:hAnsi="Arial" w:cs="Arial"/>
        </w:rPr>
        <w:t xml:space="preserve"> recorded</w:t>
      </w:r>
      <w:r w:rsidR="007F0C92" w:rsidRPr="005A1511">
        <w:rPr>
          <w:rFonts w:ascii="Arial" w:hAnsi="Arial" w:cs="Arial"/>
        </w:rPr>
        <w:t xml:space="preserve">, so all patients without a valid NHS number will appear in </w:t>
      </w:r>
      <w:r w:rsidR="00705A76" w:rsidRPr="005A1511">
        <w:rPr>
          <w:rFonts w:ascii="Arial" w:hAnsi="Arial" w:cs="Arial"/>
        </w:rPr>
        <w:t>the Pathway by D</w:t>
      </w:r>
      <w:r w:rsidR="007F0C92" w:rsidRPr="005A1511">
        <w:rPr>
          <w:rFonts w:ascii="Arial" w:hAnsi="Arial" w:cs="Arial"/>
        </w:rPr>
        <w:t xml:space="preserve">emographic and </w:t>
      </w:r>
      <w:r w:rsidR="00705A76" w:rsidRPr="005A1511">
        <w:rPr>
          <w:rFonts w:ascii="Arial" w:hAnsi="Arial" w:cs="Arial"/>
        </w:rPr>
        <w:t xml:space="preserve">Uncomplicated </w:t>
      </w:r>
      <w:r w:rsidR="007F0C92" w:rsidRPr="005A1511">
        <w:rPr>
          <w:rFonts w:ascii="Arial" w:hAnsi="Arial" w:cs="Arial"/>
        </w:rPr>
        <w:t xml:space="preserve">UTI </w:t>
      </w:r>
      <w:r w:rsidR="00705A76" w:rsidRPr="005A1511">
        <w:rPr>
          <w:rFonts w:ascii="Arial" w:hAnsi="Arial" w:cs="Arial"/>
        </w:rPr>
        <w:t xml:space="preserve">Pathway </w:t>
      </w:r>
      <w:r w:rsidR="00CD08D1" w:rsidRPr="005A1511">
        <w:rPr>
          <w:rFonts w:ascii="Arial" w:hAnsi="Arial" w:cs="Arial"/>
        </w:rPr>
        <w:t>comparator</w:t>
      </w:r>
      <w:r w:rsidR="007F0C92" w:rsidRPr="005A1511">
        <w:rPr>
          <w:rFonts w:ascii="Arial" w:hAnsi="Arial" w:cs="Arial"/>
        </w:rPr>
        <w:t xml:space="preserve">s at national level, and those without a valid NHS number but with a valid GP ODS code will also appear in demographic and UTI </w:t>
      </w:r>
      <w:r w:rsidR="00CD08D1" w:rsidRPr="005A1511">
        <w:rPr>
          <w:rFonts w:ascii="Arial" w:hAnsi="Arial" w:cs="Arial"/>
        </w:rPr>
        <w:t>comparator</w:t>
      </w:r>
      <w:r w:rsidR="007F0C92" w:rsidRPr="005A1511">
        <w:rPr>
          <w:rFonts w:ascii="Arial" w:hAnsi="Arial" w:cs="Arial"/>
        </w:rPr>
        <w:t xml:space="preserve">s at ICB and </w:t>
      </w:r>
      <w:r w:rsidR="000E1C6F" w:rsidRPr="005A1511">
        <w:rPr>
          <w:rFonts w:ascii="Arial" w:hAnsi="Arial" w:cs="Arial"/>
        </w:rPr>
        <w:t>r</w:t>
      </w:r>
      <w:r w:rsidR="007F0C92" w:rsidRPr="005A1511">
        <w:rPr>
          <w:rFonts w:ascii="Arial" w:hAnsi="Arial" w:cs="Arial"/>
        </w:rPr>
        <w:t>egion level</w:t>
      </w:r>
      <w:r w:rsidRPr="005A1511">
        <w:rPr>
          <w:rFonts w:ascii="Arial" w:hAnsi="Arial" w:cs="Arial"/>
        </w:rPr>
        <w:t xml:space="preserve"> (where they may be undercounted, in line with Note 1 below)</w:t>
      </w:r>
      <w:r w:rsidR="007F0C92" w:rsidRPr="005A1511">
        <w:rPr>
          <w:rFonts w:ascii="Arial" w:hAnsi="Arial" w:cs="Arial"/>
        </w:rPr>
        <w:t>.</w:t>
      </w:r>
    </w:p>
    <w:p w14:paraId="56CBB37C" w14:textId="3C71CA98" w:rsidR="00AF06D0" w:rsidRPr="005A1511" w:rsidRDefault="0084044E" w:rsidP="0084044E">
      <w:pPr>
        <w:rPr>
          <w:rFonts w:ascii="Arial" w:hAnsi="Arial" w:cs="Arial"/>
        </w:rPr>
      </w:pPr>
      <w:r w:rsidRPr="005A1511">
        <w:rPr>
          <w:rFonts w:ascii="Arial" w:hAnsi="Arial" w:cs="Arial"/>
        </w:rPr>
        <w:t xml:space="preserve">To further illustrate the impact of </w:t>
      </w:r>
      <w:r w:rsidR="003C38B2" w:rsidRPr="005A1511">
        <w:rPr>
          <w:rFonts w:ascii="Arial" w:hAnsi="Arial" w:cs="Arial"/>
        </w:rPr>
        <w:t xml:space="preserve">missing or </w:t>
      </w:r>
      <w:r w:rsidRPr="005A1511">
        <w:rPr>
          <w:rFonts w:ascii="Arial" w:hAnsi="Arial" w:cs="Arial"/>
        </w:rPr>
        <w:t>invalid NHS numbers</w:t>
      </w:r>
      <w:r w:rsidR="003C38B2" w:rsidRPr="005A1511">
        <w:rPr>
          <w:rFonts w:ascii="Arial" w:hAnsi="Arial" w:cs="Arial"/>
        </w:rPr>
        <w:t xml:space="preserve">, and missing or invalid GP ODS codes, see the matrix table </w:t>
      </w:r>
      <w:r w:rsidR="0009037C" w:rsidRPr="005A1511">
        <w:rPr>
          <w:rFonts w:ascii="Arial" w:hAnsi="Arial" w:cs="Arial"/>
        </w:rPr>
        <w:t>overleaf</w:t>
      </w:r>
      <w:r w:rsidR="004E2B3E" w:rsidRPr="005A1511">
        <w:rPr>
          <w:rFonts w:ascii="Arial" w:hAnsi="Arial" w:cs="Arial"/>
        </w:rPr>
        <w:t>; this shows the degree of inclusion, and at which organisational levels a patient</w:t>
      </w:r>
      <w:r w:rsidR="007305F8" w:rsidRPr="005A1511">
        <w:rPr>
          <w:rFonts w:ascii="Arial" w:hAnsi="Arial" w:cs="Arial"/>
        </w:rPr>
        <w:t xml:space="preserve">, </w:t>
      </w:r>
      <w:r w:rsidR="004E2B3E" w:rsidRPr="005A1511">
        <w:rPr>
          <w:rFonts w:ascii="Arial" w:hAnsi="Arial" w:cs="Arial"/>
        </w:rPr>
        <w:t xml:space="preserve">consultation or item will </w:t>
      </w:r>
      <w:r w:rsidR="007305F8" w:rsidRPr="005A1511">
        <w:rPr>
          <w:rFonts w:ascii="Arial" w:hAnsi="Arial" w:cs="Arial"/>
        </w:rPr>
        <w:t>be subject to, based upon the validity of the NHS number and GP ODS code on the consultation record.</w:t>
      </w:r>
    </w:p>
    <w:p w14:paraId="1F5B441D" w14:textId="77777777" w:rsidR="00AF06D0" w:rsidRPr="005A1511" w:rsidRDefault="00AF06D0">
      <w:pPr>
        <w:rPr>
          <w:rFonts w:ascii="Arial" w:hAnsi="Arial" w:cs="Arial"/>
        </w:rPr>
      </w:pPr>
      <w:r w:rsidRPr="005A1511">
        <w:rPr>
          <w:rFonts w:ascii="Arial" w:hAnsi="Arial" w:cs="Arial"/>
        </w:rPr>
        <w:br w:type="page"/>
      </w:r>
    </w:p>
    <w:p w14:paraId="7F062FDA" w14:textId="77777777" w:rsidR="0084044E" w:rsidRPr="005A1511" w:rsidRDefault="0084044E" w:rsidP="0084044E">
      <w:pPr>
        <w:rPr>
          <w:rFonts w:ascii="Arial" w:hAnsi="Arial" w:cs="Arial"/>
        </w:rPr>
      </w:pPr>
    </w:p>
    <w:tbl>
      <w:tblPr>
        <w:tblStyle w:val="TableGrid"/>
        <w:tblW w:w="0" w:type="auto"/>
        <w:tblLook w:val="04A0" w:firstRow="1" w:lastRow="0" w:firstColumn="1" w:lastColumn="0" w:noHBand="0" w:noVBand="1"/>
      </w:tblPr>
      <w:tblGrid>
        <w:gridCol w:w="2358"/>
        <w:gridCol w:w="2182"/>
        <w:gridCol w:w="2630"/>
        <w:gridCol w:w="2458"/>
      </w:tblGrid>
      <w:tr w:rsidR="00C35E36" w:rsidRPr="005A1511" w14:paraId="6E0CF0E6" w14:textId="77777777" w:rsidTr="00C35E36">
        <w:tc>
          <w:tcPr>
            <w:tcW w:w="2358" w:type="dxa"/>
          </w:tcPr>
          <w:p w14:paraId="55325FD8" w14:textId="31EA8D06" w:rsidR="00C35E36" w:rsidRPr="005A1511" w:rsidRDefault="0092502A" w:rsidP="0084044E">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r w:rsidRPr="005A1511">
              <w:rPr>
                <w:rFonts w:ascii="Arial" w:hAnsi="Arial" w:cs="Arial"/>
                <w:b/>
                <w:bCs/>
              </w:rPr>
              <w:t>Data completeness</w:t>
            </w:r>
          </w:p>
        </w:tc>
        <w:tc>
          <w:tcPr>
            <w:tcW w:w="2182" w:type="dxa"/>
          </w:tcPr>
          <w:p w14:paraId="1F8CDB58" w14:textId="0D5434BE" w:rsidR="00C35E36" w:rsidRPr="005A1511" w:rsidRDefault="0092502A" w:rsidP="0084044E">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r w:rsidRPr="005A1511">
              <w:rPr>
                <w:rFonts w:ascii="Arial" w:hAnsi="Arial" w:cs="Arial"/>
                <w:b/>
                <w:bCs/>
              </w:rPr>
              <w:t>Data Items</w:t>
            </w:r>
          </w:p>
        </w:tc>
        <w:tc>
          <w:tcPr>
            <w:tcW w:w="2630" w:type="dxa"/>
          </w:tcPr>
          <w:p w14:paraId="0893BB50" w14:textId="1CC7296C" w:rsidR="00C35E36" w:rsidRPr="005A1511" w:rsidRDefault="00C35E36" w:rsidP="0084044E">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r w:rsidRPr="005A1511">
              <w:rPr>
                <w:rFonts w:ascii="Arial" w:hAnsi="Arial" w:cs="Arial"/>
                <w:b/>
                <w:bCs/>
              </w:rPr>
              <w:t>Has a valid NHS number</w:t>
            </w:r>
          </w:p>
        </w:tc>
        <w:tc>
          <w:tcPr>
            <w:tcW w:w="2458" w:type="dxa"/>
          </w:tcPr>
          <w:p w14:paraId="2685975F" w14:textId="49650B45" w:rsidR="00C35E36" w:rsidRPr="005A1511" w:rsidRDefault="00C35E36" w:rsidP="0084044E">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r w:rsidRPr="005A1511">
              <w:rPr>
                <w:rFonts w:ascii="Arial" w:hAnsi="Arial" w:cs="Arial"/>
                <w:b/>
                <w:bCs/>
              </w:rPr>
              <w:t>No valid NHS number</w:t>
            </w:r>
          </w:p>
        </w:tc>
      </w:tr>
      <w:tr w:rsidR="00C35E36" w:rsidRPr="005A1511" w14:paraId="4E7B8E76" w14:textId="77777777" w:rsidTr="002879BE">
        <w:trPr>
          <w:trHeight w:val="826"/>
        </w:trPr>
        <w:tc>
          <w:tcPr>
            <w:tcW w:w="2358" w:type="dxa"/>
            <w:vMerge w:val="restart"/>
          </w:tcPr>
          <w:p w14:paraId="01829C26" w14:textId="19FFABEC" w:rsidR="00C35E36" w:rsidRPr="005A1511" w:rsidRDefault="00C35E36" w:rsidP="0084044E">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r w:rsidRPr="005A1511">
              <w:rPr>
                <w:rFonts w:ascii="Arial" w:hAnsi="Arial" w:cs="Arial"/>
                <w:b/>
                <w:bCs/>
              </w:rPr>
              <w:t>Has a valid GP ODS code</w:t>
            </w:r>
          </w:p>
        </w:tc>
        <w:tc>
          <w:tcPr>
            <w:tcW w:w="2182" w:type="dxa"/>
          </w:tcPr>
          <w:p w14:paraId="30FCDEE8" w14:textId="4636AFF2" w:rsidR="00C35E36" w:rsidRPr="005A1511" w:rsidRDefault="00C35E36" w:rsidP="0084044E">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Consultations</w:t>
            </w:r>
            <w:r w:rsidR="00270CE1" w:rsidRPr="005A1511">
              <w:rPr>
                <w:rFonts w:ascii="Arial" w:hAnsi="Arial" w:cs="Arial"/>
              </w:rPr>
              <w:t xml:space="preserve"> and items</w:t>
            </w:r>
          </w:p>
        </w:tc>
        <w:tc>
          <w:tcPr>
            <w:tcW w:w="2630" w:type="dxa"/>
          </w:tcPr>
          <w:p w14:paraId="0AAD0333" w14:textId="6325202A" w:rsidR="00C35E36" w:rsidRPr="005A1511" w:rsidRDefault="004E2B3E" w:rsidP="0084044E">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Includes</w:t>
            </w:r>
            <w:r w:rsidR="00D915B4" w:rsidRPr="005A1511">
              <w:rPr>
                <w:rFonts w:ascii="Arial" w:hAnsi="Arial" w:cs="Arial"/>
              </w:rPr>
              <w:t xml:space="preserve"> all</w:t>
            </w:r>
          </w:p>
        </w:tc>
        <w:tc>
          <w:tcPr>
            <w:tcW w:w="2458" w:type="dxa"/>
          </w:tcPr>
          <w:p w14:paraId="2A606125" w14:textId="6A153892" w:rsidR="00C35E36" w:rsidRPr="005A1511" w:rsidRDefault="004E2B3E" w:rsidP="0084044E">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Includes</w:t>
            </w:r>
            <w:r w:rsidR="0092502A" w:rsidRPr="005A1511">
              <w:rPr>
                <w:rFonts w:ascii="Arial" w:hAnsi="Arial" w:cs="Arial"/>
              </w:rPr>
              <w:t xml:space="preserve"> all</w:t>
            </w:r>
          </w:p>
        </w:tc>
      </w:tr>
      <w:tr w:rsidR="00C35E36" w:rsidRPr="005A1511" w14:paraId="7CB17B9A" w14:textId="77777777" w:rsidTr="002879BE">
        <w:trPr>
          <w:trHeight w:val="838"/>
        </w:trPr>
        <w:tc>
          <w:tcPr>
            <w:tcW w:w="2358" w:type="dxa"/>
            <w:vMerge/>
          </w:tcPr>
          <w:p w14:paraId="3CBD101F" w14:textId="77777777" w:rsidR="00C35E36" w:rsidRPr="005A1511" w:rsidRDefault="00C35E36" w:rsidP="0084044E">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p>
        </w:tc>
        <w:tc>
          <w:tcPr>
            <w:tcW w:w="2182" w:type="dxa"/>
          </w:tcPr>
          <w:p w14:paraId="3C205C97" w14:textId="05BAE362" w:rsidR="00C35E36" w:rsidRPr="005A1511" w:rsidRDefault="00C35E36" w:rsidP="0084044E">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Patients</w:t>
            </w:r>
          </w:p>
        </w:tc>
        <w:tc>
          <w:tcPr>
            <w:tcW w:w="2630" w:type="dxa"/>
          </w:tcPr>
          <w:p w14:paraId="408CD2D7" w14:textId="5D7CDB7C" w:rsidR="00C35E36" w:rsidRPr="005A1511" w:rsidRDefault="004E2B3E" w:rsidP="0084044E">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Includes</w:t>
            </w:r>
            <w:r w:rsidR="0092502A" w:rsidRPr="005A1511">
              <w:rPr>
                <w:rFonts w:ascii="Arial" w:hAnsi="Arial" w:cs="Arial"/>
              </w:rPr>
              <w:t xml:space="preserve"> all</w:t>
            </w:r>
          </w:p>
        </w:tc>
        <w:tc>
          <w:tcPr>
            <w:tcW w:w="2458" w:type="dxa"/>
          </w:tcPr>
          <w:p w14:paraId="75814E9B" w14:textId="28919395" w:rsidR="00C35E36" w:rsidRPr="005A1511" w:rsidRDefault="002879BE" w:rsidP="0084044E">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Includes all, but under</w:t>
            </w:r>
            <w:r w:rsidR="004E2B3E" w:rsidRPr="005A1511">
              <w:rPr>
                <w:rFonts w:ascii="Arial" w:hAnsi="Arial" w:cs="Arial"/>
              </w:rPr>
              <w:t>counts</w:t>
            </w:r>
          </w:p>
        </w:tc>
      </w:tr>
      <w:tr w:rsidR="00C35E36" w:rsidRPr="005A1511" w14:paraId="4BC25796" w14:textId="77777777" w:rsidTr="002879BE">
        <w:trPr>
          <w:trHeight w:val="952"/>
        </w:trPr>
        <w:tc>
          <w:tcPr>
            <w:tcW w:w="2358" w:type="dxa"/>
            <w:vMerge/>
          </w:tcPr>
          <w:p w14:paraId="3FDFC758" w14:textId="77777777" w:rsidR="00C35E36" w:rsidRPr="005A1511" w:rsidRDefault="00C35E36" w:rsidP="0084044E">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p>
        </w:tc>
        <w:tc>
          <w:tcPr>
            <w:tcW w:w="2182" w:type="dxa"/>
          </w:tcPr>
          <w:p w14:paraId="06EF5350" w14:textId="291D2DE0" w:rsidR="00C35E36" w:rsidRPr="005A1511" w:rsidRDefault="00270CE1" w:rsidP="0084044E">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Organisational assignment</w:t>
            </w:r>
          </w:p>
        </w:tc>
        <w:tc>
          <w:tcPr>
            <w:tcW w:w="2630" w:type="dxa"/>
          </w:tcPr>
          <w:p w14:paraId="265BDD76" w14:textId="628F8E73" w:rsidR="00C35E36" w:rsidRPr="005A1511" w:rsidRDefault="0092502A" w:rsidP="0084044E">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Assigned to all levels</w:t>
            </w:r>
          </w:p>
        </w:tc>
        <w:tc>
          <w:tcPr>
            <w:tcW w:w="2458" w:type="dxa"/>
          </w:tcPr>
          <w:p w14:paraId="2D4BB097" w14:textId="6BEF1544" w:rsidR="00C35E36" w:rsidRPr="005A1511" w:rsidRDefault="002879BE" w:rsidP="0084044E">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Assigned to all levels</w:t>
            </w:r>
          </w:p>
        </w:tc>
      </w:tr>
      <w:tr w:rsidR="00D915B4" w:rsidRPr="005A1511" w14:paraId="422A6C38" w14:textId="77777777" w:rsidTr="00C35E36">
        <w:trPr>
          <w:trHeight w:val="930"/>
        </w:trPr>
        <w:tc>
          <w:tcPr>
            <w:tcW w:w="2358" w:type="dxa"/>
            <w:vMerge w:val="restart"/>
          </w:tcPr>
          <w:p w14:paraId="4AE61A94" w14:textId="6C902265" w:rsidR="00D915B4" w:rsidRPr="005A1511" w:rsidRDefault="00D915B4" w:rsidP="00D915B4">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r w:rsidRPr="005A1511">
              <w:rPr>
                <w:rFonts w:ascii="Arial" w:hAnsi="Arial" w:cs="Arial"/>
                <w:b/>
                <w:bCs/>
              </w:rPr>
              <w:t>No valid GP ODS code</w:t>
            </w:r>
          </w:p>
        </w:tc>
        <w:tc>
          <w:tcPr>
            <w:tcW w:w="2182" w:type="dxa"/>
          </w:tcPr>
          <w:p w14:paraId="47C84723" w14:textId="30B389BB" w:rsidR="00D915B4" w:rsidRPr="005A1511" w:rsidRDefault="00D915B4" w:rsidP="00D915B4">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Consultations and items</w:t>
            </w:r>
          </w:p>
        </w:tc>
        <w:tc>
          <w:tcPr>
            <w:tcW w:w="2630" w:type="dxa"/>
          </w:tcPr>
          <w:p w14:paraId="78966C30" w14:textId="27270500" w:rsidR="00D915B4" w:rsidRPr="005A1511" w:rsidRDefault="004E2B3E" w:rsidP="00D915B4">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Includes</w:t>
            </w:r>
            <w:r w:rsidR="002879BE" w:rsidRPr="005A1511">
              <w:rPr>
                <w:rFonts w:ascii="Arial" w:hAnsi="Arial" w:cs="Arial"/>
              </w:rPr>
              <w:t xml:space="preserve"> all</w:t>
            </w:r>
          </w:p>
        </w:tc>
        <w:tc>
          <w:tcPr>
            <w:tcW w:w="2458" w:type="dxa"/>
          </w:tcPr>
          <w:p w14:paraId="3DC17821" w14:textId="19E11FA4" w:rsidR="00D915B4" w:rsidRPr="005A1511" w:rsidRDefault="004E2B3E" w:rsidP="00D915B4">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Includes</w:t>
            </w:r>
            <w:r w:rsidR="002879BE" w:rsidRPr="005A1511">
              <w:rPr>
                <w:rFonts w:ascii="Arial" w:hAnsi="Arial" w:cs="Arial"/>
              </w:rPr>
              <w:t xml:space="preserve"> all</w:t>
            </w:r>
          </w:p>
        </w:tc>
      </w:tr>
      <w:tr w:rsidR="00D915B4" w:rsidRPr="005A1511" w14:paraId="384F5209" w14:textId="77777777" w:rsidTr="00C35E36">
        <w:trPr>
          <w:trHeight w:val="930"/>
        </w:trPr>
        <w:tc>
          <w:tcPr>
            <w:tcW w:w="2358" w:type="dxa"/>
            <w:vMerge/>
          </w:tcPr>
          <w:p w14:paraId="173D6A8D" w14:textId="77777777" w:rsidR="00D915B4" w:rsidRPr="005A1511" w:rsidRDefault="00D915B4" w:rsidP="00D915B4">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p>
        </w:tc>
        <w:tc>
          <w:tcPr>
            <w:tcW w:w="2182" w:type="dxa"/>
          </w:tcPr>
          <w:p w14:paraId="2A2D4FA8" w14:textId="72B7A66B" w:rsidR="00D915B4" w:rsidRPr="005A1511" w:rsidRDefault="00D915B4" w:rsidP="00D915B4">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Patients</w:t>
            </w:r>
          </w:p>
        </w:tc>
        <w:tc>
          <w:tcPr>
            <w:tcW w:w="2630" w:type="dxa"/>
          </w:tcPr>
          <w:p w14:paraId="2755AEDC" w14:textId="2726E87E" w:rsidR="00D915B4" w:rsidRPr="005A1511" w:rsidRDefault="004E2B3E" w:rsidP="00D915B4">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Includes</w:t>
            </w:r>
            <w:r w:rsidR="002879BE" w:rsidRPr="005A1511">
              <w:rPr>
                <w:rFonts w:ascii="Arial" w:hAnsi="Arial" w:cs="Arial"/>
              </w:rPr>
              <w:t xml:space="preserve"> all</w:t>
            </w:r>
          </w:p>
        </w:tc>
        <w:tc>
          <w:tcPr>
            <w:tcW w:w="2458" w:type="dxa"/>
          </w:tcPr>
          <w:p w14:paraId="1D21E4B2" w14:textId="4779F2D7" w:rsidR="00D915B4" w:rsidRPr="005A1511" w:rsidRDefault="00CB7D6B" w:rsidP="00D915B4">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Includes all, but under</w:t>
            </w:r>
            <w:r w:rsidR="004E2B3E" w:rsidRPr="005A1511">
              <w:rPr>
                <w:rFonts w:ascii="Arial" w:hAnsi="Arial" w:cs="Arial"/>
              </w:rPr>
              <w:t>counts</w:t>
            </w:r>
          </w:p>
        </w:tc>
      </w:tr>
      <w:tr w:rsidR="00D915B4" w:rsidRPr="005A1511" w14:paraId="14D40064" w14:textId="77777777" w:rsidTr="00C35E36">
        <w:trPr>
          <w:trHeight w:val="930"/>
        </w:trPr>
        <w:tc>
          <w:tcPr>
            <w:tcW w:w="2358" w:type="dxa"/>
            <w:vMerge/>
          </w:tcPr>
          <w:p w14:paraId="560B0726" w14:textId="77777777" w:rsidR="00D915B4" w:rsidRPr="005A1511" w:rsidRDefault="00D915B4" w:rsidP="00D915B4">
            <w:pPr>
              <w:pBdr>
                <w:top w:val="none" w:sz="0" w:space="0" w:color="auto"/>
                <w:left w:val="none" w:sz="0" w:space="0" w:color="auto"/>
                <w:bottom w:val="none" w:sz="0" w:space="0" w:color="auto"/>
                <w:right w:val="none" w:sz="0" w:space="0" w:color="auto"/>
                <w:between w:val="none" w:sz="0" w:space="0" w:color="auto"/>
              </w:pBdr>
              <w:rPr>
                <w:rFonts w:ascii="Arial" w:hAnsi="Arial" w:cs="Arial"/>
                <w:b/>
                <w:bCs/>
              </w:rPr>
            </w:pPr>
          </w:p>
        </w:tc>
        <w:tc>
          <w:tcPr>
            <w:tcW w:w="2182" w:type="dxa"/>
          </w:tcPr>
          <w:p w14:paraId="001E1B85" w14:textId="0A784EC3" w:rsidR="00D915B4" w:rsidRPr="005A1511" w:rsidRDefault="00D915B4" w:rsidP="00D915B4">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Organisational assignment</w:t>
            </w:r>
          </w:p>
        </w:tc>
        <w:tc>
          <w:tcPr>
            <w:tcW w:w="2630" w:type="dxa"/>
          </w:tcPr>
          <w:p w14:paraId="1E126136" w14:textId="469ACE7A" w:rsidR="00D915B4" w:rsidRPr="005A1511" w:rsidRDefault="002879BE" w:rsidP="00D915B4">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Assigned to national and community pharmacy views only</w:t>
            </w:r>
          </w:p>
        </w:tc>
        <w:tc>
          <w:tcPr>
            <w:tcW w:w="2458" w:type="dxa"/>
          </w:tcPr>
          <w:p w14:paraId="42280852" w14:textId="46334FB0" w:rsidR="00D915B4" w:rsidRPr="005A1511" w:rsidRDefault="00CB7D6B" w:rsidP="00D915B4">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A1511">
              <w:rPr>
                <w:rFonts w:ascii="Arial" w:hAnsi="Arial" w:cs="Arial"/>
              </w:rPr>
              <w:t>Assigned to national and community pharmacy views only</w:t>
            </w:r>
          </w:p>
        </w:tc>
      </w:tr>
    </w:tbl>
    <w:p w14:paraId="4B920784" w14:textId="77777777" w:rsidR="003C38B2" w:rsidRPr="005A1511" w:rsidRDefault="003C38B2" w:rsidP="0084044E">
      <w:pPr>
        <w:rPr>
          <w:rFonts w:ascii="Arial" w:hAnsi="Arial" w:cs="Arial"/>
        </w:rPr>
      </w:pPr>
    </w:p>
    <w:p w14:paraId="0397A88A" w14:textId="1926249B" w:rsidR="004E0C04" w:rsidRPr="005A1511" w:rsidRDefault="004E0C04" w:rsidP="0084044E">
      <w:pPr>
        <w:rPr>
          <w:rFonts w:ascii="Arial" w:hAnsi="Arial" w:cs="Arial"/>
        </w:rPr>
      </w:pPr>
      <w:r w:rsidRPr="005A1511">
        <w:rPr>
          <w:rFonts w:ascii="Arial" w:hAnsi="Arial" w:cs="Arial"/>
        </w:rPr>
        <w:t xml:space="preserve">The following two tables show the percentage of all consultations, by the four possible categories above (i.e. valid NHS number with and without a valid </w:t>
      </w:r>
      <w:r w:rsidR="002636F3" w:rsidRPr="005A1511">
        <w:rPr>
          <w:rFonts w:ascii="Arial" w:hAnsi="Arial" w:cs="Arial"/>
        </w:rPr>
        <w:t>GP ODS code, no valid NHS number with and without a valid GP ODS code), first by month (February – October 2024), and by ICB</w:t>
      </w:r>
      <w:r w:rsidR="00405709" w:rsidRPr="005A1511">
        <w:rPr>
          <w:rFonts w:ascii="Arial" w:hAnsi="Arial" w:cs="Arial"/>
        </w:rPr>
        <w:t xml:space="preserve"> </w:t>
      </w:r>
      <w:r w:rsidR="00A43F86" w:rsidRPr="005A1511">
        <w:rPr>
          <w:rFonts w:ascii="Arial" w:hAnsi="Arial" w:cs="Arial"/>
        </w:rPr>
        <w:t>linked to</w:t>
      </w:r>
      <w:r w:rsidR="00405709" w:rsidRPr="005A1511">
        <w:rPr>
          <w:rFonts w:ascii="Arial" w:hAnsi="Arial" w:cs="Arial"/>
        </w:rPr>
        <w:t xml:space="preserve"> the community pharmacy,</w:t>
      </w:r>
      <w:r w:rsidR="002636F3" w:rsidRPr="005A1511">
        <w:rPr>
          <w:rFonts w:ascii="Arial" w:hAnsi="Arial" w:cs="Arial"/>
        </w:rPr>
        <w:t xml:space="preserve"> for </w:t>
      </w:r>
      <w:r w:rsidR="00405709" w:rsidRPr="005A1511">
        <w:rPr>
          <w:rFonts w:ascii="Arial" w:hAnsi="Arial" w:cs="Arial"/>
        </w:rPr>
        <w:t>the whole period</w:t>
      </w:r>
      <w:r w:rsidR="002636F3" w:rsidRPr="005A1511">
        <w:rPr>
          <w:rFonts w:ascii="Arial" w:hAnsi="Arial" w:cs="Arial"/>
        </w:rPr>
        <w:t>.</w:t>
      </w:r>
    </w:p>
    <w:tbl>
      <w:tblPr>
        <w:tblW w:w="9628" w:type="dxa"/>
        <w:tblLook w:val="04A0" w:firstRow="1" w:lastRow="0" w:firstColumn="1" w:lastColumn="0" w:noHBand="0" w:noVBand="1"/>
      </w:tblPr>
      <w:tblGrid>
        <w:gridCol w:w="2029"/>
        <w:gridCol w:w="1451"/>
        <w:gridCol w:w="1476"/>
        <w:gridCol w:w="1416"/>
        <w:gridCol w:w="1628"/>
        <w:gridCol w:w="1628"/>
      </w:tblGrid>
      <w:tr w:rsidR="0009037C" w:rsidRPr="005A1511" w14:paraId="5EEE9796" w14:textId="77777777" w:rsidTr="0009037C">
        <w:trPr>
          <w:trHeight w:val="720"/>
        </w:trPr>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DA3AD"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sz w:val="18"/>
                <w:szCs w:val="18"/>
              </w:rPr>
            </w:pPr>
            <w:r w:rsidRPr="005A1511">
              <w:rPr>
                <w:rFonts w:ascii="Arial" w:eastAsia="Times New Roman" w:hAnsi="Arial" w:cs="Arial"/>
                <w:b/>
                <w:bCs/>
                <w:sz w:val="18"/>
                <w:szCs w:val="18"/>
              </w:rPr>
              <w:t>Month</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CE2A4"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Total consultations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2F694C"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Consultations with valid NHS number and valid GP ODS code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75987"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Consultations with valid NHS number and no valid GP ODS code</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296D8"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Consultations with no valid NHS number and valid GP ODS code</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418741"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Consultations with no valid NHS number and no valid GP ODS code</w:t>
            </w:r>
          </w:p>
        </w:tc>
      </w:tr>
      <w:tr w:rsidR="00826F75" w:rsidRPr="005A1511" w14:paraId="06488953" w14:textId="77777777" w:rsidTr="0009037C">
        <w:trPr>
          <w:trHeight w:val="240"/>
        </w:trPr>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A4092"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202402</w:t>
            </w:r>
          </w:p>
        </w:tc>
        <w:tc>
          <w:tcPr>
            <w:tcW w:w="1451" w:type="dxa"/>
            <w:tcBorders>
              <w:top w:val="nil"/>
              <w:left w:val="nil"/>
              <w:bottom w:val="single" w:sz="4" w:space="0" w:color="auto"/>
              <w:right w:val="single" w:sz="4" w:space="0" w:color="auto"/>
            </w:tcBorders>
            <w:shd w:val="clear" w:color="auto" w:fill="auto"/>
            <w:noWrap/>
            <w:vAlign w:val="bottom"/>
            <w:hideMark/>
          </w:tcPr>
          <w:p w14:paraId="0FCBC3CF"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125,275</w:t>
            </w:r>
          </w:p>
        </w:tc>
        <w:tc>
          <w:tcPr>
            <w:tcW w:w="1476" w:type="dxa"/>
            <w:tcBorders>
              <w:top w:val="nil"/>
              <w:left w:val="nil"/>
              <w:bottom w:val="single" w:sz="4" w:space="0" w:color="auto"/>
              <w:right w:val="single" w:sz="4" w:space="0" w:color="auto"/>
            </w:tcBorders>
            <w:shd w:val="clear" w:color="auto" w:fill="auto"/>
            <w:noWrap/>
            <w:vAlign w:val="bottom"/>
            <w:hideMark/>
          </w:tcPr>
          <w:p w14:paraId="17239A78"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95.93</w:t>
            </w:r>
          </w:p>
        </w:tc>
        <w:tc>
          <w:tcPr>
            <w:tcW w:w="1413" w:type="dxa"/>
            <w:tcBorders>
              <w:top w:val="nil"/>
              <w:left w:val="nil"/>
              <w:bottom w:val="single" w:sz="4" w:space="0" w:color="auto"/>
              <w:right w:val="single" w:sz="4" w:space="0" w:color="auto"/>
            </w:tcBorders>
            <w:shd w:val="clear" w:color="auto" w:fill="auto"/>
            <w:noWrap/>
            <w:vAlign w:val="bottom"/>
            <w:hideMark/>
          </w:tcPr>
          <w:p w14:paraId="4BE9B5E6"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1.19</w:t>
            </w:r>
          </w:p>
        </w:tc>
        <w:tc>
          <w:tcPr>
            <w:tcW w:w="1629" w:type="dxa"/>
            <w:tcBorders>
              <w:top w:val="nil"/>
              <w:left w:val="nil"/>
              <w:bottom w:val="single" w:sz="4" w:space="0" w:color="auto"/>
              <w:right w:val="single" w:sz="4" w:space="0" w:color="auto"/>
            </w:tcBorders>
            <w:shd w:val="clear" w:color="auto" w:fill="auto"/>
            <w:noWrap/>
            <w:vAlign w:val="bottom"/>
            <w:hideMark/>
          </w:tcPr>
          <w:p w14:paraId="5FF41D42"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2.73</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34B9D"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0.15</w:t>
            </w:r>
          </w:p>
        </w:tc>
      </w:tr>
      <w:tr w:rsidR="00826F75" w:rsidRPr="005A1511" w14:paraId="55CD18ED" w14:textId="77777777" w:rsidTr="0009037C">
        <w:trPr>
          <w:trHeight w:val="240"/>
        </w:trPr>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8ECFA"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202403</w:t>
            </w:r>
          </w:p>
        </w:tc>
        <w:tc>
          <w:tcPr>
            <w:tcW w:w="1451" w:type="dxa"/>
            <w:tcBorders>
              <w:top w:val="nil"/>
              <w:left w:val="nil"/>
              <w:bottom w:val="single" w:sz="4" w:space="0" w:color="auto"/>
              <w:right w:val="single" w:sz="4" w:space="0" w:color="auto"/>
            </w:tcBorders>
            <w:shd w:val="clear" w:color="auto" w:fill="auto"/>
            <w:noWrap/>
            <w:vAlign w:val="bottom"/>
            <w:hideMark/>
          </w:tcPr>
          <w:p w14:paraId="6237F2A8"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144,389</w:t>
            </w:r>
          </w:p>
        </w:tc>
        <w:tc>
          <w:tcPr>
            <w:tcW w:w="1476" w:type="dxa"/>
            <w:tcBorders>
              <w:top w:val="nil"/>
              <w:left w:val="nil"/>
              <w:bottom w:val="single" w:sz="4" w:space="0" w:color="auto"/>
              <w:right w:val="single" w:sz="4" w:space="0" w:color="auto"/>
            </w:tcBorders>
            <w:shd w:val="clear" w:color="auto" w:fill="auto"/>
            <w:noWrap/>
            <w:vAlign w:val="bottom"/>
            <w:hideMark/>
          </w:tcPr>
          <w:p w14:paraId="17650DF2"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96.44</w:t>
            </w:r>
          </w:p>
        </w:tc>
        <w:tc>
          <w:tcPr>
            <w:tcW w:w="1413" w:type="dxa"/>
            <w:tcBorders>
              <w:top w:val="nil"/>
              <w:left w:val="nil"/>
              <w:bottom w:val="single" w:sz="4" w:space="0" w:color="auto"/>
              <w:right w:val="single" w:sz="4" w:space="0" w:color="auto"/>
            </w:tcBorders>
            <w:shd w:val="clear" w:color="auto" w:fill="auto"/>
            <w:noWrap/>
            <w:vAlign w:val="bottom"/>
            <w:hideMark/>
          </w:tcPr>
          <w:p w14:paraId="1AD4BA82"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1.42</w:t>
            </w:r>
          </w:p>
        </w:tc>
        <w:tc>
          <w:tcPr>
            <w:tcW w:w="1629" w:type="dxa"/>
            <w:tcBorders>
              <w:top w:val="nil"/>
              <w:left w:val="nil"/>
              <w:bottom w:val="single" w:sz="4" w:space="0" w:color="auto"/>
              <w:right w:val="single" w:sz="4" w:space="0" w:color="auto"/>
            </w:tcBorders>
            <w:shd w:val="clear" w:color="auto" w:fill="auto"/>
            <w:noWrap/>
            <w:vAlign w:val="bottom"/>
            <w:hideMark/>
          </w:tcPr>
          <w:p w14:paraId="6E03CC8A"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2.00</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AB6A2"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0.15</w:t>
            </w:r>
          </w:p>
        </w:tc>
      </w:tr>
      <w:tr w:rsidR="00826F75" w:rsidRPr="005A1511" w14:paraId="24C83F6D" w14:textId="77777777" w:rsidTr="0009037C">
        <w:trPr>
          <w:trHeight w:val="240"/>
        </w:trPr>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21F27"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202404</w:t>
            </w:r>
          </w:p>
        </w:tc>
        <w:tc>
          <w:tcPr>
            <w:tcW w:w="1451" w:type="dxa"/>
            <w:tcBorders>
              <w:top w:val="nil"/>
              <w:left w:val="nil"/>
              <w:bottom w:val="single" w:sz="4" w:space="0" w:color="auto"/>
              <w:right w:val="single" w:sz="4" w:space="0" w:color="auto"/>
            </w:tcBorders>
            <w:shd w:val="clear" w:color="auto" w:fill="auto"/>
            <w:noWrap/>
            <w:vAlign w:val="bottom"/>
            <w:hideMark/>
          </w:tcPr>
          <w:p w14:paraId="5BB1F9F3"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153,646</w:t>
            </w:r>
          </w:p>
        </w:tc>
        <w:tc>
          <w:tcPr>
            <w:tcW w:w="1476" w:type="dxa"/>
            <w:tcBorders>
              <w:top w:val="nil"/>
              <w:left w:val="nil"/>
              <w:bottom w:val="single" w:sz="4" w:space="0" w:color="auto"/>
              <w:right w:val="single" w:sz="4" w:space="0" w:color="auto"/>
            </w:tcBorders>
            <w:shd w:val="clear" w:color="auto" w:fill="auto"/>
            <w:noWrap/>
            <w:vAlign w:val="bottom"/>
            <w:hideMark/>
          </w:tcPr>
          <w:p w14:paraId="55CED6DD"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96.85</w:t>
            </w:r>
          </w:p>
        </w:tc>
        <w:tc>
          <w:tcPr>
            <w:tcW w:w="1413" w:type="dxa"/>
            <w:tcBorders>
              <w:top w:val="nil"/>
              <w:left w:val="nil"/>
              <w:bottom w:val="single" w:sz="4" w:space="0" w:color="auto"/>
              <w:right w:val="single" w:sz="4" w:space="0" w:color="auto"/>
            </w:tcBorders>
            <w:shd w:val="clear" w:color="auto" w:fill="auto"/>
            <w:noWrap/>
            <w:vAlign w:val="bottom"/>
            <w:hideMark/>
          </w:tcPr>
          <w:p w14:paraId="7B15B23A"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1.27</w:t>
            </w:r>
          </w:p>
        </w:tc>
        <w:tc>
          <w:tcPr>
            <w:tcW w:w="1629" w:type="dxa"/>
            <w:tcBorders>
              <w:top w:val="nil"/>
              <w:left w:val="nil"/>
              <w:bottom w:val="single" w:sz="4" w:space="0" w:color="auto"/>
              <w:right w:val="single" w:sz="4" w:space="0" w:color="auto"/>
            </w:tcBorders>
            <w:shd w:val="clear" w:color="auto" w:fill="auto"/>
            <w:noWrap/>
            <w:vAlign w:val="bottom"/>
            <w:hideMark/>
          </w:tcPr>
          <w:p w14:paraId="0A634207"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1.72</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8A9D6"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0.16</w:t>
            </w:r>
          </w:p>
        </w:tc>
      </w:tr>
      <w:tr w:rsidR="00826F75" w:rsidRPr="005A1511" w14:paraId="36BCA1A1" w14:textId="77777777" w:rsidTr="0009037C">
        <w:trPr>
          <w:trHeight w:val="240"/>
        </w:trPr>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5F36B"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202405</w:t>
            </w:r>
          </w:p>
        </w:tc>
        <w:tc>
          <w:tcPr>
            <w:tcW w:w="1451" w:type="dxa"/>
            <w:tcBorders>
              <w:top w:val="nil"/>
              <w:left w:val="nil"/>
              <w:bottom w:val="single" w:sz="4" w:space="0" w:color="auto"/>
              <w:right w:val="single" w:sz="4" w:space="0" w:color="auto"/>
            </w:tcBorders>
            <w:shd w:val="clear" w:color="auto" w:fill="auto"/>
            <w:noWrap/>
            <w:vAlign w:val="bottom"/>
            <w:hideMark/>
          </w:tcPr>
          <w:p w14:paraId="7DC819E6"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168,447</w:t>
            </w:r>
          </w:p>
        </w:tc>
        <w:tc>
          <w:tcPr>
            <w:tcW w:w="1476" w:type="dxa"/>
            <w:tcBorders>
              <w:top w:val="nil"/>
              <w:left w:val="nil"/>
              <w:bottom w:val="single" w:sz="4" w:space="0" w:color="auto"/>
              <w:right w:val="single" w:sz="4" w:space="0" w:color="auto"/>
            </w:tcBorders>
            <w:shd w:val="clear" w:color="auto" w:fill="auto"/>
            <w:noWrap/>
            <w:vAlign w:val="bottom"/>
            <w:hideMark/>
          </w:tcPr>
          <w:p w14:paraId="00967815"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96.96</w:t>
            </w:r>
          </w:p>
        </w:tc>
        <w:tc>
          <w:tcPr>
            <w:tcW w:w="1413" w:type="dxa"/>
            <w:tcBorders>
              <w:top w:val="nil"/>
              <w:left w:val="nil"/>
              <w:bottom w:val="single" w:sz="4" w:space="0" w:color="auto"/>
              <w:right w:val="single" w:sz="4" w:space="0" w:color="auto"/>
            </w:tcBorders>
            <w:shd w:val="clear" w:color="auto" w:fill="auto"/>
            <w:noWrap/>
            <w:vAlign w:val="bottom"/>
            <w:hideMark/>
          </w:tcPr>
          <w:p w14:paraId="278963EB"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1.23</w:t>
            </w:r>
          </w:p>
        </w:tc>
        <w:tc>
          <w:tcPr>
            <w:tcW w:w="1629" w:type="dxa"/>
            <w:tcBorders>
              <w:top w:val="nil"/>
              <w:left w:val="nil"/>
              <w:bottom w:val="single" w:sz="4" w:space="0" w:color="auto"/>
              <w:right w:val="single" w:sz="4" w:space="0" w:color="auto"/>
            </w:tcBorders>
            <w:shd w:val="clear" w:color="auto" w:fill="auto"/>
            <w:noWrap/>
            <w:vAlign w:val="bottom"/>
            <w:hideMark/>
          </w:tcPr>
          <w:p w14:paraId="5CCB013E"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1.61</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B88D1"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0.20</w:t>
            </w:r>
          </w:p>
        </w:tc>
      </w:tr>
      <w:tr w:rsidR="00826F75" w:rsidRPr="005A1511" w14:paraId="1A976E00" w14:textId="77777777" w:rsidTr="0009037C">
        <w:trPr>
          <w:trHeight w:val="240"/>
        </w:trPr>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15FF2"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202406</w:t>
            </w:r>
          </w:p>
        </w:tc>
        <w:tc>
          <w:tcPr>
            <w:tcW w:w="1451" w:type="dxa"/>
            <w:tcBorders>
              <w:top w:val="nil"/>
              <w:left w:val="nil"/>
              <w:bottom w:val="single" w:sz="4" w:space="0" w:color="auto"/>
              <w:right w:val="single" w:sz="4" w:space="0" w:color="auto"/>
            </w:tcBorders>
            <w:shd w:val="clear" w:color="auto" w:fill="auto"/>
            <w:noWrap/>
            <w:vAlign w:val="bottom"/>
            <w:hideMark/>
          </w:tcPr>
          <w:p w14:paraId="4D1ACB89"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164,737</w:t>
            </w:r>
          </w:p>
        </w:tc>
        <w:tc>
          <w:tcPr>
            <w:tcW w:w="1476" w:type="dxa"/>
            <w:tcBorders>
              <w:top w:val="nil"/>
              <w:left w:val="nil"/>
              <w:bottom w:val="single" w:sz="4" w:space="0" w:color="auto"/>
              <w:right w:val="single" w:sz="4" w:space="0" w:color="auto"/>
            </w:tcBorders>
            <w:shd w:val="clear" w:color="auto" w:fill="auto"/>
            <w:noWrap/>
            <w:vAlign w:val="bottom"/>
            <w:hideMark/>
          </w:tcPr>
          <w:p w14:paraId="17FF3418"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96.99</w:t>
            </w:r>
          </w:p>
        </w:tc>
        <w:tc>
          <w:tcPr>
            <w:tcW w:w="1413" w:type="dxa"/>
            <w:tcBorders>
              <w:top w:val="nil"/>
              <w:left w:val="nil"/>
              <w:bottom w:val="single" w:sz="4" w:space="0" w:color="auto"/>
              <w:right w:val="single" w:sz="4" w:space="0" w:color="auto"/>
            </w:tcBorders>
            <w:shd w:val="clear" w:color="auto" w:fill="auto"/>
            <w:noWrap/>
            <w:vAlign w:val="bottom"/>
            <w:hideMark/>
          </w:tcPr>
          <w:p w14:paraId="347E30B8"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1.35</w:t>
            </w:r>
          </w:p>
        </w:tc>
        <w:tc>
          <w:tcPr>
            <w:tcW w:w="1629" w:type="dxa"/>
            <w:tcBorders>
              <w:top w:val="nil"/>
              <w:left w:val="nil"/>
              <w:bottom w:val="single" w:sz="4" w:space="0" w:color="auto"/>
              <w:right w:val="single" w:sz="4" w:space="0" w:color="auto"/>
            </w:tcBorders>
            <w:shd w:val="clear" w:color="auto" w:fill="auto"/>
            <w:noWrap/>
            <w:vAlign w:val="bottom"/>
            <w:hideMark/>
          </w:tcPr>
          <w:p w14:paraId="681FDEEE"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1.46</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8335E"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0.20</w:t>
            </w:r>
          </w:p>
        </w:tc>
      </w:tr>
      <w:tr w:rsidR="00826F75" w:rsidRPr="005A1511" w14:paraId="1A3BF464" w14:textId="77777777" w:rsidTr="0009037C">
        <w:trPr>
          <w:trHeight w:val="240"/>
        </w:trPr>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3A91A"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202407</w:t>
            </w:r>
          </w:p>
        </w:tc>
        <w:tc>
          <w:tcPr>
            <w:tcW w:w="1451" w:type="dxa"/>
            <w:tcBorders>
              <w:top w:val="nil"/>
              <w:left w:val="nil"/>
              <w:bottom w:val="single" w:sz="4" w:space="0" w:color="auto"/>
              <w:right w:val="single" w:sz="4" w:space="0" w:color="auto"/>
            </w:tcBorders>
            <w:shd w:val="clear" w:color="auto" w:fill="auto"/>
            <w:noWrap/>
            <w:vAlign w:val="bottom"/>
            <w:hideMark/>
          </w:tcPr>
          <w:p w14:paraId="105B1FA4"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186,190</w:t>
            </w:r>
          </w:p>
        </w:tc>
        <w:tc>
          <w:tcPr>
            <w:tcW w:w="1476" w:type="dxa"/>
            <w:tcBorders>
              <w:top w:val="nil"/>
              <w:left w:val="nil"/>
              <w:bottom w:val="single" w:sz="4" w:space="0" w:color="auto"/>
              <w:right w:val="single" w:sz="4" w:space="0" w:color="auto"/>
            </w:tcBorders>
            <w:shd w:val="clear" w:color="auto" w:fill="auto"/>
            <w:noWrap/>
            <w:vAlign w:val="bottom"/>
            <w:hideMark/>
          </w:tcPr>
          <w:p w14:paraId="12D99E36"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96.96</w:t>
            </w:r>
          </w:p>
        </w:tc>
        <w:tc>
          <w:tcPr>
            <w:tcW w:w="1413" w:type="dxa"/>
            <w:tcBorders>
              <w:top w:val="nil"/>
              <w:left w:val="nil"/>
              <w:bottom w:val="single" w:sz="4" w:space="0" w:color="auto"/>
              <w:right w:val="single" w:sz="4" w:space="0" w:color="auto"/>
            </w:tcBorders>
            <w:shd w:val="clear" w:color="auto" w:fill="auto"/>
            <w:noWrap/>
            <w:vAlign w:val="bottom"/>
            <w:hideMark/>
          </w:tcPr>
          <w:p w14:paraId="419749F8"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1.33</w:t>
            </w:r>
          </w:p>
        </w:tc>
        <w:tc>
          <w:tcPr>
            <w:tcW w:w="1629" w:type="dxa"/>
            <w:tcBorders>
              <w:top w:val="nil"/>
              <w:left w:val="nil"/>
              <w:bottom w:val="single" w:sz="4" w:space="0" w:color="auto"/>
              <w:right w:val="single" w:sz="4" w:space="0" w:color="auto"/>
            </w:tcBorders>
            <w:shd w:val="clear" w:color="auto" w:fill="auto"/>
            <w:noWrap/>
            <w:vAlign w:val="bottom"/>
            <w:hideMark/>
          </w:tcPr>
          <w:p w14:paraId="63FD8C74"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1.42</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2246C"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0.29</w:t>
            </w:r>
          </w:p>
        </w:tc>
      </w:tr>
      <w:tr w:rsidR="00826F75" w:rsidRPr="005A1511" w14:paraId="6F63F3EB" w14:textId="77777777" w:rsidTr="0009037C">
        <w:trPr>
          <w:trHeight w:val="240"/>
        </w:trPr>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B59CD"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202408</w:t>
            </w:r>
          </w:p>
        </w:tc>
        <w:tc>
          <w:tcPr>
            <w:tcW w:w="1451" w:type="dxa"/>
            <w:tcBorders>
              <w:top w:val="nil"/>
              <w:left w:val="nil"/>
              <w:bottom w:val="single" w:sz="4" w:space="0" w:color="auto"/>
              <w:right w:val="single" w:sz="4" w:space="0" w:color="auto"/>
            </w:tcBorders>
            <w:shd w:val="clear" w:color="auto" w:fill="auto"/>
            <w:noWrap/>
            <w:vAlign w:val="bottom"/>
            <w:hideMark/>
          </w:tcPr>
          <w:p w14:paraId="7950CD29"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180,035</w:t>
            </w:r>
          </w:p>
        </w:tc>
        <w:tc>
          <w:tcPr>
            <w:tcW w:w="1476" w:type="dxa"/>
            <w:tcBorders>
              <w:top w:val="nil"/>
              <w:left w:val="nil"/>
              <w:bottom w:val="single" w:sz="4" w:space="0" w:color="auto"/>
              <w:right w:val="single" w:sz="4" w:space="0" w:color="auto"/>
            </w:tcBorders>
            <w:shd w:val="clear" w:color="auto" w:fill="auto"/>
            <w:noWrap/>
            <w:vAlign w:val="bottom"/>
            <w:hideMark/>
          </w:tcPr>
          <w:p w14:paraId="2BDB86DF"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97.11</w:t>
            </w:r>
          </w:p>
        </w:tc>
        <w:tc>
          <w:tcPr>
            <w:tcW w:w="1413" w:type="dxa"/>
            <w:tcBorders>
              <w:top w:val="nil"/>
              <w:left w:val="nil"/>
              <w:bottom w:val="single" w:sz="4" w:space="0" w:color="auto"/>
              <w:right w:val="single" w:sz="4" w:space="0" w:color="auto"/>
            </w:tcBorders>
            <w:shd w:val="clear" w:color="auto" w:fill="auto"/>
            <w:noWrap/>
            <w:vAlign w:val="bottom"/>
            <w:hideMark/>
          </w:tcPr>
          <w:p w14:paraId="1FD1DEEC"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1.25</w:t>
            </w:r>
          </w:p>
        </w:tc>
        <w:tc>
          <w:tcPr>
            <w:tcW w:w="1629" w:type="dxa"/>
            <w:tcBorders>
              <w:top w:val="nil"/>
              <w:left w:val="nil"/>
              <w:bottom w:val="single" w:sz="4" w:space="0" w:color="auto"/>
              <w:right w:val="single" w:sz="4" w:space="0" w:color="auto"/>
            </w:tcBorders>
            <w:shd w:val="clear" w:color="auto" w:fill="auto"/>
            <w:noWrap/>
            <w:vAlign w:val="bottom"/>
            <w:hideMark/>
          </w:tcPr>
          <w:p w14:paraId="5161C944"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1.40</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3251F"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0.24</w:t>
            </w:r>
          </w:p>
        </w:tc>
      </w:tr>
      <w:tr w:rsidR="00826F75" w:rsidRPr="005A1511" w14:paraId="47C09B86" w14:textId="77777777" w:rsidTr="0009037C">
        <w:trPr>
          <w:trHeight w:val="240"/>
        </w:trPr>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18085"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202409</w:t>
            </w:r>
          </w:p>
        </w:tc>
        <w:tc>
          <w:tcPr>
            <w:tcW w:w="1451" w:type="dxa"/>
            <w:tcBorders>
              <w:top w:val="nil"/>
              <w:left w:val="nil"/>
              <w:bottom w:val="single" w:sz="4" w:space="0" w:color="auto"/>
              <w:right w:val="single" w:sz="4" w:space="0" w:color="auto"/>
            </w:tcBorders>
            <w:shd w:val="clear" w:color="auto" w:fill="auto"/>
            <w:noWrap/>
            <w:vAlign w:val="bottom"/>
            <w:hideMark/>
          </w:tcPr>
          <w:p w14:paraId="30FC5BCA"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175,571</w:t>
            </w:r>
          </w:p>
        </w:tc>
        <w:tc>
          <w:tcPr>
            <w:tcW w:w="1476" w:type="dxa"/>
            <w:tcBorders>
              <w:top w:val="nil"/>
              <w:left w:val="nil"/>
              <w:bottom w:val="single" w:sz="4" w:space="0" w:color="auto"/>
              <w:right w:val="single" w:sz="4" w:space="0" w:color="auto"/>
            </w:tcBorders>
            <w:shd w:val="clear" w:color="auto" w:fill="auto"/>
            <w:noWrap/>
            <w:vAlign w:val="bottom"/>
            <w:hideMark/>
          </w:tcPr>
          <w:p w14:paraId="5C5A1651"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96.95</w:t>
            </w:r>
          </w:p>
        </w:tc>
        <w:tc>
          <w:tcPr>
            <w:tcW w:w="1413" w:type="dxa"/>
            <w:tcBorders>
              <w:top w:val="nil"/>
              <w:left w:val="nil"/>
              <w:bottom w:val="single" w:sz="4" w:space="0" w:color="auto"/>
              <w:right w:val="single" w:sz="4" w:space="0" w:color="auto"/>
            </w:tcBorders>
            <w:shd w:val="clear" w:color="auto" w:fill="auto"/>
            <w:noWrap/>
            <w:vAlign w:val="bottom"/>
            <w:hideMark/>
          </w:tcPr>
          <w:p w14:paraId="07171BA3"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1.23</w:t>
            </w:r>
          </w:p>
        </w:tc>
        <w:tc>
          <w:tcPr>
            <w:tcW w:w="1629" w:type="dxa"/>
            <w:tcBorders>
              <w:top w:val="nil"/>
              <w:left w:val="nil"/>
              <w:bottom w:val="single" w:sz="4" w:space="0" w:color="auto"/>
              <w:right w:val="single" w:sz="4" w:space="0" w:color="auto"/>
            </w:tcBorders>
            <w:shd w:val="clear" w:color="auto" w:fill="auto"/>
            <w:noWrap/>
            <w:vAlign w:val="bottom"/>
            <w:hideMark/>
          </w:tcPr>
          <w:p w14:paraId="1C8BF982"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1.50</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FBA08"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0.32</w:t>
            </w:r>
          </w:p>
        </w:tc>
      </w:tr>
      <w:tr w:rsidR="00826F75" w:rsidRPr="005A1511" w14:paraId="08981889" w14:textId="77777777" w:rsidTr="0009037C">
        <w:trPr>
          <w:trHeight w:val="240"/>
        </w:trPr>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B3C9F"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202410</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16A8B"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198,794</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1149C"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96.92</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094C4"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1.41</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7F2D9"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1.34</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C7242" w14:textId="77777777" w:rsidR="00826F75" w:rsidRPr="005A1511" w:rsidRDefault="00826F75" w:rsidP="00826F75">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0.34</w:t>
            </w:r>
          </w:p>
        </w:tc>
      </w:tr>
    </w:tbl>
    <w:p w14:paraId="00B5593C" w14:textId="77777777" w:rsidR="002636F3" w:rsidRPr="005A1511" w:rsidRDefault="002636F3" w:rsidP="0084044E">
      <w:pPr>
        <w:rPr>
          <w:rFonts w:ascii="Arial" w:hAnsi="Arial" w:cs="Arial"/>
        </w:rPr>
      </w:pPr>
    </w:p>
    <w:p w14:paraId="7815716C" w14:textId="69AD23C8" w:rsidR="00CB7AB1" w:rsidRPr="005A1511" w:rsidRDefault="00CB7AB1">
      <w:pPr>
        <w:rPr>
          <w:rFonts w:ascii="Arial" w:hAnsi="Arial" w:cs="Arial"/>
        </w:rPr>
      </w:pPr>
      <w:r w:rsidRPr="005A1511">
        <w:rPr>
          <w:rFonts w:ascii="Arial" w:hAnsi="Arial" w:cs="Arial"/>
        </w:rPr>
        <w:br w:type="page"/>
      </w:r>
    </w:p>
    <w:tbl>
      <w:tblPr>
        <w:tblW w:w="9351" w:type="dxa"/>
        <w:tblLook w:val="04A0" w:firstRow="1" w:lastRow="0" w:firstColumn="1" w:lastColumn="0" w:noHBand="0" w:noVBand="1"/>
      </w:tblPr>
      <w:tblGrid>
        <w:gridCol w:w="2177"/>
        <w:gridCol w:w="1387"/>
        <w:gridCol w:w="1416"/>
        <w:gridCol w:w="1416"/>
        <w:gridCol w:w="1416"/>
        <w:gridCol w:w="1539"/>
      </w:tblGrid>
      <w:tr w:rsidR="00427756" w:rsidRPr="005A1511" w14:paraId="085A7BDF" w14:textId="77777777" w:rsidTr="00427756">
        <w:trPr>
          <w:trHeight w:val="720"/>
        </w:trPr>
        <w:tc>
          <w:tcPr>
            <w:tcW w:w="2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1CE47"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sz w:val="18"/>
                <w:szCs w:val="18"/>
              </w:rPr>
            </w:pPr>
            <w:r w:rsidRPr="005A1511">
              <w:rPr>
                <w:rFonts w:ascii="Arial" w:eastAsia="Times New Roman" w:hAnsi="Arial" w:cs="Arial"/>
                <w:b/>
                <w:bCs/>
                <w:sz w:val="18"/>
                <w:szCs w:val="18"/>
              </w:rPr>
              <w:lastRenderedPageBreak/>
              <w:t>ICB</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37340" w14:textId="77777777" w:rsidR="00427756" w:rsidRPr="005A1511" w:rsidRDefault="00427756" w:rsidP="00A566C1">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Total consultations</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994906"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Consultations with valid NHS number and valid GP ODS code</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33ECE"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Consultations with valid NHS number and no valid GP ODS code</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DD0D39"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Consultations with no valid NHS number and valid GP ODS code</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119D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b/>
                <w:bCs/>
                <w:sz w:val="18"/>
                <w:szCs w:val="18"/>
              </w:rPr>
            </w:pPr>
            <w:r w:rsidRPr="005A1511">
              <w:rPr>
                <w:rFonts w:ascii="Arial" w:eastAsia="Times New Roman" w:hAnsi="Arial" w:cs="Arial"/>
                <w:b/>
                <w:bCs/>
                <w:sz w:val="18"/>
                <w:szCs w:val="18"/>
              </w:rPr>
              <w:t>Consultations with no valid NHS number and no valid GP ODS code</w:t>
            </w:r>
          </w:p>
        </w:tc>
      </w:tr>
      <w:tr w:rsidR="00427756" w:rsidRPr="005A1511" w14:paraId="5E418DBC" w14:textId="77777777" w:rsidTr="00427756">
        <w:trPr>
          <w:trHeight w:val="168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4ED73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BATH AND NORTH EAST SOMERSET, SWINDON AND WILTSHIRE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75A3B54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22,677</w:t>
            </w:r>
          </w:p>
        </w:tc>
        <w:tc>
          <w:tcPr>
            <w:tcW w:w="1416" w:type="dxa"/>
            <w:tcBorders>
              <w:top w:val="nil"/>
              <w:left w:val="nil"/>
              <w:bottom w:val="single" w:sz="4" w:space="0" w:color="auto"/>
              <w:right w:val="single" w:sz="4" w:space="0" w:color="auto"/>
            </w:tcBorders>
            <w:shd w:val="clear" w:color="auto" w:fill="auto"/>
            <w:noWrap/>
            <w:vAlign w:val="bottom"/>
            <w:hideMark/>
          </w:tcPr>
          <w:p w14:paraId="246DF2CE"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98.42</w:t>
            </w:r>
          </w:p>
        </w:tc>
        <w:tc>
          <w:tcPr>
            <w:tcW w:w="1416" w:type="dxa"/>
            <w:tcBorders>
              <w:top w:val="nil"/>
              <w:left w:val="nil"/>
              <w:bottom w:val="single" w:sz="4" w:space="0" w:color="auto"/>
              <w:right w:val="single" w:sz="4" w:space="0" w:color="auto"/>
            </w:tcBorders>
            <w:shd w:val="clear" w:color="auto" w:fill="auto"/>
            <w:noWrap/>
            <w:vAlign w:val="bottom"/>
            <w:hideMark/>
          </w:tcPr>
          <w:p w14:paraId="2908A17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0.30</w:t>
            </w:r>
          </w:p>
        </w:tc>
        <w:tc>
          <w:tcPr>
            <w:tcW w:w="1416" w:type="dxa"/>
            <w:tcBorders>
              <w:top w:val="nil"/>
              <w:left w:val="nil"/>
              <w:bottom w:val="single" w:sz="4" w:space="0" w:color="auto"/>
              <w:right w:val="single" w:sz="4" w:space="0" w:color="auto"/>
            </w:tcBorders>
            <w:shd w:val="clear" w:color="auto" w:fill="auto"/>
            <w:noWrap/>
            <w:vAlign w:val="bottom"/>
            <w:hideMark/>
          </w:tcPr>
          <w:p w14:paraId="4B279A97"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1.11</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2617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0.17</w:t>
            </w:r>
          </w:p>
        </w:tc>
      </w:tr>
      <w:tr w:rsidR="00427756" w:rsidRPr="005A1511" w14:paraId="321AAAB3" w14:textId="77777777" w:rsidTr="00427756">
        <w:trPr>
          <w:trHeight w:val="144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E74309"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BEDFORDSHIRE, LUTON AND MILTON KEYNES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2A036CA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21,175</w:t>
            </w:r>
          </w:p>
        </w:tc>
        <w:tc>
          <w:tcPr>
            <w:tcW w:w="1416" w:type="dxa"/>
            <w:tcBorders>
              <w:top w:val="nil"/>
              <w:left w:val="nil"/>
              <w:bottom w:val="single" w:sz="4" w:space="0" w:color="auto"/>
              <w:right w:val="single" w:sz="4" w:space="0" w:color="auto"/>
            </w:tcBorders>
            <w:shd w:val="clear" w:color="auto" w:fill="auto"/>
            <w:noWrap/>
            <w:vAlign w:val="bottom"/>
            <w:hideMark/>
          </w:tcPr>
          <w:p w14:paraId="606C78A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98.57</w:t>
            </w:r>
          </w:p>
        </w:tc>
        <w:tc>
          <w:tcPr>
            <w:tcW w:w="1416" w:type="dxa"/>
            <w:tcBorders>
              <w:top w:val="nil"/>
              <w:left w:val="nil"/>
              <w:bottom w:val="single" w:sz="4" w:space="0" w:color="auto"/>
              <w:right w:val="single" w:sz="4" w:space="0" w:color="auto"/>
            </w:tcBorders>
            <w:shd w:val="clear" w:color="auto" w:fill="auto"/>
            <w:noWrap/>
            <w:vAlign w:val="bottom"/>
            <w:hideMark/>
          </w:tcPr>
          <w:p w14:paraId="3C5E19D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0.92</w:t>
            </w:r>
          </w:p>
        </w:tc>
        <w:tc>
          <w:tcPr>
            <w:tcW w:w="1416" w:type="dxa"/>
            <w:tcBorders>
              <w:top w:val="nil"/>
              <w:left w:val="nil"/>
              <w:bottom w:val="single" w:sz="4" w:space="0" w:color="auto"/>
              <w:right w:val="single" w:sz="4" w:space="0" w:color="auto"/>
            </w:tcBorders>
            <w:shd w:val="clear" w:color="auto" w:fill="auto"/>
            <w:noWrap/>
            <w:vAlign w:val="bottom"/>
            <w:hideMark/>
          </w:tcPr>
          <w:p w14:paraId="0111AE77"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0.45</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EB38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0.06</w:t>
            </w:r>
          </w:p>
        </w:tc>
      </w:tr>
      <w:tr w:rsidR="00427756" w:rsidRPr="005A1511" w14:paraId="40ECB9D0" w14:textId="77777777" w:rsidTr="00427756">
        <w:trPr>
          <w:trHeight w:val="120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353C8"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BIRMINGHAM AND SOLIHULL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3481EB1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42,758</w:t>
            </w:r>
          </w:p>
        </w:tc>
        <w:tc>
          <w:tcPr>
            <w:tcW w:w="1416" w:type="dxa"/>
            <w:tcBorders>
              <w:top w:val="nil"/>
              <w:left w:val="nil"/>
              <w:bottom w:val="single" w:sz="4" w:space="0" w:color="auto"/>
              <w:right w:val="single" w:sz="4" w:space="0" w:color="auto"/>
            </w:tcBorders>
            <w:shd w:val="clear" w:color="auto" w:fill="auto"/>
            <w:noWrap/>
            <w:vAlign w:val="bottom"/>
            <w:hideMark/>
          </w:tcPr>
          <w:p w14:paraId="7723F7B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95.39</w:t>
            </w:r>
          </w:p>
        </w:tc>
        <w:tc>
          <w:tcPr>
            <w:tcW w:w="1416" w:type="dxa"/>
            <w:tcBorders>
              <w:top w:val="nil"/>
              <w:left w:val="nil"/>
              <w:bottom w:val="single" w:sz="4" w:space="0" w:color="auto"/>
              <w:right w:val="single" w:sz="4" w:space="0" w:color="auto"/>
            </w:tcBorders>
            <w:shd w:val="clear" w:color="auto" w:fill="auto"/>
            <w:noWrap/>
            <w:vAlign w:val="bottom"/>
            <w:hideMark/>
          </w:tcPr>
          <w:p w14:paraId="39E40492"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3.43</w:t>
            </w:r>
          </w:p>
        </w:tc>
        <w:tc>
          <w:tcPr>
            <w:tcW w:w="1416" w:type="dxa"/>
            <w:tcBorders>
              <w:top w:val="nil"/>
              <w:left w:val="nil"/>
              <w:bottom w:val="single" w:sz="4" w:space="0" w:color="auto"/>
              <w:right w:val="single" w:sz="4" w:space="0" w:color="auto"/>
            </w:tcBorders>
            <w:shd w:val="clear" w:color="auto" w:fill="auto"/>
            <w:noWrap/>
            <w:vAlign w:val="bottom"/>
            <w:hideMark/>
          </w:tcPr>
          <w:p w14:paraId="7B90391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A2DD2"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0.11</w:t>
            </w:r>
          </w:p>
        </w:tc>
      </w:tr>
      <w:tr w:rsidR="00427756" w:rsidRPr="005A1511" w14:paraId="07AF8AC9" w14:textId="77777777" w:rsidTr="00427756">
        <w:trPr>
          <w:trHeight w:val="96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14950"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BLACK COUNTRY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4A86595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42,607</w:t>
            </w:r>
          </w:p>
        </w:tc>
        <w:tc>
          <w:tcPr>
            <w:tcW w:w="1416" w:type="dxa"/>
            <w:tcBorders>
              <w:top w:val="nil"/>
              <w:left w:val="nil"/>
              <w:bottom w:val="single" w:sz="4" w:space="0" w:color="auto"/>
              <w:right w:val="single" w:sz="4" w:space="0" w:color="auto"/>
            </w:tcBorders>
            <w:shd w:val="clear" w:color="auto" w:fill="auto"/>
            <w:noWrap/>
            <w:vAlign w:val="bottom"/>
            <w:hideMark/>
          </w:tcPr>
          <w:p w14:paraId="1F1EC2F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98.92</w:t>
            </w:r>
          </w:p>
        </w:tc>
        <w:tc>
          <w:tcPr>
            <w:tcW w:w="1416" w:type="dxa"/>
            <w:tcBorders>
              <w:top w:val="nil"/>
              <w:left w:val="nil"/>
              <w:bottom w:val="single" w:sz="4" w:space="0" w:color="auto"/>
              <w:right w:val="single" w:sz="4" w:space="0" w:color="auto"/>
            </w:tcBorders>
            <w:shd w:val="clear" w:color="auto" w:fill="auto"/>
            <w:noWrap/>
            <w:vAlign w:val="bottom"/>
            <w:hideMark/>
          </w:tcPr>
          <w:p w14:paraId="7A2B2FF6"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0.65</w:t>
            </w:r>
          </w:p>
        </w:tc>
        <w:tc>
          <w:tcPr>
            <w:tcW w:w="1416" w:type="dxa"/>
            <w:tcBorders>
              <w:top w:val="nil"/>
              <w:left w:val="nil"/>
              <w:bottom w:val="single" w:sz="4" w:space="0" w:color="auto"/>
              <w:right w:val="single" w:sz="4" w:space="0" w:color="auto"/>
            </w:tcBorders>
            <w:shd w:val="clear" w:color="auto" w:fill="auto"/>
            <w:noWrap/>
            <w:vAlign w:val="bottom"/>
            <w:hideMark/>
          </w:tcPr>
          <w:p w14:paraId="65DBD837"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2ACE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0.05</w:t>
            </w:r>
          </w:p>
        </w:tc>
      </w:tr>
      <w:tr w:rsidR="00427756" w:rsidRPr="005A1511" w14:paraId="7520C0FE" w14:textId="77777777" w:rsidTr="00427756">
        <w:trPr>
          <w:trHeight w:val="168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6C005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BRISTOL, NORTH SOMERSET AND SOUTH GLOUCESTERSHIRE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6E55A95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32,798</w:t>
            </w:r>
          </w:p>
        </w:tc>
        <w:tc>
          <w:tcPr>
            <w:tcW w:w="1416" w:type="dxa"/>
            <w:tcBorders>
              <w:top w:val="nil"/>
              <w:left w:val="nil"/>
              <w:bottom w:val="single" w:sz="4" w:space="0" w:color="auto"/>
              <w:right w:val="single" w:sz="4" w:space="0" w:color="auto"/>
            </w:tcBorders>
            <w:shd w:val="clear" w:color="auto" w:fill="auto"/>
            <w:noWrap/>
            <w:vAlign w:val="bottom"/>
            <w:hideMark/>
          </w:tcPr>
          <w:p w14:paraId="674FA250"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96.11</w:t>
            </w:r>
          </w:p>
        </w:tc>
        <w:tc>
          <w:tcPr>
            <w:tcW w:w="1416" w:type="dxa"/>
            <w:tcBorders>
              <w:top w:val="nil"/>
              <w:left w:val="nil"/>
              <w:bottom w:val="single" w:sz="4" w:space="0" w:color="auto"/>
              <w:right w:val="single" w:sz="4" w:space="0" w:color="auto"/>
            </w:tcBorders>
            <w:shd w:val="clear" w:color="auto" w:fill="auto"/>
            <w:noWrap/>
            <w:vAlign w:val="bottom"/>
            <w:hideMark/>
          </w:tcPr>
          <w:p w14:paraId="7512BA3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0.96</w:t>
            </w:r>
          </w:p>
        </w:tc>
        <w:tc>
          <w:tcPr>
            <w:tcW w:w="1416" w:type="dxa"/>
            <w:tcBorders>
              <w:top w:val="nil"/>
              <w:left w:val="nil"/>
              <w:bottom w:val="single" w:sz="4" w:space="0" w:color="auto"/>
              <w:right w:val="single" w:sz="4" w:space="0" w:color="auto"/>
            </w:tcBorders>
            <w:shd w:val="clear" w:color="auto" w:fill="auto"/>
            <w:noWrap/>
            <w:vAlign w:val="bottom"/>
            <w:hideMark/>
          </w:tcPr>
          <w:p w14:paraId="6A7DCF8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2.74</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047D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0.19</w:t>
            </w:r>
          </w:p>
        </w:tc>
      </w:tr>
      <w:tr w:rsidR="00427756" w:rsidRPr="005A1511" w14:paraId="3C226A90" w14:textId="77777777" w:rsidTr="00427756">
        <w:trPr>
          <w:trHeight w:val="192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8D1F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BUCKINGHAMSHIRE, OXFORDSHIRE AND BERKSHIRE WEST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75BC277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36,916</w:t>
            </w:r>
          </w:p>
        </w:tc>
        <w:tc>
          <w:tcPr>
            <w:tcW w:w="1416" w:type="dxa"/>
            <w:tcBorders>
              <w:top w:val="nil"/>
              <w:left w:val="nil"/>
              <w:bottom w:val="single" w:sz="4" w:space="0" w:color="auto"/>
              <w:right w:val="single" w:sz="4" w:space="0" w:color="auto"/>
            </w:tcBorders>
            <w:shd w:val="clear" w:color="auto" w:fill="auto"/>
            <w:noWrap/>
            <w:vAlign w:val="bottom"/>
            <w:hideMark/>
          </w:tcPr>
          <w:p w14:paraId="4E437459"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93.95</w:t>
            </w:r>
          </w:p>
        </w:tc>
        <w:tc>
          <w:tcPr>
            <w:tcW w:w="1416" w:type="dxa"/>
            <w:tcBorders>
              <w:top w:val="nil"/>
              <w:left w:val="nil"/>
              <w:bottom w:val="single" w:sz="4" w:space="0" w:color="auto"/>
              <w:right w:val="single" w:sz="4" w:space="0" w:color="auto"/>
            </w:tcBorders>
            <w:shd w:val="clear" w:color="auto" w:fill="auto"/>
            <w:noWrap/>
            <w:vAlign w:val="bottom"/>
            <w:hideMark/>
          </w:tcPr>
          <w:p w14:paraId="0CD34C1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5.14</w:t>
            </w:r>
          </w:p>
        </w:tc>
        <w:tc>
          <w:tcPr>
            <w:tcW w:w="1416" w:type="dxa"/>
            <w:tcBorders>
              <w:top w:val="nil"/>
              <w:left w:val="nil"/>
              <w:bottom w:val="single" w:sz="4" w:space="0" w:color="auto"/>
              <w:right w:val="single" w:sz="4" w:space="0" w:color="auto"/>
            </w:tcBorders>
            <w:shd w:val="clear" w:color="auto" w:fill="auto"/>
            <w:noWrap/>
            <w:vAlign w:val="bottom"/>
            <w:hideMark/>
          </w:tcPr>
          <w:p w14:paraId="211A7BA0"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0.73</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5733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0.19</w:t>
            </w:r>
          </w:p>
        </w:tc>
      </w:tr>
      <w:tr w:rsidR="00427756" w:rsidRPr="005A1511" w14:paraId="1CAD0839" w14:textId="77777777" w:rsidTr="00427756">
        <w:trPr>
          <w:trHeight w:val="144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EDEC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CAMBRIDGESHIRE AND PETERBOROUGH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4594F7D8"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20,452</w:t>
            </w:r>
          </w:p>
        </w:tc>
        <w:tc>
          <w:tcPr>
            <w:tcW w:w="1416" w:type="dxa"/>
            <w:tcBorders>
              <w:top w:val="nil"/>
              <w:left w:val="nil"/>
              <w:bottom w:val="single" w:sz="4" w:space="0" w:color="auto"/>
              <w:right w:val="single" w:sz="4" w:space="0" w:color="auto"/>
            </w:tcBorders>
            <w:shd w:val="clear" w:color="auto" w:fill="auto"/>
            <w:noWrap/>
            <w:vAlign w:val="bottom"/>
            <w:hideMark/>
          </w:tcPr>
          <w:p w14:paraId="7EF4EFDC"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96.41</w:t>
            </w:r>
          </w:p>
        </w:tc>
        <w:tc>
          <w:tcPr>
            <w:tcW w:w="1416" w:type="dxa"/>
            <w:tcBorders>
              <w:top w:val="nil"/>
              <w:left w:val="nil"/>
              <w:bottom w:val="single" w:sz="4" w:space="0" w:color="auto"/>
              <w:right w:val="single" w:sz="4" w:space="0" w:color="auto"/>
            </w:tcBorders>
            <w:shd w:val="clear" w:color="auto" w:fill="auto"/>
            <w:noWrap/>
            <w:vAlign w:val="bottom"/>
            <w:hideMark/>
          </w:tcPr>
          <w:p w14:paraId="15A2B55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2.35</w:t>
            </w:r>
          </w:p>
        </w:tc>
        <w:tc>
          <w:tcPr>
            <w:tcW w:w="1416" w:type="dxa"/>
            <w:tcBorders>
              <w:top w:val="nil"/>
              <w:left w:val="nil"/>
              <w:bottom w:val="single" w:sz="4" w:space="0" w:color="auto"/>
              <w:right w:val="single" w:sz="4" w:space="0" w:color="auto"/>
            </w:tcBorders>
            <w:shd w:val="clear" w:color="auto" w:fill="auto"/>
            <w:noWrap/>
            <w:vAlign w:val="bottom"/>
            <w:hideMark/>
          </w:tcPr>
          <w:p w14:paraId="1E12E1E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24AD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0.24</w:t>
            </w:r>
          </w:p>
        </w:tc>
      </w:tr>
      <w:tr w:rsidR="00427756" w:rsidRPr="005A1511" w14:paraId="2ED9CE2D" w14:textId="77777777" w:rsidTr="00427756">
        <w:trPr>
          <w:trHeight w:val="120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213372"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CHESHIRE AND MERSEYSIDE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55BF73D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79,040</w:t>
            </w:r>
          </w:p>
        </w:tc>
        <w:tc>
          <w:tcPr>
            <w:tcW w:w="1416" w:type="dxa"/>
            <w:tcBorders>
              <w:top w:val="nil"/>
              <w:left w:val="nil"/>
              <w:bottom w:val="single" w:sz="4" w:space="0" w:color="auto"/>
              <w:right w:val="single" w:sz="4" w:space="0" w:color="auto"/>
            </w:tcBorders>
            <w:shd w:val="clear" w:color="auto" w:fill="auto"/>
            <w:noWrap/>
            <w:vAlign w:val="bottom"/>
            <w:hideMark/>
          </w:tcPr>
          <w:p w14:paraId="2CCC716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98.02</w:t>
            </w:r>
          </w:p>
        </w:tc>
        <w:tc>
          <w:tcPr>
            <w:tcW w:w="1416" w:type="dxa"/>
            <w:tcBorders>
              <w:top w:val="nil"/>
              <w:left w:val="nil"/>
              <w:bottom w:val="single" w:sz="4" w:space="0" w:color="auto"/>
              <w:right w:val="single" w:sz="4" w:space="0" w:color="auto"/>
            </w:tcBorders>
            <w:shd w:val="clear" w:color="auto" w:fill="auto"/>
            <w:noWrap/>
            <w:vAlign w:val="bottom"/>
            <w:hideMark/>
          </w:tcPr>
          <w:p w14:paraId="3A282669"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0.49</w:t>
            </w:r>
          </w:p>
        </w:tc>
        <w:tc>
          <w:tcPr>
            <w:tcW w:w="1416" w:type="dxa"/>
            <w:tcBorders>
              <w:top w:val="nil"/>
              <w:left w:val="nil"/>
              <w:bottom w:val="single" w:sz="4" w:space="0" w:color="auto"/>
              <w:right w:val="single" w:sz="4" w:space="0" w:color="auto"/>
            </w:tcBorders>
            <w:shd w:val="clear" w:color="auto" w:fill="auto"/>
            <w:noWrap/>
            <w:vAlign w:val="bottom"/>
            <w:hideMark/>
          </w:tcPr>
          <w:p w14:paraId="31564C62"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1.33</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D14F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0.16</w:t>
            </w:r>
          </w:p>
        </w:tc>
      </w:tr>
      <w:tr w:rsidR="00427756" w:rsidRPr="005A1511" w14:paraId="560D0CD7" w14:textId="77777777" w:rsidTr="00427756">
        <w:trPr>
          <w:trHeight w:val="1200"/>
        </w:trPr>
        <w:tc>
          <w:tcPr>
            <w:tcW w:w="2177" w:type="dxa"/>
            <w:tcBorders>
              <w:top w:val="single" w:sz="4" w:space="0" w:color="auto"/>
              <w:left w:val="single" w:sz="4" w:space="0" w:color="auto"/>
              <w:bottom w:val="nil"/>
              <w:right w:val="single" w:sz="4" w:space="0" w:color="auto"/>
            </w:tcBorders>
            <w:shd w:val="clear" w:color="auto" w:fill="auto"/>
            <w:vAlign w:val="bottom"/>
            <w:hideMark/>
          </w:tcPr>
          <w:p w14:paraId="74C75FA6"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CORNWALL AND THE ISLES OF SCILLY INTEGRATED CARE BOARD</w:t>
            </w:r>
          </w:p>
        </w:tc>
        <w:tc>
          <w:tcPr>
            <w:tcW w:w="1387" w:type="dxa"/>
            <w:tcBorders>
              <w:top w:val="nil"/>
              <w:left w:val="nil"/>
              <w:bottom w:val="nil"/>
              <w:right w:val="single" w:sz="4" w:space="0" w:color="auto"/>
            </w:tcBorders>
            <w:shd w:val="clear" w:color="auto" w:fill="auto"/>
            <w:noWrap/>
            <w:vAlign w:val="bottom"/>
            <w:hideMark/>
          </w:tcPr>
          <w:p w14:paraId="1FAD523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12,262</w:t>
            </w:r>
          </w:p>
        </w:tc>
        <w:tc>
          <w:tcPr>
            <w:tcW w:w="1416" w:type="dxa"/>
            <w:tcBorders>
              <w:top w:val="nil"/>
              <w:left w:val="nil"/>
              <w:bottom w:val="nil"/>
              <w:right w:val="single" w:sz="4" w:space="0" w:color="auto"/>
            </w:tcBorders>
            <w:shd w:val="clear" w:color="auto" w:fill="auto"/>
            <w:noWrap/>
            <w:vAlign w:val="bottom"/>
            <w:hideMark/>
          </w:tcPr>
          <w:p w14:paraId="573741C6"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98.30</w:t>
            </w:r>
          </w:p>
        </w:tc>
        <w:tc>
          <w:tcPr>
            <w:tcW w:w="1416" w:type="dxa"/>
            <w:tcBorders>
              <w:top w:val="nil"/>
              <w:left w:val="nil"/>
              <w:bottom w:val="nil"/>
              <w:right w:val="single" w:sz="4" w:space="0" w:color="auto"/>
            </w:tcBorders>
            <w:shd w:val="clear" w:color="auto" w:fill="auto"/>
            <w:noWrap/>
            <w:vAlign w:val="bottom"/>
            <w:hideMark/>
          </w:tcPr>
          <w:p w14:paraId="7DE31B3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0.86</w:t>
            </w:r>
          </w:p>
        </w:tc>
        <w:tc>
          <w:tcPr>
            <w:tcW w:w="1416" w:type="dxa"/>
            <w:tcBorders>
              <w:top w:val="nil"/>
              <w:left w:val="nil"/>
              <w:bottom w:val="nil"/>
              <w:right w:val="single" w:sz="4" w:space="0" w:color="auto"/>
            </w:tcBorders>
            <w:shd w:val="clear" w:color="auto" w:fill="auto"/>
            <w:noWrap/>
            <w:vAlign w:val="bottom"/>
            <w:hideMark/>
          </w:tcPr>
          <w:p w14:paraId="0C975E4E"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0.62</w:t>
            </w:r>
          </w:p>
        </w:tc>
        <w:tc>
          <w:tcPr>
            <w:tcW w:w="1539" w:type="dxa"/>
            <w:tcBorders>
              <w:top w:val="single" w:sz="4" w:space="0" w:color="auto"/>
              <w:left w:val="single" w:sz="4" w:space="0" w:color="auto"/>
              <w:bottom w:val="nil"/>
              <w:right w:val="single" w:sz="4" w:space="0" w:color="auto"/>
            </w:tcBorders>
            <w:shd w:val="clear" w:color="auto" w:fill="auto"/>
            <w:noWrap/>
            <w:vAlign w:val="bottom"/>
            <w:hideMark/>
          </w:tcPr>
          <w:p w14:paraId="260983A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0.23</w:t>
            </w:r>
          </w:p>
        </w:tc>
      </w:tr>
      <w:tr w:rsidR="00427756" w:rsidRPr="005A1511" w14:paraId="31E054D1" w14:textId="77777777" w:rsidTr="00427756">
        <w:trPr>
          <w:trHeight w:val="120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26627"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lastRenderedPageBreak/>
              <w:t>NHS COVENTRY AND WARWICKSHIRE INTEGRATED CARE BOARD</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14:paraId="5005BC09"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24,977</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070B8542"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98.59</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6003DC3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0.42</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0F24F0E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0.82</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A47C7"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0.17</w:t>
            </w:r>
          </w:p>
        </w:tc>
      </w:tr>
      <w:tr w:rsidR="00427756" w:rsidRPr="005A1511" w14:paraId="75B072A2" w14:textId="77777777" w:rsidTr="00427756">
        <w:trPr>
          <w:trHeight w:val="96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2A042"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DERBY AND DERBYSHIRE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796ABEA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27,889</w:t>
            </w:r>
          </w:p>
        </w:tc>
        <w:tc>
          <w:tcPr>
            <w:tcW w:w="1416" w:type="dxa"/>
            <w:tcBorders>
              <w:top w:val="nil"/>
              <w:left w:val="nil"/>
              <w:bottom w:val="single" w:sz="4" w:space="0" w:color="auto"/>
              <w:right w:val="single" w:sz="4" w:space="0" w:color="auto"/>
            </w:tcBorders>
            <w:shd w:val="clear" w:color="auto" w:fill="auto"/>
            <w:noWrap/>
            <w:vAlign w:val="bottom"/>
            <w:hideMark/>
          </w:tcPr>
          <w:p w14:paraId="0F20A267"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95.92</w:t>
            </w:r>
          </w:p>
        </w:tc>
        <w:tc>
          <w:tcPr>
            <w:tcW w:w="1416" w:type="dxa"/>
            <w:tcBorders>
              <w:top w:val="nil"/>
              <w:left w:val="nil"/>
              <w:bottom w:val="single" w:sz="4" w:space="0" w:color="auto"/>
              <w:right w:val="single" w:sz="4" w:space="0" w:color="auto"/>
            </w:tcBorders>
            <w:shd w:val="clear" w:color="auto" w:fill="auto"/>
            <w:noWrap/>
            <w:vAlign w:val="bottom"/>
            <w:hideMark/>
          </w:tcPr>
          <w:p w14:paraId="7202F09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0.78</w:t>
            </w:r>
          </w:p>
        </w:tc>
        <w:tc>
          <w:tcPr>
            <w:tcW w:w="1416" w:type="dxa"/>
            <w:tcBorders>
              <w:top w:val="nil"/>
              <w:left w:val="nil"/>
              <w:bottom w:val="single" w:sz="4" w:space="0" w:color="auto"/>
              <w:right w:val="single" w:sz="4" w:space="0" w:color="auto"/>
            </w:tcBorders>
            <w:shd w:val="clear" w:color="auto" w:fill="auto"/>
            <w:noWrap/>
            <w:vAlign w:val="bottom"/>
            <w:hideMark/>
          </w:tcPr>
          <w:p w14:paraId="75D54412"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3.19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157C2"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0.11</w:t>
            </w:r>
          </w:p>
        </w:tc>
      </w:tr>
      <w:tr w:rsidR="00427756" w:rsidRPr="005A1511" w14:paraId="40935D29" w14:textId="77777777" w:rsidTr="00427756">
        <w:trPr>
          <w:trHeight w:val="72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2AA3CC"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DEVON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37DA6EC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27,190</w:t>
            </w:r>
          </w:p>
        </w:tc>
        <w:tc>
          <w:tcPr>
            <w:tcW w:w="1416" w:type="dxa"/>
            <w:tcBorders>
              <w:top w:val="nil"/>
              <w:left w:val="nil"/>
              <w:bottom w:val="single" w:sz="4" w:space="0" w:color="auto"/>
              <w:right w:val="single" w:sz="4" w:space="0" w:color="auto"/>
            </w:tcBorders>
            <w:shd w:val="clear" w:color="auto" w:fill="auto"/>
            <w:noWrap/>
            <w:vAlign w:val="bottom"/>
            <w:hideMark/>
          </w:tcPr>
          <w:p w14:paraId="51D96FF6"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98.05</w:t>
            </w:r>
          </w:p>
        </w:tc>
        <w:tc>
          <w:tcPr>
            <w:tcW w:w="1416" w:type="dxa"/>
            <w:tcBorders>
              <w:top w:val="nil"/>
              <w:left w:val="nil"/>
              <w:bottom w:val="single" w:sz="4" w:space="0" w:color="auto"/>
              <w:right w:val="single" w:sz="4" w:space="0" w:color="auto"/>
            </w:tcBorders>
            <w:shd w:val="clear" w:color="auto" w:fill="auto"/>
            <w:noWrap/>
            <w:vAlign w:val="bottom"/>
            <w:hideMark/>
          </w:tcPr>
          <w:p w14:paraId="1DA900C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1.42</w:t>
            </w:r>
          </w:p>
        </w:tc>
        <w:tc>
          <w:tcPr>
            <w:tcW w:w="1416" w:type="dxa"/>
            <w:tcBorders>
              <w:top w:val="nil"/>
              <w:left w:val="nil"/>
              <w:bottom w:val="single" w:sz="4" w:space="0" w:color="auto"/>
              <w:right w:val="single" w:sz="4" w:space="0" w:color="auto"/>
            </w:tcBorders>
            <w:shd w:val="clear" w:color="auto" w:fill="auto"/>
            <w:noWrap/>
            <w:vAlign w:val="bottom"/>
            <w:hideMark/>
          </w:tcPr>
          <w:p w14:paraId="778F3538"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0.40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9934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0.13</w:t>
            </w:r>
          </w:p>
        </w:tc>
      </w:tr>
      <w:tr w:rsidR="00427756" w:rsidRPr="005A1511" w14:paraId="748B7F17" w14:textId="77777777" w:rsidTr="00427756">
        <w:trPr>
          <w:trHeight w:val="72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9D658"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DORSET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2750CFC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16,375</w:t>
            </w:r>
          </w:p>
        </w:tc>
        <w:tc>
          <w:tcPr>
            <w:tcW w:w="1416" w:type="dxa"/>
            <w:tcBorders>
              <w:top w:val="nil"/>
              <w:left w:val="nil"/>
              <w:bottom w:val="single" w:sz="4" w:space="0" w:color="auto"/>
              <w:right w:val="single" w:sz="4" w:space="0" w:color="auto"/>
            </w:tcBorders>
            <w:shd w:val="clear" w:color="auto" w:fill="auto"/>
            <w:noWrap/>
            <w:vAlign w:val="bottom"/>
            <w:hideMark/>
          </w:tcPr>
          <w:p w14:paraId="623ED43C"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95.24</w:t>
            </w:r>
          </w:p>
        </w:tc>
        <w:tc>
          <w:tcPr>
            <w:tcW w:w="1416" w:type="dxa"/>
            <w:tcBorders>
              <w:top w:val="nil"/>
              <w:left w:val="nil"/>
              <w:bottom w:val="single" w:sz="4" w:space="0" w:color="auto"/>
              <w:right w:val="single" w:sz="4" w:space="0" w:color="auto"/>
            </w:tcBorders>
            <w:shd w:val="clear" w:color="auto" w:fill="auto"/>
            <w:noWrap/>
            <w:vAlign w:val="bottom"/>
            <w:hideMark/>
          </w:tcPr>
          <w:p w14:paraId="1F60F9A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0.45</w:t>
            </w:r>
          </w:p>
        </w:tc>
        <w:tc>
          <w:tcPr>
            <w:tcW w:w="1416" w:type="dxa"/>
            <w:tcBorders>
              <w:top w:val="nil"/>
              <w:left w:val="nil"/>
              <w:bottom w:val="single" w:sz="4" w:space="0" w:color="auto"/>
              <w:right w:val="single" w:sz="4" w:space="0" w:color="auto"/>
            </w:tcBorders>
            <w:shd w:val="clear" w:color="auto" w:fill="auto"/>
            <w:noWrap/>
            <w:vAlign w:val="bottom"/>
            <w:hideMark/>
          </w:tcPr>
          <w:p w14:paraId="66577A06"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4.18</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1350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0.13</w:t>
            </w:r>
          </w:p>
        </w:tc>
      </w:tr>
      <w:tr w:rsidR="00427756" w:rsidRPr="005A1511" w14:paraId="010F8529" w14:textId="77777777" w:rsidTr="00427756">
        <w:trPr>
          <w:trHeight w:val="72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978EBE"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FRIMLEY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1F4BCC6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19,461</w:t>
            </w:r>
          </w:p>
        </w:tc>
        <w:tc>
          <w:tcPr>
            <w:tcW w:w="1416" w:type="dxa"/>
            <w:tcBorders>
              <w:top w:val="nil"/>
              <w:left w:val="nil"/>
              <w:bottom w:val="single" w:sz="4" w:space="0" w:color="auto"/>
              <w:right w:val="single" w:sz="4" w:space="0" w:color="auto"/>
            </w:tcBorders>
            <w:shd w:val="clear" w:color="auto" w:fill="auto"/>
            <w:noWrap/>
            <w:vAlign w:val="bottom"/>
            <w:hideMark/>
          </w:tcPr>
          <w:p w14:paraId="39ECE91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99.20</w:t>
            </w:r>
          </w:p>
        </w:tc>
        <w:tc>
          <w:tcPr>
            <w:tcW w:w="1416" w:type="dxa"/>
            <w:tcBorders>
              <w:top w:val="nil"/>
              <w:left w:val="nil"/>
              <w:bottom w:val="single" w:sz="4" w:space="0" w:color="auto"/>
              <w:right w:val="single" w:sz="4" w:space="0" w:color="auto"/>
            </w:tcBorders>
            <w:shd w:val="clear" w:color="auto" w:fill="auto"/>
            <w:noWrap/>
            <w:vAlign w:val="bottom"/>
            <w:hideMark/>
          </w:tcPr>
          <w:p w14:paraId="50B75CF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0.35</w:t>
            </w:r>
          </w:p>
        </w:tc>
        <w:tc>
          <w:tcPr>
            <w:tcW w:w="1416" w:type="dxa"/>
            <w:tcBorders>
              <w:top w:val="nil"/>
              <w:left w:val="nil"/>
              <w:bottom w:val="single" w:sz="4" w:space="0" w:color="auto"/>
              <w:right w:val="single" w:sz="4" w:space="0" w:color="auto"/>
            </w:tcBorders>
            <w:shd w:val="clear" w:color="auto" w:fill="auto"/>
            <w:noWrap/>
            <w:vAlign w:val="bottom"/>
            <w:hideMark/>
          </w:tcPr>
          <w:p w14:paraId="257562DE"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0.36</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EA5E8"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0.09</w:t>
            </w:r>
          </w:p>
        </w:tc>
      </w:tr>
      <w:tr w:rsidR="00427756" w:rsidRPr="005A1511" w14:paraId="3ADD5CA2" w14:textId="77777777" w:rsidTr="00427756">
        <w:trPr>
          <w:trHeight w:val="96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741B22"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GLOUCESTERSHIRE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4041CBC2"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16,928</w:t>
            </w:r>
          </w:p>
        </w:tc>
        <w:tc>
          <w:tcPr>
            <w:tcW w:w="1416" w:type="dxa"/>
            <w:tcBorders>
              <w:top w:val="nil"/>
              <w:left w:val="nil"/>
              <w:bottom w:val="single" w:sz="4" w:space="0" w:color="auto"/>
              <w:right w:val="single" w:sz="4" w:space="0" w:color="auto"/>
            </w:tcBorders>
            <w:shd w:val="clear" w:color="auto" w:fill="auto"/>
            <w:noWrap/>
            <w:vAlign w:val="bottom"/>
            <w:hideMark/>
          </w:tcPr>
          <w:p w14:paraId="37329FB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94.40</w:t>
            </w:r>
          </w:p>
        </w:tc>
        <w:tc>
          <w:tcPr>
            <w:tcW w:w="1416" w:type="dxa"/>
            <w:tcBorders>
              <w:top w:val="nil"/>
              <w:left w:val="nil"/>
              <w:bottom w:val="single" w:sz="4" w:space="0" w:color="auto"/>
              <w:right w:val="single" w:sz="4" w:space="0" w:color="auto"/>
            </w:tcBorders>
            <w:shd w:val="clear" w:color="auto" w:fill="auto"/>
            <w:noWrap/>
            <w:vAlign w:val="bottom"/>
            <w:hideMark/>
          </w:tcPr>
          <w:p w14:paraId="2C25882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4.95</w:t>
            </w:r>
          </w:p>
        </w:tc>
        <w:tc>
          <w:tcPr>
            <w:tcW w:w="1416" w:type="dxa"/>
            <w:tcBorders>
              <w:top w:val="nil"/>
              <w:left w:val="nil"/>
              <w:bottom w:val="single" w:sz="4" w:space="0" w:color="auto"/>
              <w:right w:val="single" w:sz="4" w:space="0" w:color="auto"/>
            </w:tcBorders>
            <w:shd w:val="clear" w:color="auto" w:fill="auto"/>
            <w:noWrap/>
            <w:vAlign w:val="bottom"/>
            <w:hideMark/>
          </w:tcPr>
          <w:p w14:paraId="36E4BF6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0.54</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04CC2"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0.11</w:t>
            </w:r>
          </w:p>
        </w:tc>
      </w:tr>
      <w:tr w:rsidR="00427756" w:rsidRPr="005A1511" w14:paraId="01188992" w14:textId="77777777" w:rsidTr="00427756">
        <w:trPr>
          <w:trHeight w:val="96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37887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GREATER MANCHESTER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427C46AE"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81,409</w:t>
            </w:r>
          </w:p>
        </w:tc>
        <w:tc>
          <w:tcPr>
            <w:tcW w:w="1416" w:type="dxa"/>
            <w:tcBorders>
              <w:top w:val="nil"/>
              <w:left w:val="nil"/>
              <w:bottom w:val="single" w:sz="4" w:space="0" w:color="auto"/>
              <w:right w:val="single" w:sz="4" w:space="0" w:color="auto"/>
            </w:tcBorders>
            <w:shd w:val="clear" w:color="auto" w:fill="auto"/>
            <w:noWrap/>
            <w:vAlign w:val="bottom"/>
            <w:hideMark/>
          </w:tcPr>
          <w:p w14:paraId="34B0532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98.51</w:t>
            </w:r>
          </w:p>
        </w:tc>
        <w:tc>
          <w:tcPr>
            <w:tcW w:w="1416" w:type="dxa"/>
            <w:tcBorders>
              <w:top w:val="nil"/>
              <w:left w:val="nil"/>
              <w:bottom w:val="single" w:sz="4" w:space="0" w:color="auto"/>
              <w:right w:val="single" w:sz="4" w:space="0" w:color="auto"/>
            </w:tcBorders>
            <w:shd w:val="clear" w:color="auto" w:fill="auto"/>
            <w:noWrap/>
            <w:vAlign w:val="bottom"/>
            <w:hideMark/>
          </w:tcPr>
          <w:p w14:paraId="6B7400F9"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0.77</w:t>
            </w:r>
          </w:p>
        </w:tc>
        <w:tc>
          <w:tcPr>
            <w:tcW w:w="1416" w:type="dxa"/>
            <w:tcBorders>
              <w:top w:val="nil"/>
              <w:left w:val="nil"/>
              <w:bottom w:val="single" w:sz="4" w:space="0" w:color="auto"/>
              <w:right w:val="single" w:sz="4" w:space="0" w:color="auto"/>
            </w:tcBorders>
            <w:shd w:val="clear" w:color="auto" w:fill="auto"/>
            <w:noWrap/>
            <w:vAlign w:val="bottom"/>
            <w:hideMark/>
          </w:tcPr>
          <w:p w14:paraId="5C56348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0.61</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B4590"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0.12</w:t>
            </w:r>
          </w:p>
        </w:tc>
      </w:tr>
      <w:tr w:rsidR="00427756" w:rsidRPr="005A1511" w14:paraId="45735478" w14:textId="77777777" w:rsidTr="00427756">
        <w:trPr>
          <w:trHeight w:val="120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625B0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HAMPSHIRE AND ISLE OF WIGHT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494A6C0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50,111</w:t>
            </w:r>
          </w:p>
        </w:tc>
        <w:tc>
          <w:tcPr>
            <w:tcW w:w="1416" w:type="dxa"/>
            <w:tcBorders>
              <w:top w:val="nil"/>
              <w:left w:val="nil"/>
              <w:bottom w:val="single" w:sz="4" w:space="0" w:color="auto"/>
              <w:right w:val="single" w:sz="4" w:space="0" w:color="auto"/>
            </w:tcBorders>
            <w:shd w:val="clear" w:color="auto" w:fill="auto"/>
            <w:noWrap/>
            <w:vAlign w:val="bottom"/>
            <w:hideMark/>
          </w:tcPr>
          <w:p w14:paraId="471F9AD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97.98</w:t>
            </w:r>
          </w:p>
        </w:tc>
        <w:tc>
          <w:tcPr>
            <w:tcW w:w="1416" w:type="dxa"/>
            <w:tcBorders>
              <w:top w:val="nil"/>
              <w:left w:val="nil"/>
              <w:bottom w:val="single" w:sz="4" w:space="0" w:color="auto"/>
              <w:right w:val="single" w:sz="4" w:space="0" w:color="auto"/>
            </w:tcBorders>
            <w:shd w:val="clear" w:color="auto" w:fill="auto"/>
            <w:noWrap/>
            <w:vAlign w:val="bottom"/>
            <w:hideMark/>
          </w:tcPr>
          <w:p w14:paraId="22839B6C"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1.56</w:t>
            </w:r>
          </w:p>
        </w:tc>
        <w:tc>
          <w:tcPr>
            <w:tcW w:w="1416" w:type="dxa"/>
            <w:tcBorders>
              <w:top w:val="nil"/>
              <w:left w:val="nil"/>
              <w:bottom w:val="single" w:sz="4" w:space="0" w:color="auto"/>
              <w:right w:val="single" w:sz="4" w:space="0" w:color="auto"/>
            </w:tcBorders>
            <w:shd w:val="clear" w:color="auto" w:fill="auto"/>
            <w:noWrap/>
            <w:vAlign w:val="bottom"/>
            <w:hideMark/>
          </w:tcPr>
          <w:p w14:paraId="2DEE40F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0.36</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04A69"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0.10</w:t>
            </w:r>
          </w:p>
        </w:tc>
      </w:tr>
      <w:tr w:rsidR="00427756" w:rsidRPr="005A1511" w14:paraId="15C3AF02" w14:textId="77777777" w:rsidTr="00427756">
        <w:trPr>
          <w:trHeight w:val="144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C4D8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HEREFORDSHIRE AND WORCESTERSHIRE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5FB6BD8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19,089</w:t>
            </w:r>
          </w:p>
        </w:tc>
        <w:tc>
          <w:tcPr>
            <w:tcW w:w="1416" w:type="dxa"/>
            <w:tcBorders>
              <w:top w:val="nil"/>
              <w:left w:val="nil"/>
              <w:bottom w:val="single" w:sz="4" w:space="0" w:color="auto"/>
              <w:right w:val="single" w:sz="4" w:space="0" w:color="auto"/>
            </w:tcBorders>
            <w:shd w:val="clear" w:color="auto" w:fill="auto"/>
            <w:noWrap/>
            <w:vAlign w:val="bottom"/>
            <w:hideMark/>
          </w:tcPr>
          <w:p w14:paraId="0092F37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97.53</w:t>
            </w:r>
          </w:p>
        </w:tc>
        <w:tc>
          <w:tcPr>
            <w:tcW w:w="1416" w:type="dxa"/>
            <w:tcBorders>
              <w:top w:val="nil"/>
              <w:left w:val="nil"/>
              <w:bottom w:val="single" w:sz="4" w:space="0" w:color="auto"/>
              <w:right w:val="single" w:sz="4" w:space="0" w:color="auto"/>
            </w:tcBorders>
            <w:shd w:val="clear" w:color="auto" w:fill="auto"/>
            <w:noWrap/>
            <w:vAlign w:val="bottom"/>
            <w:hideMark/>
          </w:tcPr>
          <w:p w14:paraId="2093C267"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1.79</w:t>
            </w:r>
          </w:p>
        </w:tc>
        <w:tc>
          <w:tcPr>
            <w:tcW w:w="1416" w:type="dxa"/>
            <w:tcBorders>
              <w:top w:val="nil"/>
              <w:left w:val="nil"/>
              <w:bottom w:val="single" w:sz="4" w:space="0" w:color="auto"/>
              <w:right w:val="single" w:sz="4" w:space="0" w:color="auto"/>
            </w:tcBorders>
            <w:shd w:val="clear" w:color="auto" w:fill="auto"/>
            <w:noWrap/>
            <w:vAlign w:val="bottom"/>
            <w:hideMark/>
          </w:tcPr>
          <w:p w14:paraId="5F95A18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0.58</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3125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0.10</w:t>
            </w:r>
          </w:p>
        </w:tc>
      </w:tr>
      <w:tr w:rsidR="00427756" w:rsidRPr="005A1511" w14:paraId="6367AABE" w14:textId="77777777" w:rsidTr="00427756">
        <w:trPr>
          <w:trHeight w:val="144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DAEEE"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HERTFORDSHIRE AND WEST ESSEX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00CC93B7"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43,210</w:t>
            </w:r>
          </w:p>
        </w:tc>
        <w:tc>
          <w:tcPr>
            <w:tcW w:w="1416" w:type="dxa"/>
            <w:tcBorders>
              <w:top w:val="nil"/>
              <w:left w:val="nil"/>
              <w:bottom w:val="single" w:sz="4" w:space="0" w:color="auto"/>
              <w:right w:val="single" w:sz="4" w:space="0" w:color="auto"/>
            </w:tcBorders>
            <w:shd w:val="clear" w:color="auto" w:fill="auto"/>
            <w:noWrap/>
            <w:vAlign w:val="bottom"/>
            <w:hideMark/>
          </w:tcPr>
          <w:p w14:paraId="434B903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98.05</w:t>
            </w:r>
          </w:p>
        </w:tc>
        <w:tc>
          <w:tcPr>
            <w:tcW w:w="1416" w:type="dxa"/>
            <w:tcBorders>
              <w:top w:val="nil"/>
              <w:left w:val="nil"/>
              <w:bottom w:val="single" w:sz="4" w:space="0" w:color="auto"/>
              <w:right w:val="single" w:sz="4" w:space="0" w:color="auto"/>
            </w:tcBorders>
            <w:shd w:val="clear" w:color="auto" w:fill="auto"/>
            <w:noWrap/>
            <w:vAlign w:val="bottom"/>
            <w:hideMark/>
          </w:tcPr>
          <w:p w14:paraId="44E9A6A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1.52</w:t>
            </w:r>
          </w:p>
        </w:tc>
        <w:tc>
          <w:tcPr>
            <w:tcW w:w="1416" w:type="dxa"/>
            <w:tcBorders>
              <w:top w:val="nil"/>
              <w:left w:val="nil"/>
              <w:bottom w:val="single" w:sz="4" w:space="0" w:color="auto"/>
              <w:right w:val="single" w:sz="4" w:space="0" w:color="auto"/>
            </w:tcBorders>
            <w:shd w:val="clear" w:color="auto" w:fill="auto"/>
            <w:noWrap/>
            <w:vAlign w:val="bottom"/>
            <w:hideMark/>
          </w:tcPr>
          <w:p w14:paraId="52AABA2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0.36</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3EBB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0.07</w:t>
            </w:r>
          </w:p>
        </w:tc>
      </w:tr>
      <w:tr w:rsidR="00427756" w:rsidRPr="005A1511" w14:paraId="7A06ABB5" w14:textId="77777777" w:rsidTr="00427756">
        <w:trPr>
          <w:trHeight w:val="120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E293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HUMBER AND NORTH YORKSHIRE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095110C9"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44,380</w:t>
            </w:r>
          </w:p>
        </w:tc>
        <w:tc>
          <w:tcPr>
            <w:tcW w:w="1416" w:type="dxa"/>
            <w:tcBorders>
              <w:top w:val="nil"/>
              <w:left w:val="nil"/>
              <w:bottom w:val="single" w:sz="4" w:space="0" w:color="auto"/>
              <w:right w:val="single" w:sz="4" w:space="0" w:color="auto"/>
            </w:tcBorders>
            <w:shd w:val="clear" w:color="auto" w:fill="auto"/>
            <w:noWrap/>
            <w:vAlign w:val="bottom"/>
            <w:hideMark/>
          </w:tcPr>
          <w:p w14:paraId="05FD99A8"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94.36</w:t>
            </w:r>
          </w:p>
        </w:tc>
        <w:tc>
          <w:tcPr>
            <w:tcW w:w="1416" w:type="dxa"/>
            <w:tcBorders>
              <w:top w:val="nil"/>
              <w:left w:val="nil"/>
              <w:bottom w:val="single" w:sz="4" w:space="0" w:color="auto"/>
              <w:right w:val="single" w:sz="4" w:space="0" w:color="auto"/>
            </w:tcBorders>
            <w:shd w:val="clear" w:color="auto" w:fill="auto"/>
            <w:noWrap/>
            <w:vAlign w:val="bottom"/>
            <w:hideMark/>
          </w:tcPr>
          <w:p w14:paraId="6CFC831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1.67</w:t>
            </w:r>
          </w:p>
        </w:tc>
        <w:tc>
          <w:tcPr>
            <w:tcW w:w="1416" w:type="dxa"/>
            <w:tcBorders>
              <w:top w:val="nil"/>
              <w:left w:val="nil"/>
              <w:bottom w:val="single" w:sz="4" w:space="0" w:color="auto"/>
              <w:right w:val="single" w:sz="4" w:space="0" w:color="auto"/>
            </w:tcBorders>
            <w:shd w:val="clear" w:color="auto" w:fill="auto"/>
            <w:noWrap/>
            <w:vAlign w:val="bottom"/>
            <w:hideMark/>
          </w:tcPr>
          <w:p w14:paraId="2E3D167E"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3.65</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4A83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0.33</w:t>
            </w:r>
          </w:p>
        </w:tc>
      </w:tr>
      <w:tr w:rsidR="00427756" w:rsidRPr="005A1511" w14:paraId="5852256E" w14:textId="77777777" w:rsidTr="00427756">
        <w:trPr>
          <w:trHeight w:val="96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F63BA8"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KENT AND MEDWAY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3D5B947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49,616</w:t>
            </w:r>
          </w:p>
        </w:tc>
        <w:tc>
          <w:tcPr>
            <w:tcW w:w="1416" w:type="dxa"/>
            <w:tcBorders>
              <w:top w:val="nil"/>
              <w:left w:val="nil"/>
              <w:bottom w:val="single" w:sz="4" w:space="0" w:color="auto"/>
              <w:right w:val="single" w:sz="4" w:space="0" w:color="auto"/>
            </w:tcBorders>
            <w:shd w:val="clear" w:color="auto" w:fill="auto"/>
            <w:noWrap/>
            <w:vAlign w:val="bottom"/>
            <w:hideMark/>
          </w:tcPr>
          <w:p w14:paraId="7D5A88F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96.73</w:t>
            </w:r>
          </w:p>
        </w:tc>
        <w:tc>
          <w:tcPr>
            <w:tcW w:w="1416" w:type="dxa"/>
            <w:tcBorders>
              <w:top w:val="nil"/>
              <w:left w:val="nil"/>
              <w:bottom w:val="single" w:sz="4" w:space="0" w:color="auto"/>
              <w:right w:val="single" w:sz="4" w:space="0" w:color="auto"/>
            </w:tcBorders>
            <w:shd w:val="clear" w:color="auto" w:fill="auto"/>
            <w:noWrap/>
            <w:vAlign w:val="bottom"/>
            <w:hideMark/>
          </w:tcPr>
          <w:p w14:paraId="15465F3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1.69</w:t>
            </w:r>
          </w:p>
        </w:tc>
        <w:tc>
          <w:tcPr>
            <w:tcW w:w="1416" w:type="dxa"/>
            <w:tcBorders>
              <w:top w:val="nil"/>
              <w:left w:val="nil"/>
              <w:bottom w:val="single" w:sz="4" w:space="0" w:color="auto"/>
              <w:right w:val="single" w:sz="4" w:space="0" w:color="auto"/>
            </w:tcBorders>
            <w:shd w:val="clear" w:color="auto" w:fill="auto"/>
            <w:noWrap/>
            <w:vAlign w:val="bottom"/>
            <w:hideMark/>
          </w:tcPr>
          <w:p w14:paraId="47BFFDB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5914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0.19</w:t>
            </w:r>
          </w:p>
        </w:tc>
      </w:tr>
      <w:tr w:rsidR="00427756" w:rsidRPr="005A1511" w14:paraId="6D0E913C" w14:textId="77777777" w:rsidTr="00427756">
        <w:trPr>
          <w:trHeight w:val="144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72DD5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LANCASHIRE AND SOUTH CUMBRIA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6BA2B137"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59,490</w:t>
            </w:r>
          </w:p>
        </w:tc>
        <w:tc>
          <w:tcPr>
            <w:tcW w:w="1416" w:type="dxa"/>
            <w:tcBorders>
              <w:top w:val="nil"/>
              <w:left w:val="nil"/>
              <w:bottom w:val="single" w:sz="4" w:space="0" w:color="auto"/>
              <w:right w:val="single" w:sz="4" w:space="0" w:color="auto"/>
            </w:tcBorders>
            <w:shd w:val="clear" w:color="auto" w:fill="auto"/>
            <w:noWrap/>
            <w:vAlign w:val="bottom"/>
            <w:hideMark/>
          </w:tcPr>
          <w:p w14:paraId="5B757DE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93.97</w:t>
            </w:r>
          </w:p>
        </w:tc>
        <w:tc>
          <w:tcPr>
            <w:tcW w:w="1416" w:type="dxa"/>
            <w:tcBorders>
              <w:top w:val="nil"/>
              <w:left w:val="nil"/>
              <w:bottom w:val="single" w:sz="4" w:space="0" w:color="auto"/>
              <w:right w:val="single" w:sz="4" w:space="0" w:color="auto"/>
            </w:tcBorders>
            <w:shd w:val="clear" w:color="auto" w:fill="auto"/>
            <w:noWrap/>
            <w:vAlign w:val="bottom"/>
            <w:hideMark/>
          </w:tcPr>
          <w:p w14:paraId="456C92C9"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4.21</w:t>
            </w:r>
          </w:p>
        </w:tc>
        <w:tc>
          <w:tcPr>
            <w:tcW w:w="1416" w:type="dxa"/>
            <w:tcBorders>
              <w:top w:val="nil"/>
              <w:left w:val="nil"/>
              <w:bottom w:val="single" w:sz="4" w:space="0" w:color="auto"/>
              <w:right w:val="single" w:sz="4" w:space="0" w:color="auto"/>
            </w:tcBorders>
            <w:shd w:val="clear" w:color="auto" w:fill="auto"/>
            <w:noWrap/>
            <w:vAlign w:val="bottom"/>
            <w:hideMark/>
          </w:tcPr>
          <w:p w14:paraId="714810DE"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1.54</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C0B68"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0.28</w:t>
            </w:r>
          </w:p>
        </w:tc>
      </w:tr>
      <w:tr w:rsidR="00427756" w:rsidRPr="005A1511" w14:paraId="408D26BA" w14:textId="77777777" w:rsidTr="00427756">
        <w:trPr>
          <w:trHeight w:val="120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E69FC2"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lastRenderedPageBreak/>
              <w:t>NHS LEICESTER, LEICESTERSHIRE AND RUTLAND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448BC42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32,287</w:t>
            </w:r>
          </w:p>
        </w:tc>
        <w:tc>
          <w:tcPr>
            <w:tcW w:w="1416" w:type="dxa"/>
            <w:tcBorders>
              <w:top w:val="nil"/>
              <w:left w:val="nil"/>
              <w:bottom w:val="single" w:sz="4" w:space="0" w:color="auto"/>
              <w:right w:val="single" w:sz="4" w:space="0" w:color="auto"/>
            </w:tcBorders>
            <w:shd w:val="clear" w:color="auto" w:fill="auto"/>
            <w:noWrap/>
            <w:vAlign w:val="bottom"/>
            <w:hideMark/>
          </w:tcPr>
          <w:p w14:paraId="40F0A42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92.23</w:t>
            </w:r>
          </w:p>
        </w:tc>
        <w:tc>
          <w:tcPr>
            <w:tcW w:w="1416" w:type="dxa"/>
            <w:tcBorders>
              <w:top w:val="nil"/>
              <w:left w:val="nil"/>
              <w:bottom w:val="single" w:sz="4" w:space="0" w:color="auto"/>
              <w:right w:val="single" w:sz="4" w:space="0" w:color="auto"/>
            </w:tcBorders>
            <w:shd w:val="clear" w:color="auto" w:fill="auto"/>
            <w:noWrap/>
            <w:vAlign w:val="bottom"/>
            <w:hideMark/>
          </w:tcPr>
          <w:p w14:paraId="6AD5FE1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2.52</w:t>
            </w:r>
          </w:p>
        </w:tc>
        <w:tc>
          <w:tcPr>
            <w:tcW w:w="1416" w:type="dxa"/>
            <w:tcBorders>
              <w:top w:val="nil"/>
              <w:left w:val="nil"/>
              <w:bottom w:val="single" w:sz="4" w:space="0" w:color="auto"/>
              <w:right w:val="single" w:sz="4" w:space="0" w:color="auto"/>
            </w:tcBorders>
            <w:shd w:val="clear" w:color="auto" w:fill="auto"/>
            <w:noWrap/>
            <w:vAlign w:val="bottom"/>
            <w:hideMark/>
          </w:tcPr>
          <w:p w14:paraId="2E81088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5.05</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1E78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0.21</w:t>
            </w:r>
          </w:p>
        </w:tc>
      </w:tr>
      <w:tr w:rsidR="00427756" w:rsidRPr="005A1511" w14:paraId="36DA1B9B" w14:textId="77777777" w:rsidTr="00427756">
        <w:trPr>
          <w:trHeight w:val="96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1375E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LINCOLNSHIRE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3F9DF71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17,711</w:t>
            </w:r>
          </w:p>
        </w:tc>
        <w:tc>
          <w:tcPr>
            <w:tcW w:w="1416" w:type="dxa"/>
            <w:tcBorders>
              <w:top w:val="nil"/>
              <w:left w:val="nil"/>
              <w:bottom w:val="single" w:sz="4" w:space="0" w:color="auto"/>
              <w:right w:val="single" w:sz="4" w:space="0" w:color="auto"/>
            </w:tcBorders>
            <w:shd w:val="clear" w:color="auto" w:fill="auto"/>
            <w:noWrap/>
            <w:vAlign w:val="bottom"/>
            <w:hideMark/>
          </w:tcPr>
          <w:p w14:paraId="2A1C98E7"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94.11</w:t>
            </w:r>
          </w:p>
        </w:tc>
        <w:tc>
          <w:tcPr>
            <w:tcW w:w="1416" w:type="dxa"/>
            <w:tcBorders>
              <w:top w:val="nil"/>
              <w:left w:val="nil"/>
              <w:bottom w:val="single" w:sz="4" w:space="0" w:color="auto"/>
              <w:right w:val="single" w:sz="4" w:space="0" w:color="auto"/>
            </w:tcBorders>
            <w:shd w:val="clear" w:color="auto" w:fill="auto"/>
            <w:noWrap/>
            <w:vAlign w:val="bottom"/>
            <w:hideMark/>
          </w:tcPr>
          <w:p w14:paraId="2622B03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0.30</w:t>
            </w:r>
          </w:p>
        </w:tc>
        <w:tc>
          <w:tcPr>
            <w:tcW w:w="1416" w:type="dxa"/>
            <w:tcBorders>
              <w:top w:val="nil"/>
              <w:left w:val="nil"/>
              <w:bottom w:val="single" w:sz="4" w:space="0" w:color="auto"/>
              <w:right w:val="single" w:sz="4" w:space="0" w:color="auto"/>
            </w:tcBorders>
            <w:shd w:val="clear" w:color="auto" w:fill="auto"/>
            <w:noWrap/>
            <w:vAlign w:val="bottom"/>
            <w:hideMark/>
          </w:tcPr>
          <w:p w14:paraId="1BCEB660"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5.35</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74189"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0.24</w:t>
            </w:r>
          </w:p>
        </w:tc>
      </w:tr>
      <w:tr w:rsidR="00427756" w:rsidRPr="005A1511" w14:paraId="62169D71" w14:textId="77777777" w:rsidTr="00427756">
        <w:trPr>
          <w:trHeight w:val="96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1E64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MID AND SOUTH ESSEX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0ECCB50C"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34,950</w:t>
            </w:r>
          </w:p>
        </w:tc>
        <w:tc>
          <w:tcPr>
            <w:tcW w:w="1416" w:type="dxa"/>
            <w:tcBorders>
              <w:top w:val="nil"/>
              <w:left w:val="nil"/>
              <w:bottom w:val="single" w:sz="4" w:space="0" w:color="auto"/>
              <w:right w:val="single" w:sz="4" w:space="0" w:color="auto"/>
            </w:tcBorders>
            <w:shd w:val="clear" w:color="auto" w:fill="auto"/>
            <w:noWrap/>
            <w:vAlign w:val="bottom"/>
            <w:hideMark/>
          </w:tcPr>
          <w:p w14:paraId="5E4A531E"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98.55</w:t>
            </w:r>
          </w:p>
        </w:tc>
        <w:tc>
          <w:tcPr>
            <w:tcW w:w="1416" w:type="dxa"/>
            <w:tcBorders>
              <w:top w:val="nil"/>
              <w:left w:val="nil"/>
              <w:bottom w:val="single" w:sz="4" w:space="0" w:color="auto"/>
              <w:right w:val="single" w:sz="4" w:space="0" w:color="auto"/>
            </w:tcBorders>
            <w:shd w:val="clear" w:color="auto" w:fill="auto"/>
            <w:noWrap/>
            <w:vAlign w:val="bottom"/>
            <w:hideMark/>
          </w:tcPr>
          <w:p w14:paraId="646383D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0.36</w:t>
            </w:r>
          </w:p>
        </w:tc>
        <w:tc>
          <w:tcPr>
            <w:tcW w:w="1416" w:type="dxa"/>
            <w:tcBorders>
              <w:top w:val="nil"/>
              <w:left w:val="nil"/>
              <w:bottom w:val="single" w:sz="4" w:space="0" w:color="auto"/>
              <w:right w:val="single" w:sz="4" w:space="0" w:color="auto"/>
            </w:tcBorders>
            <w:shd w:val="clear" w:color="auto" w:fill="auto"/>
            <w:noWrap/>
            <w:vAlign w:val="bottom"/>
            <w:hideMark/>
          </w:tcPr>
          <w:p w14:paraId="58C66038"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6214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0.09</w:t>
            </w:r>
          </w:p>
        </w:tc>
      </w:tr>
      <w:tr w:rsidR="00427756" w:rsidRPr="005A1511" w14:paraId="5AF335B1" w14:textId="77777777" w:rsidTr="00427756">
        <w:trPr>
          <w:trHeight w:val="96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2E84C"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NORFOLK AND WAVENEY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3CB662D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21,834</w:t>
            </w:r>
          </w:p>
        </w:tc>
        <w:tc>
          <w:tcPr>
            <w:tcW w:w="1416" w:type="dxa"/>
            <w:tcBorders>
              <w:top w:val="nil"/>
              <w:left w:val="nil"/>
              <w:bottom w:val="single" w:sz="4" w:space="0" w:color="auto"/>
              <w:right w:val="single" w:sz="4" w:space="0" w:color="auto"/>
            </w:tcBorders>
            <w:shd w:val="clear" w:color="auto" w:fill="auto"/>
            <w:noWrap/>
            <w:vAlign w:val="bottom"/>
            <w:hideMark/>
          </w:tcPr>
          <w:p w14:paraId="3BFA5A3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98.72</w:t>
            </w:r>
          </w:p>
        </w:tc>
        <w:tc>
          <w:tcPr>
            <w:tcW w:w="1416" w:type="dxa"/>
            <w:tcBorders>
              <w:top w:val="nil"/>
              <w:left w:val="nil"/>
              <w:bottom w:val="single" w:sz="4" w:space="0" w:color="auto"/>
              <w:right w:val="single" w:sz="4" w:space="0" w:color="auto"/>
            </w:tcBorders>
            <w:shd w:val="clear" w:color="auto" w:fill="auto"/>
            <w:noWrap/>
            <w:vAlign w:val="bottom"/>
            <w:hideMark/>
          </w:tcPr>
          <w:p w14:paraId="0E6321A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0.66</w:t>
            </w:r>
          </w:p>
        </w:tc>
        <w:tc>
          <w:tcPr>
            <w:tcW w:w="1416" w:type="dxa"/>
            <w:tcBorders>
              <w:top w:val="nil"/>
              <w:left w:val="nil"/>
              <w:bottom w:val="single" w:sz="4" w:space="0" w:color="auto"/>
              <w:right w:val="single" w:sz="4" w:space="0" w:color="auto"/>
            </w:tcBorders>
            <w:shd w:val="clear" w:color="auto" w:fill="auto"/>
            <w:noWrap/>
            <w:vAlign w:val="bottom"/>
            <w:hideMark/>
          </w:tcPr>
          <w:p w14:paraId="0C0FF12C"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0.52</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3DA1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0.10</w:t>
            </w:r>
          </w:p>
        </w:tc>
      </w:tr>
      <w:tr w:rsidR="00427756" w:rsidRPr="005A1511" w14:paraId="50BB3630" w14:textId="77777777" w:rsidTr="00427756">
        <w:trPr>
          <w:trHeight w:val="120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5FB91E"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NORTH CENTRAL LONDON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564D8A5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26,873</w:t>
            </w:r>
          </w:p>
        </w:tc>
        <w:tc>
          <w:tcPr>
            <w:tcW w:w="1416" w:type="dxa"/>
            <w:tcBorders>
              <w:top w:val="nil"/>
              <w:left w:val="nil"/>
              <w:bottom w:val="single" w:sz="4" w:space="0" w:color="auto"/>
              <w:right w:val="single" w:sz="4" w:space="0" w:color="auto"/>
            </w:tcBorders>
            <w:shd w:val="clear" w:color="auto" w:fill="auto"/>
            <w:noWrap/>
            <w:vAlign w:val="bottom"/>
            <w:hideMark/>
          </w:tcPr>
          <w:p w14:paraId="77C20326"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97.02</w:t>
            </w:r>
          </w:p>
        </w:tc>
        <w:tc>
          <w:tcPr>
            <w:tcW w:w="1416" w:type="dxa"/>
            <w:tcBorders>
              <w:top w:val="nil"/>
              <w:left w:val="nil"/>
              <w:bottom w:val="single" w:sz="4" w:space="0" w:color="auto"/>
              <w:right w:val="single" w:sz="4" w:space="0" w:color="auto"/>
            </w:tcBorders>
            <w:shd w:val="clear" w:color="auto" w:fill="auto"/>
            <w:noWrap/>
            <w:vAlign w:val="bottom"/>
            <w:hideMark/>
          </w:tcPr>
          <w:p w14:paraId="68FFC230"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0.75</w:t>
            </w:r>
          </w:p>
        </w:tc>
        <w:tc>
          <w:tcPr>
            <w:tcW w:w="1416" w:type="dxa"/>
            <w:tcBorders>
              <w:top w:val="nil"/>
              <w:left w:val="nil"/>
              <w:bottom w:val="single" w:sz="4" w:space="0" w:color="auto"/>
              <w:right w:val="single" w:sz="4" w:space="0" w:color="auto"/>
            </w:tcBorders>
            <w:shd w:val="clear" w:color="auto" w:fill="auto"/>
            <w:noWrap/>
            <w:vAlign w:val="bottom"/>
            <w:hideMark/>
          </w:tcPr>
          <w:p w14:paraId="36C98F2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6356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1.13</w:t>
            </w:r>
          </w:p>
        </w:tc>
      </w:tr>
      <w:tr w:rsidR="00427756" w:rsidRPr="005A1511" w14:paraId="68EA9308" w14:textId="77777777" w:rsidTr="00427756">
        <w:trPr>
          <w:trHeight w:val="120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AA8D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NORTH EAST AND NORTH CUMBRIA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4ECB9B3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91,049</w:t>
            </w:r>
          </w:p>
        </w:tc>
        <w:tc>
          <w:tcPr>
            <w:tcW w:w="1416" w:type="dxa"/>
            <w:tcBorders>
              <w:top w:val="nil"/>
              <w:left w:val="nil"/>
              <w:bottom w:val="single" w:sz="4" w:space="0" w:color="auto"/>
              <w:right w:val="single" w:sz="4" w:space="0" w:color="auto"/>
            </w:tcBorders>
            <w:shd w:val="clear" w:color="auto" w:fill="auto"/>
            <w:noWrap/>
            <w:vAlign w:val="bottom"/>
            <w:hideMark/>
          </w:tcPr>
          <w:p w14:paraId="740F6546"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95.45</w:t>
            </w:r>
          </w:p>
        </w:tc>
        <w:tc>
          <w:tcPr>
            <w:tcW w:w="1416" w:type="dxa"/>
            <w:tcBorders>
              <w:top w:val="nil"/>
              <w:left w:val="nil"/>
              <w:bottom w:val="single" w:sz="4" w:space="0" w:color="auto"/>
              <w:right w:val="single" w:sz="4" w:space="0" w:color="auto"/>
            </w:tcBorders>
            <w:shd w:val="clear" w:color="auto" w:fill="auto"/>
            <w:noWrap/>
            <w:vAlign w:val="bottom"/>
            <w:hideMark/>
          </w:tcPr>
          <w:p w14:paraId="0DAD20C6"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0.36</w:t>
            </w:r>
          </w:p>
        </w:tc>
        <w:tc>
          <w:tcPr>
            <w:tcW w:w="1416" w:type="dxa"/>
            <w:tcBorders>
              <w:top w:val="nil"/>
              <w:left w:val="nil"/>
              <w:bottom w:val="single" w:sz="4" w:space="0" w:color="auto"/>
              <w:right w:val="single" w:sz="4" w:space="0" w:color="auto"/>
            </w:tcBorders>
            <w:shd w:val="clear" w:color="auto" w:fill="auto"/>
            <w:noWrap/>
            <w:vAlign w:val="bottom"/>
            <w:hideMark/>
          </w:tcPr>
          <w:p w14:paraId="45CF0699"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3.89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CFE0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0.30</w:t>
            </w:r>
          </w:p>
        </w:tc>
      </w:tr>
      <w:tr w:rsidR="00427756" w:rsidRPr="005A1511" w14:paraId="4DBB782C" w14:textId="77777777" w:rsidTr="00427756">
        <w:trPr>
          <w:trHeight w:val="96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178C1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NORTH EAST LONDON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44666E07"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50,829</w:t>
            </w:r>
          </w:p>
        </w:tc>
        <w:tc>
          <w:tcPr>
            <w:tcW w:w="1416" w:type="dxa"/>
            <w:tcBorders>
              <w:top w:val="nil"/>
              <w:left w:val="nil"/>
              <w:bottom w:val="single" w:sz="4" w:space="0" w:color="auto"/>
              <w:right w:val="single" w:sz="4" w:space="0" w:color="auto"/>
            </w:tcBorders>
            <w:shd w:val="clear" w:color="auto" w:fill="auto"/>
            <w:noWrap/>
            <w:vAlign w:val="bottom"/>
            <w:hideMark/>
          </w:tcPr>
          <w:p w14:paraId="2897DF4E"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97.73</w:t>
            </w:r>
          </w:p>
        </w:tc>
        <w:tc>
          <w:tcPr>
            <w:tcW w:w="1416" w:type="dxa"/>
            <w:tcBorders>
              <w:top w:val="nil"/>
              <w:left w:val="nil"/>
              <w:bottom w:val="single" w:sz="4" w:space="0" w:color="auto"/>
              <w:right w:val="single" w:sz="4" w:space="0" w:color="auto"/>
            </w:tcBorders>
            <w:shd w:val="clear" w:color="auto" w:fill="auto"/>
            <w:noWrap/>
            <w:vAlign w:val="bottom"/>
            <w:hideMark/>
          </w:tcPr>
          <w:p w14:paraId="655E883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1.03</w:t>
            </w:r>
          </w:p>
        </w:tc>
        <w:tc>
          <w:tcPr>
            <w:tcW w:w="1416" w:type="dxa"/>
            <w:tcBorders>
              <w:top w:val="nil"/>
              <w:left w:val="nil"/>
              <w:bottom w:val="single" w:sz="4" w:space="0" w:color="auto"/>
              <w:right w:val="single" w:sz="4" w:space="0" w:color="auto"/>
            </w:tcBorders>
            <w:shd w:val="clear" w:color="auto" w:fill="auto"/>
            <w:noWrap/>
            <w:vAlign w:val="bottom"/>
            <w:hideMark/>
          </w:tcPr>
          <w:p w14:paraId="769D118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0.68</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7516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0.56</w:t>
            </w:r>
          </w:p>
        </w:tc>
      </w:tr>
      <w:tr w:rsidR="00427756" w:rsidRPr="005A1511" w14:paraId="3099E017" w14:textId="77777777" w:rsidTr="00427756">
        <w:trPr>
          <w:trHeight w:val="96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FE04F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NORTH WEST LONDON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4B10F4BC"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49,213</w:t>
            </w:r>
          </w:p>
        </w:tc>
        <w:tc>
          <w:tcPr>
            <w:tcW w:w="1416" w:type="dxa"/>
            <w:tcBorders>
              <w:top w:val="nil"/>
              <w:left w:val="nil"/>
              <w:bottom w:val="single" w:sz="4" w:space="0" w:color="auto"/>
              <w:right w:val="single" w:sz="4" w:space="0" w:color="auto"/>
            </w:tcBorders>
            <w:shd w:val="clear" w:color="auto" w:fill="auto"/>
            <w:noWrap/>
            <w:vAlign w:val="bottom"/>
            <w:hideMark/>
          </w:tcPr>
          <w:p w14:paraId="64899FF2"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96.81</w:t>
            </w:r>
          </w:p>
        </w:tc>
        <w:tc>
          <w:tcPr>
            <w:tcW w:w="1416" w:type="dxa"/>
            <w:tcBorders>
              <w:top w:val="nil"/>
              <w:left w:val="nil"/>
              <w:bottom w:val="single" w:sz="4" w:space="0" w:color="auto"/>
              <w:right w:val="single" w:sz="4" w:space="0" w:color="auto"/>
            </w:tcBorders>
            <w:shd w:val="clear" w:color="auto" w:fill="auto"/>
            <w:noWrap/>
            <w:vAlign w:val="bottom"/>
            <w:hideMark/>
          </w:tcPr>
          <w:p w14:paraId="0EC9E3F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1.04</w:t>
            </w:r>
          </w:p>
        </w:tc>
        <w:tc>
          <w:tcPr>
            <w:tcW w:w="1416" w:type="dxa"/>
            <w:tcBorders>
              <w:top w:val="nil"/>
              <w:left w:val="nil"/>
              <w:bottom w:val="single" w:sz="4" w:space="0" w:color="auto"/>
              <w:right w:val="single" w:sz="4" w:space="0" w:color="auto"/>
            </w:tcBorders>
            <w:shd w:val="clear" w:color="auto" w:fill="auto"/>
            <w:noWrap/>
            <w:vAlign w:val="bottom"/>
            <w:hideMark/>
          </w:tcPr>
          <w:p w14:paraId="723BB839"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0.97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74AB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1.18</w:t>
            </w:r>
          </w:p>
        </w:tc>
      </w:tr>
      <w:tr w:rsidR="00427756" w:rsidRPr="005A1511" w14:paraId="0814606B" w14:textId="77777777" w:rsidTr="00427756">
        <w:trPr>
          <w:trHeight w:val="120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36A03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NORTHAMPTONSHIRE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3CACE087"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17,565</w:t>
            </w:r>
          </w:p>
        </w:tc>
        <w:tc>
          <w:tcPr>
            <w:tcW w:w="1416" w:type="dxa"/>
            <w:tcBorders>
              <w:top w:val="nil"/>
              <w:left w:val="nil"/>
              <w:bottom w:val="single" w:sz="4" w:space="0" w:color="auto"/>
              <w:right w:val="single" w:sz="4" w:space="0" w:color="auto"/>
            </w:tcBorders>
            <w:shd w:val="clear" w:color="auto" w:fill="auto"/>
            <w:noWrap/>
            <w:vAlign w:val="bottom"/>
            <w:hideMark/>
          </w:tcPr>
          <w:p w14:paraId="4F2E7BA0"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97.51</w:t>
            </w:r>
          </w:p>
        </w:tc>
        <w:tc>
          <w:tcPr>
            <w:tcW w:w="1416" w:type="dxa"/>
            <w:tcBorders>
              <w:top w:val="nil"/>
              <w:left w:val="nil"/>
              <w:bottom w:val="single" w:sz="4" w:space="0" w:color="auto"/>
              <w:right w:val="single" w:sz="4" w:space="0" w:color="auto"/>
            </w:tcBorders>
            <w:shd w:val="clear" w:color="auto" w:fill="auto"/>
            <w:noWrap/>
            <w:vAlign w:val="bottom"/>
            <w:hideMark/>
          </w:tcPr>
          <w:p w14:paraId="45498822"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0.36</w:t>
            </w:r>
          </w:p>
        </w:tc>
        <w:tc>
          <w:tcPr>
            <w:tcW w:w="1416" w:type="dxa"/>
            <w:tcBorders>
              <w:top w:val="nil"/>
              <w:left w:val="nil"/>
              <w:bottom w:val="single" w:sz="4" w:space="0" w:color="auto"/>
              <w:right w:val="single" w:sz="4" w:space="0" w:color="auto"/>
            </w:tcBorders>
            <w:shd w:val="clear" w:color="auto" w:fill="auto"/>
            <w:noWrap/>
            <w:vAlign w:val="bottom"/>
            <w:hideMark/>
          </w:tcPr>
          <w:p w14:paraId="30F8667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2.06</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0464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0.06</w:t>
            </w:r>
          </w:p>
        </w:tc>
      </w:tr>
      <w:tr w:rsidR="00427756" w:rsidRPr="005A1511" w14:paraId="73997491" w14:textId="77777777" w:rsidTr="00427756">
        <w:trPr>
          <w:trHeight w:val="144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3A7D0"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NOTTINGHAM AND NOTTINGHAMSHIRE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3D09A038"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33,611</w:t>
            </w:r>
          </w:p>
        </w:tc>
        <w:tc>
          <w:tcPr>
            <w:tcW w:w="1416" w:type="dxa"/>
            <w:tcBorders>
              <w:top w:val="nil"/>
              <w:left w:val="nil"/>
              <w:bottom w:val="single" w:sz="4" w:space="0" w:color="auto"/>
              <w:right w:val="single" w:sz="4" w:space="0" w:color="auto"/>
            </w:tcBorders>
            <w:shd w:val="clear" w:color="auto" w:fill="auto"/>
            <w:noWrap/>
            <w:vAlign w:val="bottom"/>
            <w:hideMark/>
          </w:tcPr>
          <w:p w14:paraId="35544D06"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98.77</w:t>
            </w:r>
          </w:p>
        </w:tc>
        <w:tc>
          <w:tcPr>
            <w:tcW w:w="1416" w:type="dxa"/>
            <w:tcBorders>
              <w:top w:val="nil"/>
              <w:left w:val="nil"/>
              <w:bottom w:val="single" w:sz="4" w:space="0" w:color="auto"/>
              <w:right w:val="single" w:sz="4" w:space="0" w:color="auto"/>
            </w:tcBorders>
            <w:shd w:val="clear" w:color="auto" w:fill="auto"/>
            <w:noWrap/>
            <w:vAlign w:val="bottom"/>
            <w:hideMark/>
          </w:tcPr>
          <w:p w14:paraId="7E1BC05C"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0.45</w:t>
            </w:r>
          </w:p>
        </w:tc>
        <w:tc>
          <w:tcPr>
            <w:tcW w:w="1416" w:type="dxa"/>
            <w:tcBorders>
              <w:top w:val="nil"/>
              <w:left w:val="nil"/>
              <w:bottom w:val="single" w:sz="4" w:space="0" w:color="auto"/>
              <w:right w:val="single" w:sz="4" w:space="0" w:color="auto"/>
            </w:tcBorders>
            <w:shd w:val="clear" w:color="auto" w:fill="auto"/>
            <w:noWrap/>
            <w:vAlign w:val="bottom"/>
            <w:hideMark/>
          </w:tcPr>
          <w:p w14:paraId="09AF79D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0.63</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10C16"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0.15</w:t>
            </w:r>
          </w:p>
        </w:tc>
      </w:tr>
      <w:tr w:rsidR="00427756" w:rsidRPr="005A1511" w14:paraId="1EA84266" w14:textId="77777777" w:rsidTr="00427756">
        <w:trPr>
          <w:trHeight w:val="144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9D0F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SHROPSHIRE, TELFORD AND WREKIN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3671878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15,726</w:t>
            </w:r>
          </w:p>
        </w:tc>
        <w:tc>
          <w:tcPr>
            <w:tcW w:w="1416" w:type="dxa"/>
            <w:tcBorders>
              <w:top w:val="nil"/>
              <w:left w:val="nil"/>
              <w:bottom w:val="single" w:sz="4" w:space="0" w:color="auto"/>
              <w:right w:val="single" w:sz="4" w:space="0" w:color="auto"/>
            </w:tcBorders>
            <w:shd w:val="clear" w:color="auto" w:fill="auto"/>
            <w:noWrap/>
            <w:vAlign w:val="bottom"/>
            <w:hideMark/>
          </w:tcPr>
          <w:p w14:paraId="3C6998BE"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93.27</w:t>
            </w:r>
          </w:p>
        </w:tc>
        <w:tc>
          <w:tcPr>
            <w:tcW w:w="1416" w:type="dxa"/>
            <w:tcBorders>
              <w:top w:val="nil"/>
              <w:left w:val="nil"/>
              <w:bottom w:val="single" w:sz="4" w:space="0" w:color="auto"/>
              <w:right w:val="single" w:sz="4" w:space="0" w:color="auto"/>
            </w:tcBorders>
            <w:shd w:val="clear" w:color="auto" w:fill="auto"/>
            <w:noWrap/>
            <w:vAlign w:val="bottom"/>
            <w:hideMark/>
          </w:tcPr>
          <w:p w14:paraId="3A15822C"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6.16</w:t>
            </w:r>
          </w:p>
        </w:tc>
        <w:tc>
          <w:tcPr>
            <w:tcW w:w="1416" w:type="dxa"/>
            <w:tcBorders>
              <w:top w:val="nil"/>
              <w:left w:val="nil"/>
              <w:bottom w:val="single" w:sz="4" w:space="0" w:color="auto"/>
              <w:right w:val="single" w:sz="4" w:space="0" w:color="auto"/>
            </w:tcBorders>
            <w:shd w:val="clear" w:color="auto" w:fill="auto"/>
            <w:noWrap/>
            <w:vAlign w:val="bottom"/>
            <w:hideMark/>
          </w:tcPr>
          <w:p w14:paraId="662FA0F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0.48</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EC21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0.09</w:t>
            </w:r>
          </w:p>
        </w:tc>
      </w:tr>
      <w:tr w:rsidR="00427756" w:rsidRPr="005A1511" w14:paraId="4D3CB1C5" w14:textId="77777777" w:rsidTr="00427756">
        <w:trPr>
          <w:trHeight w:val="72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080152"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SOMERSET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26277E7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13,284</w:t>
            </w:r>
          </w:p>
        </w:tc>
        <w:tc>
          <w:tcPr>
            <w:tcW w:w="1416" w:type="dxa"/>
            <w:tcBorders>
              <w:top w:val="nil"/>
              <w:left w:val="nil"/>
              <w:bottom w:val="single" w:sz="4" w:space="0" w:color="auto"/>
              <w:right w:val="single" w:sz="4" w:space="0" w:color="auto"/>
            </w:tcBorders>
            <w:shd w:val="clear" w:color="auto" w:fill="auto"/>
            <w:noWrap/>
            <w:vAlign w:val="bottom"/>
            <w:hideMark/>
          </w:tcPr>
          <w:p w14:paraId="542B15E9"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98.54</w:t>
            </w:r>
          </w:p>
        </w:tc>
        <w:tc>
          <w:tcPr>
            <w:tcW w:w="1416" w:type="dxa"/>
            <w:tcBorders>
              <w:top w:val="nil"/>
              <w:left w:val="nil"/>
              <w:bottom w:val="single" w:sz="4" w:space="0" w:color="auto"/>
              <w:right w:val="single" w:sz="4" w:space="0" w:color="auto"/>
            </w:tcBorders>
            <w:shd w:val="clear" w:color="auto" w:fill="auto"/>
            <w:noWrap/>
            <w:vAlign w:val="bottom"/>
            <w:hideMark/>
          </w:tcPr>
          <w:p w14:paraId="13F4697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0.56</w:t>
            </w:r>
          </w:p>
        </w:tc>
        <w:tc>
          <w:tcPr>
            <w:tcW w:w="1416" w:type="dxa"/>
            <w:tcBorders>
              <w:top w:val="nil"/>
              <w:left w:val="nil"/>
              <w:bottom w:val="single" w:sz="4" w:space="0" w:color="auto"/>
              <w:right w:val="single" w:sz="4" w:space="0" w:color="auto"/>
            </w:tcBorders>
            <w:shd w:val="clear" w:color="auto" w:fill="auto"/>
            <w:noWrap/>
            <w:vAlign w:val="bottom"/>
            <w:hideMark/>
          </w:tcPr>
          <w:p w14:paraId="227E70DE"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0.72</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CB370"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0.18</w:t>
            </w:r>
          </w:p>
        </w:tc>
      </w:tr>
      <w:tr w:rsidR="00427756" w:rsidRPr="005A1511" w14:paraId="0B770C06" w14:textId="77777777" w:rsidTr="00427756">
        <w:trPr>
          <w:trHeight w:val="96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CA37E"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lastRenderedPageBreak/>
              <w:t>NHS SOUTH EAST LONDON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4498D2D8"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37,982</w:t>
            </w:r>
          </w:p>
        </w:tc>
        <w:tc>
          <w:tcPr>
            <w:tcW w:w="1416" w:type="dxa"/>
            <w:tcBorders>
              <w:top w:val="nil"/>
              <w:left w:val="nil"/>
              <w:bottom w:val="single" w:sz="4" w:space="0" w:color="auto"/>
              <w:right w:val="single" w:sz="4" w:space="0" w:color="auto"/>
            </w:tcBorders>
            <w:shd w:val="clear" w:color="auto" w:fill="auto"/>
            <w:noWrap/>
            <w:vAlign w:val="bottom"/>
            <w:hideMark/>
          </w:tcPr>
          <w:p w14:paraId="35DD798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98.14</w:t>
            </w:r>
          </w:p>
        </w:tc>
        <w:tc>
          <w:tcPr>
            <w:tcW w:w="1416" w:type="dxa"/>
            <w:tcBorders>
              <w:top w:val="nil"/>
              <w:left w:val="nil"/>
              <w:bottom w:val="single" w:sz="4" w:space="0" w:color="auto"/>
              <w:right w:val="single" w:sz="4" w:space="0" w:color="auto"/>
            </w:tcBorders>
            <w:shd w:val="clear" w:color="auto" w:fill="auto"/>
            <w:noWrap/>
            <w:vAlign w:val="bottom"/>
            <w:hideMark/>
          </w:tcPr>
          <w:p w14:paraId="0C8C918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0.82</w:t>
            </w:r>
          </w:p>
        </w:tc>
        <w:tc>
          <w:tcPr>
            <w:tcW w:w="1416" w:type="dxa"/>
            <w:tcBorders>
              <w:top w:val="nil"/>
              <w:left w:val="nil"/>
              <w:bottom w:val="single" w:sz="4" w:space="0" w:color="auto"/>
              <w:right w:val="single" w:sz="4" w:space="0" w:color="auto"/>
            </w:tcBorders>
            <w:shd w:val="clear" w:color="auto" w:fill="auto"/>
            <w:noWrap/>
            <w:vAlign w:val="bottom"/>
            <w:hideMark/>
          </w:tcPr>
          <w:p w14:paraId="07B6CAB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0.55</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AD76C"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0.49</w:t>
            </w:r>
          </w:p>
        </w:tc>
      </w:tr>
      <w:tr w:rsidR="00427756" w:rsidRPr="005A1511" w14:paraId="04B30B86" w14:textId="77777777" w:rsidTr="00427756">
        <w:trPr>
          <w:trHeight w:val="96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150816"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SOUTH WEST LONDON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4EE41FE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30,240</w:t>
            </w:r>
          </w:p>
        </w:tc>
        <w:tc>
          <w:tcPr>
            <w:tcW w:w="1416" w:type="dxa"/>
            <w:tcBorders>
              <w:top w:val="nil"/>
              <w:left w:val="nil"/>
              <w:bottom w:val="single" w:sz="4" w:space="0" w:color="auto"/>
              <w:right w:val="single" w:sz="4" w:space="0" w:color="auto"/>
            </w:tcBorders>
            <w:shd w:val="clear" w:color="auto" w:fill="auto"/>
            <w:noWrap/>
            <w:vAlign w:val="bottom"/>
            <w:hideMark/>
          </w:tcPr>
          <w:p w14:paraId="20A836E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98.14</w:t>
            </w:r>
          </w:p>
        </w:tc>
        <w:tc>
          <w:tcPr>
            <w:tcW w:w="1416" w:type="dxa"/>
            <w:tcBorders>
              <w:top w:val="nil"/>
              <w:left w:val="nil"/>
              <w:bottom w:val="single" w:sz="4" w:space="0" w:color="auto"/>
              <w:right w:val="single" w:sz="4" w:space="0" w:color="auto"/>
            </w:tcBorders>
            <w:shd w:val="clear" w:color="auto" w:fill="auto"/>
            <w:noWrap/>
            <w:vAlign w:val="bottom"/>
            <w:hideMark/>
          </w:tcPr>
          <w:p w14:paraId="704E59C2"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0.79</w:t>
            </w:r>
          </w:p>
        </w:tc>
        <w:tc>
          <w:tcPr>
            <w:tcW w:w="1416" w:type="dxa"/>
            <w:tcBorders>
              <w:top w:val="nil"/>
              <w:left w:val="nil"/>
              <w:bottom w:val="single" w:sz="4" w:space="0" w:color="auto"/>
              <w:right w:val="single" w:sz="4" w:space="0" w:color="auto"/>
            </w:tcBorders>
            <w:shd w:val="clear" w:color="auto" w:fill="auto"/>
            <w:noWrap/>
            <w:vAlign w:val="bottom"/>
            <w:hideMark/>
          </w:tcPr>
          <w:p w14:paraId="08D669A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0.70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F0C99"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0.37</w:t>
            </w:r>
          </w:p>
        </w:tc>
      </w:tr>
      <w:tr w:rsidR="00427756" w:rsidRPr="005A1511" w14:paraId="7E07EECB" w14:textId="77777777" w:rsidTr="00427756">
        <w:trPr>
          <w:trHeight w:val="96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CDC129"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SOUTH YORKSHIRE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6778258C"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38,058</w:t>
            </w:r>
          </w:p>
        </w:tc>
        <w:tc>
          <w:tcPr>
            <w:tcW w:w="1416" w:type="dxa"/>
            <w:tcBorders>
              <w:top w:val="nil"/>
              <w:left w:val="nil"/>
              <w:bottom w:val="single" w:sz="4" w:space="0" w:color="auto"/>
              <w:right w:val="single" w:sz="4" w:space="0" w:color="auto"/>
            </w:tcBorders>
            <w:shd w:val="clear" w:color="auto" w:fill="auto"/>
            <w:noWrap/>
            <w:vAlign w:val="bottom"/>
            <w:hideMark/>
          </w:tcPr>
          <w:p w14:paraId="07455C08"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94.71</w:t>
            </w:r>
          </w:p>
        </w:tc>
        <w:tc>
          <w:tcPr>
            <w:tcW w:w="1416" w:type="dxa"/>
            <w:tcBorders>
              <w:top w:val="nil"/>
              <w:left w:val="nil"/>
              <w:bottom w:val="single" w:sz="4" w:space="0" w:color="auto"/>
              <w:right w:val="single" w:sz="4" w:space="0" w:color="auto"/>
            </w:tcBorders>
            <w:shd w:val="clear" w:color="auto" w:fill="auto"/>
            <w:noWrap/>
            <w:vAlign w:val="bottom"/>
            <w:hideMark/>
          </w:tcPr>
          <w:p w14:paraId="0AE84F2A"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0.31</w:t>
            </w:r>
          </w:p>
        </w:tc>
        <w:tc>
          <w:tcPr>
            <w:tcW w:w="1416" w:type="dxa"/>
            <w:tcBorders>
              <w:top w:val="nil"/>
              <w:left w:val="nil"/>
              <w:bottom w:val="single" w:sz="4" w:space="0" w:color="auto"/>
              <w:right w:val="single" w:sz="4" w:space="0" w:color="auto"/>
            </w:tcBorders>
            <w:shd w:val="clear" w:color="auto" w:fill="auto"/>
            <w:noWrap/>
            <w:vAlign w:val="bottom"/>
            <w:hideMark/>
          </w:tcPr>
          <w:p w14:paraId="0D31B0D6"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4.67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9CC8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0.30</w:t>
            </w:r>
          </w:p>
        </w:tc>
      </w:tr>
      <w:tr w:rsidR="00427756" w:rsidRPr="005A1511" w14:paraId="3EB027C5" w14:textId="77777777" w:rsidTr="00427756">
        <w:trPr>
          <w:trHeight w:val="144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60D1D8"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STAFFORDSHIRE AND STOKE-ON-TRENT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4A5EF4C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35,078</w:t>
            </w:r>
          </w:p>
        </w:tc>
        <w:tc>
          <w:tcPr>
            <w:tcW w:w="1416" w:type="dxa"/>
            <w:tcBorders>
              <w:top w:val="nil"/>
              <w:left w:val="nil"/>
              <w:bottom w:val="single" w:sz="4" w:space="0" w:color="auto"/>
              <w:right w:val="single" w:sz="4" w:space="0" w:color="auto"/>
            </w:tcBorders>
            <w:shd w:val="clear" w:color="auto" w:fill="auto"/>
            <w:noWrap/>
            <w:vAlign w:val="bottom"/>
            <w:hideMark/>
          </w:tcPr>
          <w:p w14:paraId="37E06D2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98.53</w:t>
            </w:r>
          </w:p>
        </w:tc>
        <w:tc>
          <w:tcPr>
            <w:tcW w:w="1416" w:type="dxa"/>
            <w:tcBorders>
              <w:top w:val="nil"/>
              <w:left w:val="nil"/>
              <w:bottom w:val="single" w:sz="4" w:space="0" w:color="auto"/>
              <w:right w:val="single" w:sz="4" w:space="0" w:color="auto"/>
            </w:tcBorders>
            <w:shd w:val="clear" w:color="auto" w:fill="auto"/>
            <w:noWrap/>
            <w:vAlign w:val="bottom"/>
            <w:hideMark/>
          </w:tcPr>
          <w:p w14:paraId="37C921C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0.89</w:t>
            </w:r>
          </w:p>
        </w:tc>
        <w:tc>
          <w:tcPr>
            <w:tcW w:w="1416" w:type="dxa"/>
            <w:tcBorders>
              <w:top w:val="nil"/>
              <w:left w:val="nil"/>
              <w:bottom w:val="single" w:sz="4" w:space="0" w:color="auto"/>
              <w:right w:val="single" w:sz="4" w:space="0" w:color="auto"/>
            </w:tcBorders>
            <w:shd w:val="clear" w:color="auto" w:fill="auto"/>
            <w:noWrap/>
            <w:vAlign w:val="bottom"/>
            <w:hideMark/>
          </w:tcPr>
          <w:p w14:paraId="3A20AAC0"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0.50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36616"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0.07</w:t>
            </w:r>
          </w:p>
        </w:tc>
      </w:tr>
      <w:tr w:rsidR="00427756" w:rsidRPr="005A1511" w14:paraId="31076843" w14:textId="77777777" w:rsidTr="00427756">
        <w:trPr>
          <w:trHeight w:val="120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F278E0"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SUFFOLK AND NORTH EAST ESSEX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1F13E7B8"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22,854</w:t>
            </w:r>
          </w:p>
        </w:tc>
        <w:tc>
          <w:tcPr>
            <w:tcW w:w="1416" w:type="dxa"/>
            <w:tcBorders>
              <w:top w:val="nil"/>
              <w:left w:val="nil"/>
              <w:bottom w:val="single" w:sz="4" w:space="0" w:color="auto"/>
              <w:right w:val="single" w:sz="4" w:space="0" w:color="auto"/>
            </w:tcBorders>
            <w:shd w:val="clear" w:color="auto" w:fill="auto"/>
            <w:noWrap/>
            <w:vAlign w:val="bottom"/>
            <w:hideMark/>
          </w:tcPr>
          <w:p w14:paraId="59AD361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98.29</w:t>
            </w:r>
          </w:p>
        </w:tc>
        <w:tc>
          <w:tcPr>
            <w:tcW w:w="1416" w:type="dxa"/>
            <w:tcBorders>
              <w:top w:val="nil"/>
              <w:left w:val="nil"/>
              <w:bottom w:val="single" w:sz="4" w:space="0" w:color="auto"/>
              <w:right w:val="single" w:sz="4" w:space="0" w:color="auto"/>
            </w:tcBorders>
            <w:shd w:val="clear" w:color="auto" w:fill="auto"/>
            <w:noWrap/>
            <w:vAlign w:val="bottom"/>
            <w:hideMark/>
          </w:tcPr>
          <w:p w14:paraId="6501E02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1.16</w:t>
            </w:r>
          </w:p>
        </w:tc>
        <w:tc>
          <w:tcPr>
            <w:tcW w:w="1416" w:type="dxa"/>
            <w:tcBorders>
              <w:top w:val="nil"/>
              <w:left w:val="nil"/>
              <w:bottom w:val="single" w:sz="4" w:space="0" w:color="auto"/>
              <w:right w:val="single" w:sz="4" w:space="0" w:color="auto"/>
            </w:tcBorders>
            <w:shd w:val="clear" w:color="auto" w:fill="auto"/>
            <w:noWrap/>
            <w:vAlign w:val="bottom"/>
            <w:hideMark/>
          </w:tcPr>
          <w:p w14:paraId="1402494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0.50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14F2E"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0.05</w:t>
            </w:r>
          </w:p>
        </w:tc>
      </w:tr>
      <w:tr w:rsidR="00427756" w:rsidRPr="005A1511" w14:paraId="2B7F3E82" w14:textId="77777777" w:rsidTr="00427756">
        <w:trPr>
          <w:trHeight w:val="96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78FE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SURREY HEARTLANDS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6299832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20,715</w:t>
            </w:r>
          </w:p>
        </w:tc>
        <w:tc>
          <w:tcPr>
            <w:tcW w:w="1416" w:type="dxa"/>
            <w:tcBorders>
              <w:top w:val="nil"/>
              <w:left w:val="nil"/>
              <w:bottom w:val="single" w:sz="4" w:space="0" w:color="auto"/>
              <w:right w:val="single" w:sz="4" w:space="0" w:color="auto"/>
            </w:tcBorders>
            <w:shd w:val="clear" w:color="auto" w:fill="auto"/>
            <w:noWrap/>
            <w:vAlign w:val="bottom"/>
            <w:hideMark/>
          </w:tcPr>
          <w:p w14:paraId="3648C236"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98.89</w:t>
            </w:r>
          </w:p>
        </w:tc>
        <w:tc>
          <w:tcPr>
            <w:tcW w:w="1416" w:type="dxa"/>
            <w:tcBorders>
              <w:top w:val="nil"/>
              <w:left w:val="nil"/>
              <w:bottom w:val="single" w:sz="4" w:space="0" w:color="auto"/>
              <w:right w:val="single" w:sz="4" w:space="0" w:color="auto"/>
            </w:tcBorders>
            <w:shd w:val="clear" w:color="auto" w:fill="auto"/>
            <w:noWrap/>
            <w:vAlign w:val="bottom"/>
            <w:hideMark/>
          </w:tcPr>
          <w:p w14:paraId="204F6C0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0.48</w:t>
            </w:r>
          </w:p>
        </w:tc>
        <w:tc>
          <w:tcPr>
            <w:tcW w:w="1416" w:type="dxa"/>
            <w:tcBorders>
              <w:top w:val="nil"/>
              <w:left w:val="nil"/>
              <w:bottom w:val="single" w:sz="4" w:space="0" w:color="auto"/>
              <w:right w:val="single" w:sz="4" w:space="0" w:color="auto"/>
            </w:tcBorders>
            <w:shd w:val="clear" w:color="auto" w:fill="auto"/>
            <w:noWrap/>
            <w:vAlign w:val="bottom"/>
            <w:hideMark/>
          </w:tcPr>
          <w:p w14:paraId="21F1382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0.57</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39BDD"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0.05</w:t>
            </w:r>
          </w:p>
        </w:tc>
      </w:tr>
      <w:tr w:rsidR="00427756" w:rsidRPr="005A1511" w14:paraId="2A4934E0" w14:textId="77777777" w:rsidTr="00427756">
        <w:trPr>
          <w:trHeight w:val="72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DD72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SUSSEX INTEGRATED CARE BOARD</w:t>
            </w:r>
          </w:p>
        </w:tc>
        <w:tc>
          <w:tcPr>
            <w:tcW w:w="1387" w:type="dxa"/>
            <w:tcBorders>
              <w:top w:val="nil"/>
              <w:left w:val="nil"/>
              <w:bottom w:val="single" w:sz="4" w:space="0" w:color="auto"/>
              <w:right w:val="single" w:sz="4" w:space="0" w:color="auto"/>
            </w:tcBorders>
            <w:shd w:val="clear" w:color="auto" w:fill="auto"/>
            <w:noWrap/>
            <w:vAlign w:val="bottom"/>
            <w:hideMark/>
          </w:tcPr>
          <w:p w14:paraId="1B84739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38,181</w:t>
            </w:r>
          </w:p>
        </w:tc>
        <w:tc>
          <w:tcPr>
            <w:tcW w:w="1416" w:type="dxa"/>
            <w:tcBorders>
              <w:top w:val="nil"/>
              <w:left w:val="nil"/>
              <w:bottom w:val="single" w:sz="4" w:space="0" w:color="auto"/>
              <w:right w:val="single" w:sz="4" w:space="0" w:color="auto"/>
            </w:tcBorders>
            <w:shd w:val="clear" w:color="auto" w:fill="auto"/>
            <w:noWrap/>
            <w:vAlign w:val="bottom"/>
            <w:hideMark/>
          </w:tcPr>
          <w:p w14:paraId="435297E8"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98.27</w:t>
            </w:r>
          </w:p>
        </w:tc>
        <w:tc>
          <w:tcPr>
            <w:tcW w:w="1416" w:type="dxa"/>
            <w:tcBorders>
              <w:top w:val="nil"/>
              <w:left w:val="nil"/>
              <w:bottom w:val="single" w:sz="4" w:space="0" w:color="auto"/>
              <w:right w:val="single" w:sz="4" w:space="0" w:color="auto"/>
            </w:tcBorders>
            <w:shd w:val="clear" w:color="auto" w:fill="auto"/>
            <w:noWrap/>
            <w:vAlign w:val="bottom"/>
            <w:hideMark/>
          </w:tcPr>
          <w:p w14:paraId="529A8063"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0.36</w:t>
            </w:r>
          </w:p>
        </w:tc>
        <w:tc>
          <w:tcPr>
            <w:tcW w:w="1416" w:type="dxa"/>
            <w:tcBorders>
              <w:top w:val="nil"/>
              <w:left w:val="nil"/>
              <w:bottom w:val="single" w:sz="4" w:space="0" w:color="auto"/>
              <w:right w:val="single" w:sz="4" w:space="0" w:color="auto"/>
            </w:tcBorders>
            <w:shd w:val="clear" w:color="auto" w:fill="auto"/>
            <w:noWrap/>
            <w:vAlign w:val="bottom"/>
            <w:hideMark/>
          </w:tcPr>
          <w:p w14:paraId="0C3C3F6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1.19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8A89B"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0.18</w:t>
            </w:r>
          </w:p>
        </w:tc>
      </w:tr>
      <w:tr w:rsidR="00427756" w:rsidRPr="005A1511" w14:paraId="2475B316" w14:textId="77777777" w:rsidTr="00427756">
        <w:trPr>
          <w:trHeight w:val="960"/>
        </w:trPr>
        <w:tc>
          <w:tcPr>
            <w:tcW w:w="21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E44D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5A1511">
              <w:rPr>
                <w:rFonts w:ascii="Arial" w:eastAsia="Times New Roman" w:hAnsi="Arial" w:cs="Arial"/>
                <w:sz w:val="18"/>
                <w:szCs w:val="18"/>
              </w:rPr>
              <w:t>NHS WEST YORKSHIRE INTEGRATED CARE BOARD</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5147F"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78,234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04525"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94.82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983B1"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0.85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E02D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4.23</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F5D94" w14:textId="77777777" w:rsidR="00427756" w:rsidRPr="005A1511" w:rsidRDefault="00427756" w:rsidP="00427756">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18"/>
                <w:szCs w:val="18"/>
              </w:rPr>
            </w:pPr>
            <w:r w:rsidRPr="005A1511">
              <w:rPr>
                <w:rFonts w:ascii="Arial" w:eastAsia="Times New Roman" w:hAnsi="Arial" w:cs="Arial"/>
                <w:sz w:val="18"/>
                <w:szCs w:val="18"/>
              </w:rPr>
              <w:t>0.10</w:t>
            </w:r>
          </w:p>
        </w:tc>
      </w:tr>
    </w:tbl>
    <w:p w14:paraId="3242B10F" w14:textId="77777777" w:rsidR="00CB7AB1" w:rsidRPr="005A1511" w:rsidRDefault="00CB7AB1" w:rsidP="0084044E">
      <w:pPr>
        <w:rPr>
          <w:rFonts w:ascii="Arial" w:hAnsi="Arial" w:cs="Arial"/>
        </w:rPr>
      </w:pPr>
    </w:p>
    <w:p w14:paraId="6C1ED38D" w14:textId="19EE364E" w:rsidR="00CF6ADB" w:rsidRPr="005A1511" w:rsidRDefault="00CF6ADB" w:rsidP="00CF6ADB">
      <w:pPr>
        <w:ind w:left="360"/>
        <w:rPr>
          <w:rFonts w:ascii="Arial" w:hAnsi="Arial" w:cs="Arial"/>
        </w:rPr>
      </w:pPr>
    </w:p>
    <w:p w14:paraId="03D84A55" w14:textId="61CD4FA2" w:rsidR="00044616" w:rsidRPr="005A1511" w:rsidRDefault="00044616" w:rsidP="000E38CE">
      <w:pPr>
        <w:rPr>
          <w:rFonts w:ascii="Arial" w:hAnsi="Arial" w:cs="Arial"/>
          <w:sz w:val="20"/>
          <w:szCs w:val="20"/>
          <w:u w:val="single"/>
        </w:rPr>
      </w:pPr>
      <w:r w:rsidRPr="005A1511">
        <w:rPr>
          <w:rFonts w:ascii="Arial" w:hAnsi="Arial" w:cs="Arial"/>
          <w:sz w:val="20"/>
          <w:szCs w:val="20"/>
          <w:u w:val="single"/>
        </w:rPr>
        <w:t>Notes</w:t>
      </w:r>
    </w:p>
    <w:p w14:paraId="4BF21C0E" w14:textId="19E549A5" w:rsidR="00044616" w:rsidRPr="005A1511" w:rsidRDefault="00044616" w:rsidP="00044616">
      <w:pPr>
        <w:pStyle w:val="ListParagraph"/>
        <w:numPr>
          <w:ilvl w:val="0"/>
          <w:numId w:val="30"/>
        </w:numPr>
        <w:rPr>
          <w:rFonts w:ascii="Arial" w:hAnsi="Arial" w:cs="Arial"/>
          <w:sz w:val="20"/>
          <w:szCs w:val="20"/>
        </w:rPr>
      </w:pPr>
      <w:r w:rsidRPr="005A1511">
        <w:rPr>
          <w:rFonts w:ascii="Arial" w:hAnsi="Arial" w:cs="Arial"/>
          <w:sz w:val="20"/>
          <w:szCs w:val="20"/>
        </w:rPr>
        <w:t xml:space="preserve">When no NHS number can be captured, one of </w:t>
      </w:r>
      <w:r w:rsidR="00582C2A" w:rsidRPr="005A1511">
        <w:rPr>
          <w:rFonts w:ascii="Arial" w:hAnsi="Arial" w:cs="Arial"/>
          <w:sz w:val="20"/>
          <w:szCs w:val="20"/>
        </w:rPr>
        <w:t>up to five</w:t>
      </w:r>
      <w:r w:rsidRPr="005A1511">
        <w:rPr>
          <w:rFonts w:ascii="Arial" w:hAnsi="Arial" w:cs="Arial"/>
          <w:sz w:val="20"/>
          <w:szCs w:val="20"/>
        </w:rPr>
        <w:t xml:space="preserve"> possible dummy NHS numbers are used</w:t>
      </w:r>
      <w:r w:rsidR="00582C2A" w:rsidRPr="005A1511">
        <w:rPr>
          <w:rFonts w:ascii="Arial" w:hAnsi="Arial" w:cs="Arial"/>
          <w:sz w:val="20"/>
          <w:szCs w:val="20"/>
        </w:rPr>
        <w:t xml:space="preserve">.  This means that multiple consultation records can reuse the same dummy number, leading to potential undercounts when </w:t>
      </w:r>
      <w:r w:rsidR="002A67C1" w:rsidRPr="005A1511">
        <w:rPr>
          <w:rFonts w:ascii="Arial" w:hAnsi="Arial" w:cs="Arial"/>
          <w:sz w:val="20"/>
          <w:szCs w:val="20"/>
        </w:rPr>
        <w:t xml:space="preserve">calculating the total number of patients for any given comparator – for example, </w:t>
      </w:r>
      <w:r w:rsidR="00EB5D15" w:rsidRPr="005A1511">
        <w:rPr>
          <w:rFonts w:ascii="Arial" w:hAnsi="Arial" w:cs="Arial"/>
          <w:sz w:val="20"/>
          <w:szCs w:val="20"/>
        </w:rPr>
        <w:t xml:space="preserve">dummy NHS number 00000000 may be associated with </w:t>
      </w:r>
      <w:r w:rsidR="00437174" w:rsidRPr="005A1511">
        <w:rPr>
          <w:rFonts w:ascii="Arial" w:hAnsi="Arial" w:cs="Arial"/>
          <w:sz w:val="20"/>
          <w:szCs w:val="20"/>
        </w:rPr>
        <w:t xml:space="preserve">100 consultations for a given set of criteria, and will be only counted as a single patient </w:t>
      </w:r>
      <w:r w:rsidR="00970B69" w:rsidRPr="005A1511">
        <w:rPr>
          <w:rFonts w:ascii="Arial" w:hAnsi="Arial" w:cs="Arial"/>
          <w:sz w:val="20"/>
          <w:szCs w:val="20"/>
        </w:rPr>
        <w:t xml:space="preserve">while </w:t>
      </w:r>
      <w:r w:rsidR="00437174" w:rsidRPr="005A1511">
        <w:rPr>
          <w:rFonts w:ascii="Arial" w:hAnsi="Arial" w:cs="Arial"/>
          <w:sz w:val="20"/>
          <w:szCs w:val="20"/>
        </w:rPr>
        <w:t xml:space="preserve">in reality, </w:t>
      </w:r>
      <w:r w:rsidR="00970B69" w:rsidRPr="005A1511">
        <w:rPr>
          <w:rFonts w:ascii="Arial" w:hAnsi="Arial" w:cs="Arial"/>
          <w:sz w:val="20"/>
          <w:szCs w:val="20"/>
        </w:rPr>
        <w:t>those consultations could represent up to 100 patients.</w:t>
      </w:r>
    </w:p>
    <w:p w14:paraId="186D08F1" w14:textId="2F2A6B51" w:rsidR="00970B69" w:rsidRPr="005A1511" w:rsidRDefault="005671F0" w:rsidP="00044616">
      <w:pPr>
        <w:pStyle w:val="ListParagraph"/>
        <w:numPr>
          <w:ilvl w:val="0"/>
          <w:numId w:val="30"/>
        </w:numPr>
        <w:rPr>
          <w:rFonts w:ascii="Arial" w:hAnsi="Arial" w:cs="Arial"/>
          <w:sz w:val="20"/>
          <w:szCs w:val="20"/>
        </w:rPr>
      </w:pPr>
      <w:r w:rsidRPr="005A1511">
        <w:rPr>
          <w:rFonts w:ascii="Arial" w:hAnsi="Arial" w:cs="Arial"/>
          <w:sz w:val="20"/>
          <w:szCs w:val="20"/>
        </w:rPr>
        <w:t xml:space="preserve">As </w:t>
      </w:r>
      <w:r w:rsidR="009400C5" w:rsidRPr="005A1511">
        <w:rPr>
          <w:rFonts w:ascii="Arial" w:hAnsi="Arial" w:cs="Arial"/>
          <w:sz w:val="20"/>
          <w:szCs w:val="20"/>
        </w:rPr>
        <w:t xml:space="preserve">outlined in the earlier </w:t>
      </w:r>
      <w:hyperlink w:anchor="_Consultations_with_missing" w:history="1">
        <w:r w:rsidR="009400C5" w:rsidRPr="005A1511">
          <w:rPr>
            <w:rStyle w:val="Hyperlink"/>
            <w:rFonts w:ascii="Arial" w:hAnsi="Arial" w:cs="Arial"/>
            <w:sz w:val="20"/>
            <w:szCs w:val="20"/>
          </w:rPr>
          <w:t>section</w:t>
        </w:r>
      </w:hyperlink>
      <w:r w:rsidR="009400C5" w:rsidRPr="005A1511">
        <w:rPr>
          <w:rFonts w:ascii="Arial" w:hAnsi="Arial" w:cs="Arial"/>
          <w:sz w:val="20"/>
          <w:szCs w:val="20"/>
        </w:rPr>
        <w:t xml:space="preserve"> in Appendix 2, </w:t>
      </w:r>
      <w:r w:rsidR="00A31C64" w:rsidRPr="005A1511">
        <w:rPr>
          <w:rFonts w:ascii="Arial" w:hAnsi="Arial" w:cs="Arial"/>
          <w:sz w:val="20"/>
          <w:szCs w:val="20"/>
        </w:rPr>
        <w:t xml:space="preserve">GP practice ODS codes are </w:t>
      </w:r>
      <w:r w:rsidR="00752956" w:rsidRPr="005A1511">
        <w:rPr>
          <w:rFonts w:ascii="Arial" w:hAnsi="Arial" w:cs="Arial"/>
          <w:sz w:val="20"/>
          <w:szCs w:val="20"/>
        </w:rPr>
        <w:t>held</w:t>
      </w:r>
      <w:r w:rsidR="00A31C64" w:rsidRPr="005A1511">
        <w:rPr>
          <w:rFonts w:ascii="Arial" w:hAnsi="Arial" w:cs="Arial"/>
          <w:sz w:val="20"/>
          <w:szCs w:val="20"/>
        </w:rPr>
        <w:t xml:space="preserve"> as captured</w:t>
      </w:r>
      <w:r w:rsidR="00752956" w:rsidRPr="005A1511">
        <w:rPr>
          <w:rFonts w:ascii="Arial" w:hAnsi="Arial" w:cs="Arial"/>
          <w:sz w:val="20"/>
          <w:szCs w:val="20"/>
        </w:rPr>
        <w:t xml:space="preserve"> during the consultation activity.  NHSBSA report these data items </w:t>
      </w:r>
      <w:r w:rsidR="00A85B2C" w:rsidRPr="005A1511">
        <w:rPr>
          <w:rFonts w:ascii="Arial" w:hAnsi="Arial" w:cs="Arial"/>
          <w:sz w:val="20"/>
          <w:szCs w:val="20"/>
        </w:rPr>
        <w:t xml:space="preserve">without any further validation, </w:t>
      </w:r>
      <w:r w:rsidR="00F056BD" w:rsidRPr="005A1511">
        <w:rPr>
          <w:rFonts w:ascii="Arial" w:hAnsi="Arial" w:cs="Arial"/>
          <w:sz w:val="20"/>
          <w:szCs w:val="20"/>
        </w:rPr>
        <w:t>and in some cases the data may be missing, or may not match the ODS data held in the NHSBSA data warehouse.</w:t>
      </w:r>
    </w:p>
    <w:p w14:paraId="32600037" w14:textId="77777777" w:rsidR="0078004D" w:rsidRPr="005A1511" w:rsidRDefault="0078004D" w:rsidP="0078004D">
      <w:pPr>
        <w:pStyle w:val="ListParagraph"/>
        <w:rPr>
          <w:rFonts w:ascii="Arial" w:hAnsi="Arial" w:cs="Arial"/>
          <w:sz w:val="20"/>
          <w:szCs w:val="20"/>
        </w:rPr>
      </w:pPr>
    </w:p>
    <w:p w14:paraId="038AF738" w14:textId="4253F626" w:rsidR="003D2978" w:rsidRPr="005A1511" w:rsidRDefault="003D2978" w:rsidP="003D2978">
      <w:pPr>
        <w:pStyle w:val="ListParagraph"/>
        <w:rPr>
          <w:rFonts w:ascii="Arial" w:hAnsi="Arial" w:cs="Arial"/>
          <w:sz w:val="20"/>
          <w:szCs w:val="20"/>
        </w:rPr>
      </w:pPr>
      <w:r w:rsidRPr="005A1511">
        <w:rPr>
          <w:rFonts w:ascii="Arial" w:hAnsi="Arial" w:cs="Arial"/>
          <w:sz w:val="20"/>
          <w:szCs w:val="20"/>
        </w:rPr>
        <w:t xml:space="preserve">For the </w:t>
      </w:r>
      <w:r w:rsidR="002362D3" w:rsidRPr="005A1511">
        <w:rPr>
          <w:rFonts w:ascii="Arial" w:hAnsi="Arial" w:cs="Arial"/>
          <w:sz w:val="20"/>
          <w:szCs w:val="20"/>
        </w:rPr>
        <w:t xml:space="preserve">1,497,084 consultations </w:t>
      </w:r>
      <w:r w:rsidR="009C3CB6" w:rsidRPr="005A1511">
        <w:rPr>
          <w:rFonts w:ascii="Arial" w:hAnsi="Arial" w:cs="Arial"/>
          <w:sz w:val="20"/>
          <w:szCs w:val="20"/>
        </w:rPr>
        <w:t>conducted</w:t>
      </w:r>
      <w:r w:rsidR="002362D3" w:rsidRPr="005A1511">
        <w:rPr>
          <w:rFonts w:ascii="Arial" w:hAnsi="Arial" w:cs="Arial"/>
          <w:sz w:val="20"/>
          <w:szCs w:val="20"/>
        </w:rPr>
        <w:t xml:space="preserve"> in the </w:t>
      </w:r>
      <w:r w:rsidRPr="005A1511">
        <w:rPr>
          <w:rFonts w:ascii="Arial" w:hAnsi="Arial" w:cs="Arial"/>
          <w:sz w:val="20"/>
          <w:szCs w:val="20"/>
        </w:rPr>
        <w:t>period February to October 2024</w:t>
      </w:r>
      <w:r w:rsidR="002362D3" w:rsidRPr="005A1511">
        <w:rPr>
          <w:rFonts w:ascii="Arial" w:hAnsi="Arial" w:cs="Arial"/>
          <w:sz w:val="20"/>
          <w:szCs w:val="20"/>
        </w:rPr>
        <w:t xml:space="preserve">, 150 (0.01%) have no GP ODS code recorded, </w:t>
      </w:r>
      <w:r w:rsidR="0078004D" w:rsidRPr="005A1511">
        <w:rPr>
          <w:rFonts w:ascii="Arial" w:hAnsi="Arial" w:cs="Arial"/>
          <w:sz w:val="20"/>
          <w:szCs w:val="20"/>
        </w:rPr>
        <w:t>688 (0.05%) have a dummy ODS code recorded, and 22,159 (1.48%) have an ODS code recorded which does not match the NHSBSA ODS data.</w:t>
      </w:r>
    </w:p>
    <w:p w14:paraId="61CC83D3" w14:textId="27F4FBCC" w:rsidR="00007DC1" w:rsidRPr="005A1511" w:rsidRDefault="00007DC1">
      <w:pPr>
        <w:rPr>
          <w:rFonts w:ascii="Arial" w:eastAsia="Arial" w:hAnsi="Arial" w:cs="Arial"/>
          <w:b/>
          <w:sz w:val="24"/>
          <w:szCs w:val="24"/>
        </w:rPr>
      </w:pPr>
    </w:p>
    <w:p w14:paraId="6EC50502" w14:textId="2631DBDD" w:rsidR="006E026A" w:rsidRPr="005A1511" w:rsidRDefault="006E026A" w:rsidP="006E026A">
      <w:pPr>
        <w:pStyle w:val="Heading1"/>
      </w:pPr>
      <w:bookmarkStart w:id="63" w:name="_Toc189144454"/>
      <w:r w:rsidRPr="005A1511">
        <w:lastRenderedPageBreak/>
        <w:t xml:space="preserve">Appendix </w:t>
      </w:r>
      <w:r w:rsidR="004827C4" w:rsidRPr="005A1511">
        <w:t>4</w:t>
      </w:r>
      <w:r w:rsidRPr="005A1511">
        <w:t>: Working Group</w:t>
      </w:r>
      <w:bookmarkEnd w:id="63"/>
    </w:p>
    <w:p w14:paraId="175DFFCF" w14:textId="77777777" w:rsidR="006E026A" w:rsidRPr="005A1511" w:rsidRDefault="006E026A" w:rsidP="006E026A">
      <w:pPr>
        <w:rPr>
          <w:rFonts w:ascii="Arial" w:hAnsi="Arial" w:cs="Arial"/>
        </w:rPr>
      </w:pPr>
      <w:r w:rsidRPr="005A1511">
        <w:rPr>
          <w:rFonts w:ascii="Arial" w:hAnsi="Arial" w:cs="Arial"/>
        </w:rPr>
        <w:t>The following people have been involved in the development of this dashboard:</w:t>
      </w:r>
    </w:p>
    <w:p w14:paraId="0C2B7933" w14:textId="77777777" w:rsidR="006E026A" w:rsidRPr="005A1511" w:rsidRDefault="006E026A" w:rsidP="006E026A">
      <w:pPr>
        <w:spacing w:after="0"/>
        <w:rPr>
          <w:rFonts w:ascii="Arial" w:hAnsi="Arial" w:cs="Arial"/>
          <w:color w:val="auto"/>
        </w:rPr>
      </w:pPr>
      <w:r w:rsidRPr="005A1511">
        <w:rPr>
          <w:rFonts w:ascii="Arial" w:hAnsi="Arial" w:cs="Arial"/>
          <w:color w:val="auto"/>
        </w:rPr>
        <w:t>Elizabeth Beech MBE - Regional Antimicrobial Stewardship Lead South-West Region, NHS England</w:t>
      </w:r>
    </w:p>
    <w:p w14:paraId="7AD55A90" w14:textId="00A8E355" w:rsidR="006E026A" w:rsidRPr="005A1511" w:rsidRDefault="00CF4984" w:rsidP="006E026A">
      <w:pPr>
        <w:spacing w:after="0"/>
        <w:rPr>
          <w:rFonts w:ascii="Arial" w:hAnsi="Arial" w:cs="Arial"/>
          <w:color w:val="auto"/>
        </w:rPr>
      </w:pPr>
      <w:r w:rsidRPr="005A1511">
        <w:rPr>
          <w:rFonts w:ascii="Arial" w:hAnsi="Arial" w:cs="Arial"/>
          <w:color w:val="auto"/>
        </w:rPr>
        <w:t>Amanda Ridgway</w:t>
      </w:r>
      <w:r w:rsidR="006E026A" w:rsidRPr="005A1511">
        <w:rPr>
          <w:rFonts w:ascii="Arial" w:hAnsi="Arial" w:cs="Arial"/>
          <w:color w:val="auto"/>
        </w:rPr>
        <w:t xml:space="preserve"> – </w:t>
      </w:r>
      <w:r w:rsidR="002538EB" w:rsidRPr="005A1511">
        <w:rPr>
          <w:rFonts w:ascii="Arial" w:hAnsi="Arial" w:cs="Arial"/>
          <w:color w:val="auto"/>
        </w:rPr>
        <w:t>Project Manager AMR &amp; Pharmacy Integration</w:t>
      </w:r>
      <w:r w:rsidR="006E026A" w:rsidRPr="005A1511">
        <w:rPr>
          <w:rFonts w:ascii="Arial" w:hAnsi="Arial" w:cs="Arial"/>
          <w:color w:val="auto"/>
        </w:rPr>
        <w:t>, NHS England</w:t>
      </w:r>
    </w:p>
    <w:p w14:paraId="660039A0" w14:textId="75B8EA16" w:rsidR="006E026A" w:rsidRPr="005A1511" w:rsidRDefault="006E026A" w:rsidP="006E026A">
      <w:pPr>
        <w:spacing w:after="0"/>
        <w:rPr>
          <w:rFonts w:ascii="Arial" w:hAnsi="Arial" w:cs="Arial"/>
          <w:color w:val="auto"/>
        </w:rPr>
      </w:pPr>
      <w:r w:rsidRPr="005A1511">
        <w:rPr>
          <w:rFonts w:ascii="Arial" w:hAnsi="Arial" w:cs="Arial"/>
          <w:color w:val="auto"/>
        </w:rPr>
        <w:t>Mark Gordon – Senior Information Analyst, NHS</w:t>
      </w:r>
      <w:r w:rsidR="00733D13" w:rsidRPr="005A1511">
        <w:rPr>
          <w:rFonts w:ascii="Arial" w:hAnsi="Arial" w:cs="Arial"/>
          <w:color w:val="auto"/>
        </w:rPr>
        <w:t xml:space="preserve"> Business Services Authority</w:t>
      </w:r>
    </w:p>
    <w:p w14:paraId="31AF9DF2" w14:textId="3A1524FC" w:rsidR="006E026A" w:rsidRPr="005A1511" w:rsidRDefault="006E026A" w:rsidP="006E026A">
      <w:pPr>
        <w:spacing w:after="0"/>
        <w:rPr>
          <w:rFonts w:ascii="Arial" w:hAnsi="Arial" w:cs="Arial"/>
          <w:color w:val="auto"/>
        </w:rPr>
      </w:pPr>
      <w:r w:rsidRPr="005A1511">
        <w:rPr>
          <w:rFonts w:ascii="Arial" w:hAnsi="Arial" w:cs="Arial"/>
          <w:color w:val="auto"/>
        </w:rPr>
        <w:t>Nick O’Mahoney – BI Developer, NHS</w:t>
      </w:r>
      <w:r w:rsidR="00733D13" w:rsidRPr="005A1511">
        <w:rPr>
          <w:rFonts w:ascii="Arial" w:hAnsi="Arial" w:cs="Arial"/>
          <w:color w:val="auto"/>
        </w:rPr>
        <w:t xml:space="preserve"> Business Services Authority</w:t>
      </w:r>
    </w:p>
    <w:p w14:paraId="70079AA8" w14:textId="77777777" w:rsidR="006E026A" w:rsidRPr="005A1511" w:rsidRDefault="006E026A" w:rsidP="002F7E95">
      <w:pPr>
        <w:rPr>
          <w:rFonts w:ascii="Arial" w:hAnsi="Arial" w:cs="Arial"/>
        </w:rPr>
      </w:pPr>
    </w:p>
    <w:sectPr w:rsidR="006E026A" w:rsidRPr="005A1511" w:rsidSect="00CA299C">
      <w:footerReference w:type="default" r:id="rId27"/>
      <w:headerReference w:type="first" r:id="rId28"/>
      <w:footerReference w:type="first" r:id="rId29"/>
      <w:pgSz w:w="11906" w:h="16838"/>
      <w:pgMar w:top="1077" w:right="1134" w:bottom="1134" w:left="1134"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DA073" w14:textId="77777777" w:rsidR="006E354B" w:rsidRDefault="006E354B">
      <w:pPr>
        <w:spacing w:after="0" w:line="240" w:lineRule="auto"/>
      </w:pPr>
      <w:r>
        <w:separator/>
      </w:r>
    </w:p>
  </w:endnote>
  <w:endnote w:type="continuationSeparator" w:id="0">
    <w:p w14:paraId="21E2E582" w14:textId="77777777" w:rsidR="006E354B" w:rsidRDefault="006E354B">
      <w:pPr>
        <w:spacing w:after="0" w:line="240" w:lineRule="auto"/>
      </w:pPr>
      <w:r>
        <w:continuationSeparator/>
      </w:r>
    </w:p>
  </w:endnote>
  <w:endnote w:type="continuationNotice" w:id="1">
    <w:p w14:paraId="361FAB59" w14:textId="77777777" w:rsidR="006E354B" w:rsidRDefault="006E3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310206"/>
      <w:docPartObj>
        <w:docPartGallery w:val="Page Numbers (Bottom of Page)"/>
        <w:docPartUnique/>
      </w:docPartObj>
    </w:sdtPr>
    <w:sdtEndPr>
      <w:rPr>
        <w:noProof/>
      </w:rPr>
    </w:sdtEndPr>
    <w:sdtContent>
      <w:p w14:paraId="259152C0" w14:textId="1C630455" w:rsidR="00A07A73" w:rsidRDefault="00A07A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4084DF" w14:textId="1C954553" w:rsidR="004023EF" w:rsidRDefault="004023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7CFA" w14:textId="7AD5B0C9" w:rsidR="004023EF" w:rsidRDefault="009A7E12" w:rsidP="009A3881">
    <w:r w:rsidRPr="008C1E3A">
      <w:rPr>
        <w:rFonts w:ascii="Arial" w:hAnsi="Arial" w:cs="Arial"/>
        <w:b/>
        <w:sz w:val="18"/>
        <w:szCs w:val="18"/>
      </w:rPr>
      <w:t>Version No. 1.0</w:t>
    </w:r>
    <w:r w:rsidR="005F05EB" w:rsidRPr="008C1E3A">
      <w:rPr>
        <w:rFonts w:ascii="Arial" w:hAnsi="Arial" w:cs="Arial"/>
        <w:b/>
        <w:sz w:val="18"/>
        <w:szCs w:val="18"/>
      </w:rPr>
      <w:t>, January 2025</w:t>
    </w:r>
    <w:r w:rsidR="004023EF" w:rsidRPr="008C1E3A">
      <w:rPr>
        <w:rFonts w:ascii="Arial" w:hAnsi="Arial" w:cs="Arial"/>
        <w:b/>
        <w:sz w:val="18"/>
        <w:szCs w:val="18"/>
      </w:rPr>
      <w:tab/>
    </w:r>
    <w:r w:rsidR="004023EF">
      <w:rPr>
        <w:b/>
        <w:sz w:val="24"/>
        <w:szCs w:val="24"/>
      </w:rPr>
      <w:tab/>
      <w:t xml:space="preserve">  </w:t>
    </w:r>
    <w:r w:rsidR="004023EF">
      <w:rPr>
        <w:b/>
        <w:sz w:val="24"/>
        <w:szCs w:val="24"/>
      </w:rPr>
      <w:tab/>
    </w:r>
    <w:r w:rsidR="009A3881">
      <w:rPr>
        <w:b/>
        <w:sz w:val="24"/>
        <w:szCs w:val="24"/>
      </w:rPr>
      <w:t xml:space="preserve">      </w:t>
    </w:r>
    <w:r w:rsidR="004023EF">
      <w:rPr>
        <w:b/>
        <w:sz w:val="24"/>
        <w:szCs w:val="24"/>
      </w:rPr>
      <w:tab/>
    </w:r>
    <w:r w:rsidR="00971788">
      <w:rPr>
        <w:b/>
        <w:sz w:val="24"/>
        <w:szCs w:val="24"/>
      </w:rPr>
      <w:tab/>
    </w:r>
    <w:r w:rsidR="00971788">
      <w:rPr>
        <w:rFonts w:ascii="Arial" w:eastAsia="Arial" w:hAnsi="Arial" w:cs="Arial"/>
        <w:sz w:val="20"/>
        <w:szCs w:val="20"/>
      </w:rPr>
      <w:t>Copyright</w:t>
    </w:r>
    <w:r w:rsidR="004023EF">
      <w:rPr>
        <w:rFonts w:ascii="Arial" w:eastAsia="Arial" w:hAnsi="Arial" w:cs="Arial"/>
        <w:sz w:val="20"/>
        <w:szCs w:val="20"/>
      </w:rPr>
      <w:t xml:space="preserve"> </w:t>
    </w:r>
    <w:r w:rsidR="00971788">
      <w:rPr>
        <w:rFonts w:ascii="Arial" w:eastAsia="Arial" w:hAnsi="Arial" w:cs="Arial"/>
        <w:sz w:val="20"/>
        <w:szCs w:val="20"/>
      </w:rPr>
      <w:t xml:space="preserve">© </w:t>
    </w:r>
    <w:r w:rsidR="004023EF">
      <w:rPr>
        <w:rFonts w:ascii="Arial" w:eastAsia="Arial" w:hAnsi="Arial" w:cs="Arial"/>
        <w:sz w:val="20"/>
        <w:szCs w:val="20"/>
      </w:rPr>
      <w:t>202</w:t>
    </w:r>
    <w:r w:rsidR="005F05EB">
      <w:rPr>
        <w:rFonts w:ascii="Arial" w:eastAsia="Arial" w:hAnsi="Arial" w:cs="Arial"/>
        <w:sz w:val="20"/>
        <w:szCs w:val="20"/>
      </w:rPr>
      <w:t>5</w:t>
    </w:r>
    <w:r w:rsidR="00971788">
      <w:rPr>
        <w:rFonts w:ascii="Arial" w:eastAsia="Arial" w:hAnsi="Arial" w:cs="Arial"/>
        <w:sz w:val="20"/>
        <w:szCs w:val="20"/>
      </w:rPr>
      <w:t xml:space="preserve"> NHS</w:t>
    </w:r>
    <w:r w:rsidR="009A3881">
      <w:rPr>
        <w:rFonts w:ascii="Arial" w:eastAsia="Arial" w:hAnsi="Arial" w:cs="Arial"/>
        <w:sz w:val="20"/>
        <w:szCs w:val="20"/>
      </w:rPr>
      <w:t>BSA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EB751" w14:textId="77777777" w:rsidR="006E354B" w:rsidRDefault="006E354B">
      <w:pPr>
        <w:spacing w:after="0" w:line="240" w:lineRule="auto"/>
      </w:pPr>
      <w:r>
        <w:separator/>
      </w:r>
    </w:p>
  </w:footnote>
  <w:footnote w:type="continuationSeparator" w:id="0">
    <w:p w14:paraId="03263C01" w14:textId="77777777" w:rsidR="006E354B" w:rsidRDefault="006E354B">
      <w:pPr>
        <w:spacing w:after="0" w:line="240" w:lineRule="auto"/>
      </w:pPr>
      <w:r>
        <w:continuationSeparator/>
      </w:r>
    </w:p>
  </w:footnote>
  <w:footnote w:type="continuationNotice" w:id="1">
    <w:p w14:paraId="4DE64036" w14:textId="77777777" w:rsidR="006E354B" w:rsidRDefault="006E354B">
      <w:pPr>
        <w:spacing w:after="0" w:line="240" w:lineRule="auto"/>
      </w:pPr>
    </w:p>
  </w:footnote>
  <w:footnote w:id="2">
    <w:p w14:paraId="5D980F01" w14:textId="553C174B" w:rsidR="00635E07" w:rsidRDefault="00635E07">
      <w:pPr>
        <w:pStyle w:val="FootnoteText"/>
      </w:pPr>
      <w:r>
        <w:rPr>
          <w:rStyle w:val="FootnoteReference"/>
        </w:rPr>
        <w:footnoteRef/>
      </w:r>
      <w:r>
        <w:t xml:space="preserve"> </w:t>
      </w:r>
      <w:r w:rsidRPr="00635E07">
        <w:t>https://digital.nhs.uk/services/organisation-data-service</w:t>
      </w:r>
    </w:p>
  </w:footnote>
  <w:footnote w:id="3">
    <w:p w14:paraId="205A2D81" w14:textId="5BA0B7F3" w:rsidR="004F12BA" w:rsidRDefault="004F12BA">
      <w:pPr>
        <w:pStyle w:val="FootnoteText"/>
      </w:pPr>
      <w:r>
        <w:rPr>
          <w:rStyle w:val="FootnoteReference"/>
        </w:rPr>
        <w:footnoteRef/>
      </w:r>
      <w:r>
        <w:t xml:space="preserve"> </w:t>
      </w:r>
      <w:r w:rsidR="00301449" w:rsidRPr="00301449">
        <w:t>https://www.nhsbsa.nhs.uk/pharmacies-gp-practices-and-appliance-contractors/payments-and-pricing/how-we-process-prescriptions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B7BA" w14:textId="77777777" w:rsidR="004023EF" w:rsidRDefault="004023EF">
    <w:pPr>
      <w:tabs>
        <w:tab w:val="center" w:pos="4513"/>
        <w:tab w:val="right" w:pos="9026"/>
      </w:tabs>
      <w:spacing w:after="0" w:line="240" w:lineRule="auto"/>
    </w:pPr>
    <w:r>
      <w:rPr>
        <w:noProof/>
      </w:rPr>
      <w:drawing>
        <wp:anchor distT="0" distB="0" distL="114300" distR="114300" simplePos="0" relativeHeight="251658240" behindDoc="0" locked="0" layoutInCell="1" hidden="0" allowOverlap="1" wp14:anchorId="16923440" wp14:editId="01EB376C">
          <wp:simplePos x="0" y="0"/>
          <wp:positionH relativeFrom="margin">
            <wp:posOffset>-720089</wp:posOffset>
          </wp:positionH>
          <wp:positionV relativeFrom="paragraph">
            <wp:posOffset>0</wp:posOffset>
          </wp:positionV>
          <wp:extent cx="7559675" cy="1543050"/>
          <wp:effectExtent l="0" t="0" r="0" b="0"/>
          <wp:wrapSquare wrapText="bothSides" distT="0" distB="0" distL="114300" distR="114300"/>
          <wp:docPr id="2081794651" name="Picture 208179465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1543050"/>
                  </a:xfrm>
                  <a:prstGeom prst="rect">
                    <a:avLst/>
                  </a:prstGeom>
                  <a:ln/>
                </pic:spPr>
              </pic:pic>
            </a:graphicData>
          </a:graphic>
        </wp:anchor>
      </w:drawing>
    </w:r>
  </w:p>
  <w:p w14:paraId="7DD24890" w14:textId="77777777" w:rsidR="004023EF" w:rsidRDefault="004023EF">
    <w:pPr>
      <w:tabs>
        <w:tab w:val="center" w:pos="4513"/>
        <w:tab w:val="right" w:pos="9026"/>
      </w:tabs>
      <w:spacing w:after="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6EA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32F3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861C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D1C17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13A92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0867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602F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030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3AA3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0A2C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6207B"/>
    <w:multiLevelType w:val="hybridMultilevel"/>
    <w:tmpl w:val="86DC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E9731B"/>
    <w:multiLevelType w:val="hybridMultilevel"/>
    <w:tmpl w:val="5A5A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6C45B5"/>
    <w:multiLevelType w:val="hybridMultilevel"/>
    <w:tmpl w:val="99502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A142D8"/>
    <w:multiLevelType w:val="hybridMultilevel"/>
    <w:tmpl w:val="4C34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F91F55"/>
    <w:multiLevelType w:val="hybridMultilevel"/>
    <w:tmpl w:val="8CCC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8829B2"/>
    <w:multiLevelType w:val="hybridMultilevel"/>
    <w:tmpl w:val="8536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21F90"/>
    <w:multiLevelType w:val="hybridMultilevel"/>
    <w:tmpl w:val="A664BF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C6302B0"/>
    <w:multiLevelType w:val="hybridMultilevel"/>
    <w:tmpl w:val="A07E8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3655DA"/>
    <w:multiLevelType w:val="hybridMultilevel"/>
    <w:tmpl w:val="9508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800989"/>
    <w:multiLevelType w:val="hybridMultilevel"/>
    <w:tmpl w:val="DA0EC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053718"/>
    <w:multiLevelType w:val="hybridMultilevel"/>
    <w:tmpl w:val="8892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705497"/>
    <w:multiLevelType w:val="hybridMultilevel"/>
    <w:tmpl w:val="79BC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A791F"/>
    <w:multiLevelType w:val="hybridMultilevel"/>
    <w:tmpl w:val="EACE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A5060F9"/>
    <w:multiLevelType w:val="hybridMultilevel"/>
    <w:tmpl w:val="E44A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BB1953"/>
    <w:multiLevelType w:val="hybridMultilevel"/>
    <w:tmpl w:val="6B82C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94383A"/>
    <w:multiLevelType w:val="hybridMultilevel"/>
    <w:tmpl w:val="8C26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CB5199"/>
    <w:multiLevelType w:val="hybridMultilevel"/>
    <w:tmpl w:val="E5D4A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A0171D"/>
    <w:multiLevelType w:val="hybridMultilevel"/>
    <w:tmpl w:val="C626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F2A51"/>
    <w:multiLevelType w:val="hybridMultilevel"/>
    <w:tmpl w:val="25E4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2B36AA"/>
    <w:multiLevelType w:val="hybridMultilevel"/>
    <w:tmpl w:val="988A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0C0537"/>
    <w:multiLevelType w:val="hybridMultilevel"/>
    <w:tmpl w:val="6B2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17731F"/>
    <w:multiLevelType w:val="hybridMultilevel"/>
    <w:tmpl w:val="7E80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680C4C"/>
    <w:multiLevelType w:val="hybridMultilevel"/>
    <w:tmpl w:val="E5D4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227EE"/>
    <w:multiLevelType w:val="hybridMultilevel"/>
    <w:tmpl w:val="4094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5530AA"/>
    <w:multiLevelType w:val="multilevel"/>
    <w:tmpl w:val="31969B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6C6D6D9F"/>
    <w:multiLevelType w:val="hybridMultilevel"/>
    <w:tmpl w:val="8946D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3C653C"/>
    <w:multiLevelType w:val="hybridMultilevel"/>
    <w:tmpl w:val="0750F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9080623"/>
    <w:multiLevelType w:val="hybridMultilevel"/>
    <w:tmpl w:val="4E2E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0360DB"/>
    <w:multiLevelType w:val="hybridMultilevel"/>
    <w:tmpl w:val="A664BF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FEE2389"/>
    <w:multiLevelType w:val="hybridMultilevel"/>
    <w:tmpl w:val="E38A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741551">
    <w:abstractNumId w:val="34"/>
  </w:num>
  <w:num w:numId="2" w16cid:durableId="1609046016">
    <w:abstractNumId w:val="18"/>
  </w:num>
  <w:num w:numId="3" w16cid:durableId="92937838">
    <w:abstractNumId w:val="9"/>
  </w:num>
  <w:num w:numId="4" w16cid:durableId="975722072">
    <w:abstractNumId w:val="7"/>
  </w:num>
  <w:num w:numId="5" w16cid:durableId="294649909">
    <w:abstractNumId w:val="6"/>
  </w:num>
  <w:num w:numId="6" w16cid:durableId="1547646199">
    <w:abstractNumId w:val="5"/>
  </w:num>
  <w:num w:numId="7" w16cid:durableId="525826841">
    <w:abstractNumId w:val="4"/>
  </w:num>
  <w:num w:numId="8" w16cid:durableId="338317981">
    <w:abstractNumId w:val="8"/>
  </w:num>
  <w:num w:numId="9" w16cid:durableId="369650799">
    <w:abstractNumId w:val="3"/>
  </w:num>
  <w:num w:numId="10" w16cid:durableId="243419203">
    <w:abstractNumId w:val="2"/>
  </w:num>
  <w:num w:numId="11" w16cid:durableId="1861359005">
    <w:abstractNumId w:val="1"/>
  </w:num>
  <w:num w:numId="12" w16cid:durableId="244153547">
    <w:abstractNumId w:val="0"/>
  </w:num>
  <w:num w:numId="13" w16cid:durableId="1878590529">
    <w:abstractNumId w:val="31"/>
  </w:num>
  <w:num w:numId="14" w16cid:durableId="512957342">
    <w:abstractNumId w:val="19"/>
  </w:num>
  <w:num w:numId="15" w16cid:durableId="660617205">
    <w:abstractNumId w:val="10"/>
  </w:num>
  <w:num w:numId="16" w16cid:durableId="2097360485">
    <w:abstractNumId w:val="13"/>
  </w:num>
  <w:num w:numId="17" w16cid:durableId="698048953">
    <w:abstractNumId w:val="29"/>
  </w:num>
  <w:num w:numId="18" w16cid:durableId="445581692">
    <w:abstractNumId w:val="11"/>
  </w:num>
  <w:num w:numId="19" w16cid:durableId="744231009">
    <w:abstractNumId w:val="14"/>
  </w:num>
  <w:num w:numId="20" w16cid:durableId="311983659">
    <w:abstractNumId w:val="37"/>
  </w:num>
  <w:num w:numId="21" w16cid:durableId="910164686">
    <w:abstractNumId w:val="23"/>
  </w:num>
  <w:num w:numId="22" w16cid:durableId="2075930182">
    <w:abstractNumId w:val="33"/>
  </w:num>
  <w:num w:numId="23" w16cid:durableId="1914928281">
    <w:abstractNumId w:val="28"/>
  </w:num>
  <w:num w:numId="24" w16cid:durableId="1012683121">
    <w:abstractNumId w:val="17"/>
  </w:num>
  <w:num w:numId="25" w16cid:durableId="497037379">
    <w:abstractNumId w:val="21"/>
  </w:num>
  <w:num w:numId="26" w16cid:durableId="1756632326">
    <w:abstractNumId w:val="35"/>
  </w:num>
  <w:num w:numId="27" w16cid:durableId="1795564921">
    <w:abstractNumId w:val="27"/>
  </w:num>
  <w:num w:numId="28" w16cid:durableId="104231994">
    <w:abstractNumId w:val="24"/>
  </w:num>
  <w:num w:numId="29" w16cid:durableId="426655860">
    <w:abstractNumId w:val="26"/>
  </w:num>
  <w:num w:numId="30" w16cid:durableId="405109543">
    <w:abstractNumId w:val="12"/>
  </w:num>
  <w:num w:numId="31" w16cid:durableId="1507788520">
    <w:abstractNumId w:val="15"/>
  </w:num>
  <w:num w:numId="32" w16cid:durableId="209657566">
    <w:abstractNumId w:val="32"/>
  </w:num>
  <w:num w:numId="33" w16cid:durableId="2104521757">
    <w:abstractNumId w:val="25"/>
  </w:num>
  <w:num w:numId="34" w16cid:durableId="490751999">
    <w:abstractNumId w:val="30"/>
  </w:num>
  <w:num w:numId="35" w16cid:durableId="833684683">
    <w:abstractNumId w:val="39"/>
  </w:num>
  <w:num w:numId="36" w16cid:durableId="1968731431">
    <w:abstractNumId w:val="20"/>
  </w:num>
  <w:num w:numId="37" w16cid:durableId="2009365164">
    <w:abstractNumId w:val="36"/>
  </w:num>
  <w:num w:numId="38" w16cid:durableId="705064949">
    <w:abstractNumId w:val="22"/>
  </w:num>
  <w:num w:numId="39" w16cid:durableId="1203907522">
    <w:abstractNumId w:val="25"/>
  </w:num>
  <w:num w:numId="40" w16cid:durableId="4248096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2790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77"/>
    <w:rsid w:val="000009B1"/>
    <w:rsid w:val="00001FD4"/>
    <w:rsid w:val="000029A0"/>
    <w:rsid w:val="00003428"/>
    <w:rsid w:val="000054E8"/>
    <w:rsid w:val="00007DC1"/>
    <w:rsid w:val="00014008"/>
    <w:rsid w:val="00014570"/>
    <w:rsid w:val="000153BE"/>
    <w:rsid w:val="00021069"/>
    <w:rsid w:val="0002163A"/>
    <w:rsid w:val="00021ADC"/>
    <w:rsid w:val="00022F1B"/>
    <w:rsid w:val="00023592"/>
    <w:rsid w:val="00023BE4"/>
    <w:rsid w:val="00023DCB"/>
    <w:rsid w:val="00024000"/>
    <w:rsid w:val="00024BEC"/>
    <w:rsid w:val="0002597B"/>
    <w:rsid w:val="00027392"/>
    <w:rsid w:val="000316C4"/>
    <w:rsid w:val="0003346B"/>
    <w:rsid w:val="00035CFA"/>
    <w:rsid w:val="0003648B"/>
    <w:rsid w:val="000371C7"/>
    <w:rsid w:val="000419D0"/>
    <w:rsid w:val="00041D7A"/>
    <w:rsid w:val="0004252A"/>
    <w:rsid w:val="000428E7"/>
    <w:rsid w:val="000430CE"/>
    <w:rsid w:val="00044616"/>
    <w:rsid w:val="00045500"/>
    <w:rsid w:val="000472AB"/>
    <w:rsid w:val="00050224"/>
    <w:rsid w:val="000510D8"/>
    <w:rsid w:val="00056BE9"/>
    <w:rsid w:val="00056D69"/>
    <w:rsid w:val="0006366E"/>
    <w:rsid w:val="000650C9"/>
    <w:rsid w:val="00065843"/>
    <w:rsid w:val="000718AD"/>
    <w:rsid w:val="0007666B"/>
    <w:rsid w:val="0007737C"/>
    <w:rsid w:val="0008087F"/>
    <w:rsid w:val="0008094B"/>
    <w:rsid w:val="000818C3"/>
    <w:rsid w:val="00082FF4"/>
    <w:rsid w:val="00084544"/>
    <w:rsid w:val="000859E2"/>
    <w:rsid w:val="00086194"/>
    <w:rsid w:val="00087EBF"/>
    <w:rsid w:val="0009037C"/>
    <w:rsid w:val="000917B7"/>
    <w:rsid w:val="000917EB"/>
    <w:rsid w:val="00092BD4"/>
    <w:rsid w:val="00093242"/>
    <w:rsid w:val="0009373C"/>
    <w:rsid w:val="00094F86"/>
    <w:rsid w:val="00095169"/>
    <w:rsid w:val="000955AB"/>
    <w:rsid w:val="000A1179"/>
    <w:rsid w:val="000A3626"/>
    <w:rsid w:val="000A6934"/>
    <w:rsid w:val="000B3012"/>
    <w:rsid w:val="000B31F9"/>
    <w:rsid w:val="000B455B"/>
    <w:rsid w:val="000B72C0"/>
    <w:rsid w:val="000C0C81"/>
    <w:rsid w:val="000C38D1"/>
    <w:rsid w:val="000C40C8"/>
    <w:rsid w:val="000C6968"/>
    <w:rsid w:val="000C72D8"/>
    <w:rsid w:val="000D0627"/>
    <w:rsid w:val="000D66AE"/>
    <w:rsid w:val="000E1BE4"/>
    <w:rsid w:val="000E1C6F"/>
    <w:rsid w:val="000E1F77"/>
    <w:rsid w:val="000E2C12"/>
    <w:rsid w:val="000E38CE"/>
    <w:rsid w:val="000E3AC4"/>
    <w:rsid w:val="000E4B72"/>
    <w:rsid w:val="000E65F1"/>
    <w:rsid w:val="000F2284"/>
    <w:rsid w:val="000F2C2D"/>
    <w:rsid w:val="000F2CC2"/>
    <w:rsid w:val="000F3B8B"/>
    <w:rsid w:val="000F4988"/>
    <w:rsid w:val="00103EE6"/>
    <w:rsid w:val="0010479D"/>
    <w:rsid w:val="001103B0"/>
    <w:rsid w:val="00111C50"/>
    <w:rsid w:val="00112262"/>
    <w:rsid w:val="00113781"/>
    <w:rsid w:val="0011384E"/>
    <w:rsid w:val="00114397"/>
    <w:rsid w:val="001167BE"/>
    <w:rsid w:val="00122089"/>
    <w:rsid w:val="0012329C"/>
    <w:rsid w:val="00123ABB"/>
    <w:rsid w:val="00124CAE"/>
    <w:rsid w:val="001350BF"/>
    <w:rsid w:val="00135A53"/>
    <w:rsid w:val="001405A5"/>
    <w:rsid w:val="00140F92"/>
    <w:rsid w:val="001429FC"/>
    <w:rsid w:val="001456FC"/>
    <w:rsid w:val="00147A2C"/>
    <w:rsid w:val="00147CDA"/>
    <w:rsid w:val="001514EA"/>
    <w:rsid w:val="00151D93"/>
    <w:rsid w:val="001538C0"/>
    <w:rsid w:val="001541B7"/>
    <w:rsid w:val="00154ABE"/>
    <w:rsid w:val="0015596A"/>
    <w:rsid w:val="001620B8"/>
    <w:rsid w:val="00163862"/>
    <w:rsid w:val="00164C4D"/>
    <w:rsid w:val="0016508B"/>
    <w:rsid w:val="001662E3"/>
    <w:rsid w:val="00166AF2"/>
    <w:rsid w:val="00171625"/>
    <w:rsid w:val="00172342"/>
    <w:rsid w:val="001726CC"/>
    <w:rsid w:val="001729CD"/>
    <w:rsid w:val="00172A60"/>
    <w:rsid w:val="00172F57"/>
    <w:rsid w:val="00174ED2"/>
    <w:rsid w:val="001752BB"/>
    <w:rsid w:val="00175482"/>
    <w:rsid w:val="0018021F"/>
    <w:rsid w:val="00180580"/>
    <w:rsid w:val="00184E16"/>
    <w:rsid w:val="00185E84"/>
    <w:rsid w:val="0018673E"/>
    <w:rsid w:val="00190109"/>
    <w:rsid w:val="001A0889"/>
    <w:rsid w:val="001A14A8"/>
    <w:rsid w:val="001A1D47"/>
    <w:rsid w:val="001A30E3"/>
    <w:rsid w:val="001A5748"/>
    <w:rsid w:val="001A6746"/>
    <w:rsid w:val="001A6935"/>
    <w:rsid w:val="001A77A3"/>
    <w:rsid w:val="001A7DBC"/>
    <w:rsid w:val="001B166E"/>
    <w:rsid w:val="001B5CF2"/>
    <w:rsid w:val="001C5087"/>
    <w:rsid w:val="001C7208"/>
    <w:rsid w:val="001D151C"/>
    <w:rsid w:val="001D5D13"/>
    <w:rsid w:val="001E2F84"/>
    <w:rsid w:val="001F29C2"/>
    <w:rsid w:val="001F31C3"/>
    <w:rsid w:val="001F47F4"/>
    <w:rsid w:val="001F60F2"/>
    <w:rsid w:val="00203879"/>
    <w:rsid w:val="002056A3"/>
    <w:rsid w:val="00205B95"/>
    <w:rsid w:val="00206373"/>
    <w:rsid w:val="00212E84"/>
    <w:rsid w:val="002141F9"/>
    <w:rsid w:val="00221E82"/>
    <w:rsid w:val="0022689A"/>
    <w:rsid w:val="0023140D"/>
    <w:rsid w:val="002321C1"/>
    <w:rsid w:val="002335CB"/>
    <w:rsid w:val="00233D86"/>
    <w:rsid w:val="00234CD1"/>
    <w:rsid w:val="002362D3"/>
    <w:rsid w:val="00242F79"/>
    <w:rsid w:val="002460C5"/>
    <w:rsid w:val="00250F2F"/>
    <w:rsid w:val="002538EB"/>
    <w:rsid w:val="00253966"/>
    <w:rsid w:val="00255850"/>
    <w:rsid w:val="00255DD4"/>
    <w:rsid w:val="00263288"/>
    <w:rsid w:val="002636F3"/>
    <w:rsid w:val="00263D27"/>
    <w:rsid w:val="0026763C"/>
    <w:rsid w:val="00270CE1"/>
    <w:rsid w:val="00271A02"/>
    <w:rsid w:val="00271EC7"/>
    <w:rsid w:val="0027421E"/>
    <w:rsid w:val="002748D6"/>
    <w:rsid w:val="00275188"/>
    <w:rsid w:val="00277E3B"/>
    <w:rsid w:val="00280BAA"/>
    <w:rsid w:val="00284179"/>
    <w:rsid w:val="00285EA7"/>
    <w:rsid w:val="00286414"/>
    <w:rsid w:val="002868A6"/>
    <w:rsid w:val="002879BE"/>
    <w:rsid w:val="00287DF6"/>
    <w:rsid w:val="0029121A"/>
    <w:rsid w:val="00293AC9"/>
    <w:rsid w:val="00293E82"/>
    <w:rsid w:val="00295581"/>
    <w:rsid w:val="002957C5"/>
    <w:rsid w:val="002A0CB3"/>
    <w:rsid w:val="002A0E3D"/>
    <w:rsid w:val="002A1BE4"/>
    <w:rsid w:val="002A2597"/>
    <w:rsid w:val="002A355F"/>
    <w:rsid w:val="002A5046"/>
    <w:rsid w:val="002A67C1"/>
    <w:rsid w:val="002A79E5"/>
    <w:rsid w:val="002B2DFB"/>
    <w:rsid w:val="002C11B4"/>
    <w:rsid w:val="002D577B"/>
    <w:rsid w:val="002D61F3"/>
    <w:rsid w:val="002D7817"/>
    <w:rsid w:val="002D7C51"/>
    <w:rsid w:val="002E3C83"/>
    <w:rsid w:val="002F278B"/>
    <w:rsid w:val="002F7E95"/>
    <w:rsid w:val="00301449"/>
    <w:rsid w:val="0030335F"/>
    <w:rsid w:val="0031099C"/>
    <w:rsid w:val="0031151C"/>
    <w:rsid w:val="00312E87"/>
    <w:rsid w:val="0031416E"/>
    <w:rsid w:val="00315589"/>
    <w:rsid w:val="00320581"/>
    <w:rsid w:val="00320F60"/>
    <w:rsid w:val="0032176B"/>
    <w:rsid w:val="003271BC"/>
    <w:rsid w:val="00327234"/>
    <w:rsid w:val="00331215"/>
    <w:rsid w:val="003328A2"/>
    <w:rsid w:val="00334D70"/>
    <w:rsid w:val="0033537A"/>
    <w:rsid w:val="00335E81"/>
    <w:rsid w:val="00337B85"/>
    <w:rsid w:val="003408EC"/>
    <w:rsid w:val="00345F75"/>
    <w:rsid w:val="003463A6"/>
    <w:rsid w:val="0035031A"/>
    <w:rsid w:val="00354FB4"/>
    <w:rsid w:val="003573B2"/>
    <w:rsid w:val="00361AD8"/>
    <w:rsid w:val="00362221"/>
    <w:rsid w:val="003628D6"/>
    <w:rsid w:val="0036324F"/>
    <w:rsid w:val="0036454A"/>
    <w:rsid w:val="0036546F"/>
    <w:rsid w:val="00365DAD"/>
    <w:rsid w:val="00366A50"/>
    <w:rsid w:val="0037147C"/>
    <w:rsid w:val="00377851"/>
    <w:rsid w:val="00380092"/>
    <w:rsid w:val="00380304"/>
    <w:rsid w:val="00382AA4"/>
    <w:rsid w:val="00385A8C"/>
    <w:rsid w:val="00385CC3"/>
    <w:rsid w:val="00386429"/>
    <w:rsid w:val="00396B36"/>
    <w:rsid w:val="00397454"/>
    <w:rsid w:val="003A5896"/>
    <w:rsid w:val="003B1002"/>
    <w:rsid w:val="003B239A"/>
    <w:rsid w:val="003B3369"/>
    <w:rsid w:val="003B60B5"/>
    <w:rsid w:val="003B7E7F"/>
    <w:rsid w:val="003C251E"/>
    <w:rsid w:val="003C2D8D"/>
    <w:rsid w:val="003C38B2"/>
    <w:rsid w:val="003C3CBD"/>
    <w:rsid w:val="003C4002"/>
    <w:rsid w:val="003C5564"/>
    <w:rsid w:val="003C60BA"/>
    <w:rsid w:val="003D2978"/>
    <w:rsid w:val="003D67EA"/>
    <w:rsid w:val="003E30AB"/>
    <w:rsid w:val="003E3DAA"/>
    <w:rsid w:val="003E4FBA"/>
    <w:rsid w:val="003E5609"/>
    <w:rsid w:val="003F1520"/>
    <w:rsid w:val="003F6830"/>
    <w:rsid w:val="00401ADB"/>
    <w:rsid w:val="004023EF"/>
    <w:rsid w:val="00403ACF"/>
    <w:rsid w:val="0040431B"/>
    <w:rsid w:val="00404E99"/>
    <w:rsid w:val="00405709"/>
    <w:rsid w:val="00407064"/>
    <w:rsid w:val="004155E4"/>
    <w:rsid w:val="00415ACF"/>
    <w:rsid w:val="004177B1"/>
    <w:rsid w:val="004220E6"/>
    <w:rsid w:val="004239A2"/>
    <w:rsid w:val="00424DDA"/>
    <w:rsid w:val="00425055"/>
    <w:rsid w:val="00427756"/>
    <w:rsid w:val="0043158F"/>
    <w:rsid w:val="00431764"/>
    <w:rsid w:val="004318D3"/>
    <w:rsid w:val="004350AA"/>
    <w:rsid w:val="00435A72"/>
    <w:rsid w:val="00437174"/>
    <w:rsid w:val="00440851"/>
    <w:rsid w:val="004416F7"/>
    <w:rsid w:val="0044692C"/>
    <w:rsid w:val="004474D9"/>
    <w:rsid w:val="00450D0C"/>
    <w:rsid w:val="004522F0"/>
    <w:rsid w:val="00457A27"/>
    <w:rsid w:val="0047099A"/>
    <w:rsid w:val="00476048"/>
    <w:rsid w:val="004827C4"/>
    <w:rsid w:val="0048455E"/>
    <w:rsid w:val="00485969"/>
    <w:rsid w:val="00486B7B"/>
    <w:rsid w:val="00487B06"/>
    <w:rsid w:val="00487B1E"/>
    <w:rsid w:val="004A00AC"/>
    <w:rsid w:val="004A2297"/>
    <w:rsid w:val="004A263A"/>
    <w:rsid w:val="004A5F5E"/>
    <w:rsid w:val="004A7E0E"/>
    <w:rsid w:val="004B0981"/>
    <w:rsid w:val="004B3500"/>
    <w:rsid w:val="004B3F6A"/>
    <w:rsid w:val="004B6997"/>
    <w:rsid w:val="004C0C2C"/>
    <w:rsid w:val="004C11F8"/>
    <w:rsid w:val="004C2B84"/>
    <w:rsid w:val="004C2F3C"/>
    <w:rsid w:val="004C3E0D"/>
    <w:rsid w:val="004D23DD"/>
    <w:rsid w:val="004D2C71"/>
    <w:rsid w:val="004D44EC"/>
    <w:rsid w:val="004D6863"/>
    <w:rsid w:val="004D6D55"/>
    <w:rsid w:val="004E0C04"/>
    <w:rsid w:val="004E2B3E"/>
    <w:rsid w:val="004E779E"/>
    <w:rsid w:val="004F12BA"/>
    <w:rsid w:val="004F19AC"/>
    <w:rsid w:val="004F2219"/>
    <w:rsid w:val="004F2B42"/>
    <w:rsid w:val="004F356C"/>
    <w:rsid w:val="004F4EA7"/>
    <w:rsid w:val="004F53F9"/>
    <w:rsid w:val="004F58B3"/>
    <w:rsid w:val="00500042"/>
    <w:rsid w:val="005003D9"/>
    <w:rsid w:val="00500CCB"/>
    <w:rsid w:val="0050157C"/>
    <w:rsid w:val="00501F78"/>
    <w:rsid w:val="005035A9"/>
    <w:rsid w:val="00505641"/>
    <w:rsid w:val="00506C8D"/>
    <w:rsid w:val="0051424A"/>
    <w:rsid w:val="00514A88"/>
    <w:rsid w:val="005159F3"/>
    <w:rsid w:val="00516FA2"/>
    <w:rsid w:val="0052289B"/>
    <w:rsid w:val="00523746"/>
    <w:rsid w:val="00524FF8"/>
    <w:rsid w:val="005305E4"/>
    <w:rsid w:val="00533151"/>
    <w:rsid w:val="005333E0"/>
    <w:rsid w:val="0053396D"/>
    <w:rsid w:val="0053674D"/>
    <w:rsid w:val="00541B5F"/>
    <w:rsid w:val="005430C4"/>
    <w:rsid w:val="00543374"/>
    <w:rsid w:val="00545C0A"/>
    <w:rsid w:val="00545D39"/>
    <w:rsid w:val="005513E8"/>
    <w:rsid w:val="00551E5F"/>
    <w:rsid w:val="005608B9"/>
    <w:rsid w:val="005618B8"/>
    <w:rsid w:val="005671F0"/>
    <w:rsid w:val="00567E33"/>
    <w:rsid w:val="00573253"/>
    <w:rsid w:val="00575267"/>
    <w:rsid w:val="0057533E"/>
    <w:rsid w:val="00576C09"/>
    <w:rsid w:val="00580A93"/>
    <w:rsid w:val="00582C2A"/>
    <w:rsid w:val="0058687D"/>
    <w:rsid w:val="00593CBC"/>
    <w:rsid w:val="005A115B"/>
    <w:rsid w:val="005A1511"/>
    <w:rsid w:val="005A2C28"/>
    <w:rsid w:val="005A6719"/>
    <w:rsid w:val="005A6A52"/>
    <w:rsid w:val="005B2630"/>
    <w:rsid w:val="005B4BFD"/>
    <w:rsid w:val="005B737D"/>
    <w:rsid w:val="005C0F7F"/>
    <w:rsid w:val="005C273F"/>
    <w:rsid w:val="005C3A0B"/>
    <w:rsid w:val="005C440E"/>
    <w:rsid w:val="005C4CE9"/>
    <w:rsid w:val="005C536F"/>
    <w:rsid w:val="005C5A79"/>
    <w:rsid w:val="005C70D2"/>
    <w:rsid w:val="005D48F2"/>
    <w:rsid w:val="005D53EC"/>
    <w:rsid w:val="005D6012"/>
    <w:rsid w:val="005D6222"/>
    <w:rsid w:val="005E3A7D"/>
    <w:rsid w:val="005F05EB"/>
    <w:rsid w:val="005F0CFF"/>
    <w:rsid w:val="005F1471"/>
    <w:rsid w:val="005F1632"/>
    <w:rsid w:val="005F1C4A"/>
    <w:rsid w:val="005F2A72"/>
    <w:rsid w:val="005F4DCD"/>
    <w:rsid w:val="005F753E"/>
    <w:rsid w:val="005F7CC9"/>
    <w:rsid w:val="00600419"/>
    <w:rsid w:val="00600ACD"/>
    <w:rsid w:val="00601532"/>
    <w:rsid w:val="006022EF"/>
    <w:rsid w:val="006029F8"/>
    <w:rsid w:val="0060437F"/>
    <w:rsid w:val="0060486D"/>
    <w:rsid w:val="0060681D"/>
    <w:rsid w:val="00607484"/>
    <w:rsid w:val="00607A5B"/>
    <w:rsid w:val="00614D52"/>
    <w:rsid w:val="00617E5F"/>
    <w:rsid w:val="00621877"/>
    <w:rsid w:val="006235F6"/>
    <w:rsid w:val="00625DF9"/>
    <w:rsid w:val="00627645"/>
    <w:rsid w:val="006301B8"/>
    <w:rsid w:val="006315D4"/>
    <w:rsid w:val="00632F3E"/>
    <w:rsid w:val="00635E07"/>
    <w:rsid w:val="0063741F"/>
    <w:rsid w:val="006375F2"/>
    <w:rsid w:val="00637E9A"/>
    <w:rsid w:val="00640AAE"/>
    <w:rsid w:val="00641041"/>
    <w:rsid w:val="00641EC5"/>
    <w:rsid w:val="00641FA4"/>
    <w:rsid w:val="00642133"/>
    <w:rsid w:val="00643D4A"/>
    <w:rsid w:val="0064496E"/>
    <w:rsid w:val="006450ED"/>
    <w:rsid w:val="00652457"/>
    <w:rsid w:val="00657A99"/>
    <w:rsid w:val="00660086"/>
    <w:rsid w:val="006616D8"/>
    <w:rsid w:val="0066270A"/>
    <w:rsid w:val="00663A27"/>
    <w:rsid w:val="0066703A"/>
    <w:rsid w:val="00671887"/>
    <w:rsid w:val="00672F4A"/>
    <w:rsid w:val="00675374"/>
    <w:rsid w:val="00675EEA"/>
    <w:rsid w:val="0068128D"/>
    <w:rsid w:val="00682E4A"/>
    <w:rsid w:val="00684C1A"/>
    <w:rsid w:val="00684E2E"/>
    <w:rsid w:val="006852FF"/>
    <w:rsid w:val="006954D2"/>
    <w:rsid w:val="006966E8"/>
    <w:rsid w:val="006A0B11"/>
    <w:rsid w:val="006A0B56"/>
    <w:rsid w:val="006A0E24"/>
    <w:rsid w:val="006A3218"/>
    <w:rsid w:val="006A33EB"/>
    <w:rsid w:val="006A525F"/>
    <w:rsid w:val="006A584B"/>
    <w:rsid w:val="006A6493"/>
    <w:rsid w:val="006B5993"/>
    <w:rsid w:val="006B5EC6"/>
    <w:rsid w:val="006B70CC"/>
    <w:rsid w:val="006B7EE3"/>
    <w:rsid w:val="006C0303"/>
    <w:rsid w:val="006C09C0"/>
    <w:rsid w:val="006C1C88"/>
    <w:rsid w:val="006C564C"/>
    <w:rsid w:val="006C5D2E"/>
    <w:rsid w:val="006C5E95"/>
    <w:rsid w:val="006D18E4"/>
    <w:rsid w:val="006D396C"/>
    <w:rsid w:val="006D6EEE"/>
    <w:rsid w:val="006D76AE"/>
    <w:rsid w:val="006E026A"/>
    <w:rsid w:val="006E1FCA"/>
    <w:rsid w:val="006E354B"/>
    <w:rsid w:val="006E3781"/>
    <w:rsid w:val="006E46DD"/>
    <w:rsid w:val="006E506F"/>
    <w:rsid w:val="006E54C9"/>
    <w:rsid w:val="006E703A"/>
    <w:rsid w:val="006F118B"/>
    <w:rsid w:val="006F163A"/>
    <w:rsid w:val="006F50AA"/>
    <w:rsid w:val="0070304A"/>
    <w:rsid w:val="00703642"/>
    <w:rsid w:val="00703D70"/>
    <w:rsid w:val="0070516F"/>
    <w:rsid w:val="00705A76"/>
    <w:rsid w:val="0071027E"/>
    <w:rsid w:val="00711D3B"/>
    <w:rsid w:val="00713023"/>
    <w:rsid w:val="00715E18"/>
    <w:rsid w:val="00721F19"/>
    <w:rsid w:val="00723D37"/>
    <w:rsid w:val="0073058E"/>
    <w:rsid w:val="007305F8"/>
    <w:rsid w:val="00731F1A"/>
    <w:rsid w:val="00732498"/>
    <w:rsid w:val="00732AE2"/>
    <w:rsid w:val="00733984"/>
    <w:rsid w:val="007339DA"/>
    <w:rsid w:val="00733D13"/>
    <w:rsid w:val="00734AA0"/>
    <w:rsid w:val="00735466"/>
    <w:rsid w:val="00737E26"/>
    <w:rsid w:val="00737F95"/>
    <w:rsid w:val="00742B42"/>
    <w:rsid w:val="00743456"/>
    <w:rsid w:val="00752956"/>
    <w:rsid w:val="0075533F"/>
    <w:rsid w:val="0076244A"/>
    <w:rsid w:val="00767054"/>
    <w:rsid w:val="00767E3C"/>
    <w:rsid w:val="00770D19"/>
    <w:rsid w:val="00771629"/>
    <w:rsid w:val="00774CB2"/>
    <w:rsid w:val="0078004D"/>
    <w:rsid w:val="007842E2"/>
    <w:rsid w:val="00787220"/>
    <w:rsid w:val="0078755C"/>
    <w:rsid w:val="00790573"/>
    <w:rsid w:val="007911FB"/>
    <w:rsid w:val="00792103"/>
    <w:rsid w:val="0079383E"/>
    <w:rsid w:val="007938B6"/>
    <w:rsid w:val="0079419E"/>
    <w:rsid w:val="007A393D"/>
    <w:rsid w:val="007A409C"/>
    <w:rsid w:val="007A46C4"/>
    <w:rsid w:val="007A50BC"/>
    <w:rsid w:val="007A6766"/>
    <w:rsid w:val="007B11A9"/>
    <w:rsid w:val="007B39E2"/>
    <w:rsid w:val="007B54BF"/>
    <w:rsid w:val="007C269D"/>
    <w:rsid w:val="007C4244"/>
    <w:rsid w:val="007C4F8E"/>
    <w:rsid w:val="007C531B"/>
    <w:rsid w:val="007C533B"/>
    <w:rsid w:val="007C6411"/>
    <w:rsid w:val="007D3866"/>
    <w:rsid w:val="007D4074"/>
    <w:rsid w:val="007D7C2F"/>
    <w:rsid w:val="007D7E4A"/>
    <w:rsid w:val="007E1999"/>
    <w:rsid w:val="007E2527"/>
    <w:rsid w:val="007E5A23"/>
    <w:rsid w:val="007F065F"/>
    <w:rsid w:val="007F0C92"/>
    <w:rsid w:val="007F119B"/>
    <w:rsid w:val="007F2250"/>
    <w:rsid w:val="007F27A8"/>
    <w:rsid w:val="007F31A7"/>
    <w:rsid w:val="007F3BCA"/>
    <w:rsid w:val="007F47BC"/>
    <w:rsid w:val="007F7E9C"/>
    <w:rsid w:val="008002A1"/>
    <w:rsid w:val="00802A22"/>
    <w:rsid w:val="008037D3"/>
    <w:rsid w:val="008055BE"/>
    <w:rsid w:val="00805F3C"/>
    <w:rsid w:val="00810077"/>
    <w:rsid w:val="00810D9B"/>
    <w:rsid w:val="00812FA9"/>
    <w:rsid w:val="00813104"/>
    <w:rsid w:val="0081577B"/>
    <w:rsid w:val="008160F6"/>
    <w:rsid w:val="00816FF8"/>
    <w:rsid w:val="00820D03"/>
    <w:rsid w:val="00820D65"/>
    <w:rsid w:val="00823837"/>
    <w:rsid w:val="00823E71"/>
    <w:rsid w:val="00826F75"/>
    <w:rsid w:val="0082729C"/>
    <w:rsid w:val="00830729"/>
    <w:rsid w:val="0084044E"/>
    <w:rsid w:val="0084100A"/>
    <w:rsid w:val="008419CE"/>
    <w:rsid w:val="00842E64"/>
    <w:rsid w:val="00844006"/>
    <w:rsid w:val="00844BA5"/>
    <w:rsid w:val="00845C5E"/>
    <w:rsid w:val="00850F79"/>
    <w:rsid w:val="008534F6"/>
    <w:rsid w:val="00855C24"/>
    <w:rsid w:val="00855F26"/>
    <w:rsid w:val="00860008"/>
    <w:rsid w:val="00862B25"/>
    <w:rsid w:val="00863C92"/>
    <w:rsid w:val="008705EA"/>
    <w:rsid w:val="00873E6B"/>
    <w:rsid w:val="008750C9"/>
    <w:rsid w:val="00883F7C"/>
    <w:rsid w:val="00885AA3"/>
    <w:rsid w:val="00887A98"/>
    <w:rsid w:val="00892110"/>
    <w:rsid w:val="008936D9"/>
    <w:rsid w:val="0089544D"/>
    <w:rsid w:val="00896BDC"/>
    <w:rsid w:val="008979D3"/>
    <w:rsid w:val="00897C30"/>
    <w:rsid w:val="008A095F"/>
    <w:rsid w:val="008A3DD1"/>
    <w:rsid w:val="008A548E"/>
    <w:rsid w:val="008A7161"/>
    <w:rsid w:val="008A79C1"/>
    <w:rsid w:val="008B469D"/>
    <w:rsid w:val="008B6A28"/>
    <w:rsid w:val="008B6B15"/>
    <w:rsid w:val="008C1E3A"/>
    <w:rsid w:val="008C3398"/>
    <w:rsid w:val="008C348E"/>
    <w:rsid w:val="008C3D48"/>
    <w:rsid w:val="008C5398"/>
    <w:rsid w:val="008C75BB"/>
    <w:rsid w:val="008D0FCD"/>
    <w:rsid w:val="008D2667"/>
    <w:rsid w:val="008D5FD6"/>
    <w:rsid w:val="008E209F"/>
    <w:rsid w:val="008E49A8"/>
    <w:rsid w:val="008E60F5"/>
    <w:rsid w:val="008E6447"/>
    <w:rsid w:val="008F2583"/>
    <w:rsid w:val="008F2699"/>
    <w:rsid w:val="008F494D"/>
    <w:rsid w:val="008F548F"/>
    <w:rsid w:val="008F7A07"/>
    <w:rsid w:val="008F7D0A"/>
    <w:rsid w:val="00901CD0"/>
    <w:rsid w:val="00902DF7"/>
    <w:rsid w:val="009034A4"/>
    <w:rsid w:val="0090358C"/>
    <w:rsid w:val="009036AD"/>
    <w:rsid w:val="0090420F"/>
    <w:rsid w:val="00904735"/>
    <w:rsid w:val="009107FC"/>
    <w:rsid w:val="0092031B"/>
    <w:rsid w:val="009206E8"/>
    <w:rsid w:val="00920D19"/>
    <w:rsid w:val="0092296A"/>
    <w:rsid w:val="00923092"/>
    <w:rsid w:val="00923D9A"/>
    <w:rsid w:val="0092502A"/>
    <w:rsid w:val="009274DC"/>
    <w:rsid w:val="00932492"/>
    <w:rsid w:val="00933193"/>
    <w:rsid w:val="0093557C"/>
    <w:rsid w:val="00935F60"/>
    <w:rsid w:val="009360CC"/>
    <w:rsid w:val="009400C5"/>
    <w:rsid w:val="00941CCE"/>
    <w:rsid w:val="00942B1A"/>
    <w:rsid w:val="009461E7"/>
    <w:rsid w:val="00947406"/>
    <w:rsid w:val="00947939"/>
    <w:rsid w:val="0095234A"/>
    <w:rsid w:val="00954B73"/>
    <w:rsid w:val="0095568C"/>
    <w:rsid w:val="009564D5"/>
    <w:rsid w:val="00956E6C"/>
    <w:rsid w:val="009570AC"/>
    <w:rsid w:val="0095729E"/>
    <w:rsid w:val="00960B1A"/>
    <w:rsid w:val="00960BB8"/>
    <w:rsid w:val="00961C7A"/>
    <w:rsid w:val="00961FF0"/>
    <w:rsid w:val="00964D1E"/>
    <w:rsid w:val="00970633"/>
    <w:rsid w:val="00970B69"/>
    <w:rsid w:val="00971788"/>
    <w:rsid w:val="00972E49"/>
    <w:rsid w:val="00973E78"/>
    <w:rsid w:val="00975CD0"/>
    <w:rsid w:val="00980134"/>
    <w:rsid w:val="00982F73"/>
    <w:rsid w:val="009832CA"/>
    <w:rsid w:val="00983769"/>
    <w:rsid w:val="009854BB"/>
    <w:rsid w:val="00991354"/>
    <w:rsid w:val="009916D4"/>
    <w:rsid w:val="00991A31"/>
    <w:rsid w:val="00993B42"/>
    <w:rsid w:val="00993CCF"/>
    <w:rsid w:val="0099602B"/>
    <w:rsid w:val="00996F74"/>
    <w:rsid w:val="009974A6"/>
    <w:rsid w:val="009A00DA"/>
    <w:rsid w:val="009A1BD1"/>
    <w:rsid w:val="009A25F1"/>
    <w:rsid w:val="009A26A2"/>
    <w:rsid w:val="009A3813"/>
    <w:rsid w:val="009A3881"/>
    <w:rsid w:val="009A7DD7"/>
    <w:rsid w:val="009A7E12"/>
    <w:rsid w:val="009A7EFB"/>
    <w:rsid w:val="009B1DE6"/>
    <w:rsid w:val="009B4433"/>
    <w:rsid w:val="009B6558"/>
    <w:rsid w:val="009B665C"/>
    <w:rsid w:val="009B6F6F"/>
    <w:rsid w:val="009C01F5"/>
    <w:rsid w:val="009C3CB6"/>
    <w:rsid w:val="009C447B"/>
    <w:rsid w:val="009C7849"/>
    <w:rsid w:val="009D35A3"/>
    <w:rsid w:val="009D475C"/>
    <w:rsid w:val="009D7659"/>
    <w:rsid w:val="009E11B7"/>
    <w:rsid w:val="009E306E"/>
    <w:rsid w:val="009F2EA7"/>
    <w:rsid w:val="009F4C5D"/>
    <w:rsid w:val="009F5668"/>
    <w:rsid w:val="009F61DF"/>
    <w:rsid w:val="00A0091A"/>
    <w:rsid w:val="00A00F2F"/>
    <w:rsid w:val="00A02D95"/>
    <w:rsid w:val="00A0316F"/>
    <w:rsid w:val="00A032BA"/>
    <w:rsid w:val="00A038CD"/>
    <w:rsid w:val="00A04E19"/>
    <w:rsid w:val="00A064D0"/>
    <w:rsid w:val="00A067ED"/>
    <w:rsid w:val="00A06C1C"/>
    <w:rsid w:val="00A07A73"/>
    <w:rsid w:val="00A1010A"/>
    <w:rsid w:val="00A1079B"/>
    <w:rsid w:val="00A12004"/>
    <w:rsid w:val="00A144AE"/>
    <w:rsid w:val="00A15E5C"/>
    <w:rsid w:val="00A256BC"/>
    <w:rsid w:val="00A263A6"/>
    <w:rsid w:val="00A265CA"/>
    <w:rsid w:val="00A27152"/>
    <w:rsid w:val="00A31C64"/>
    <w:rsid w:val="00A35055"/>
    <w:rsid w:val="00A36459"/>
    <w:rsid w:val="00A40E70"/>
    <w:rsid w:val="00A40E81"/>
    <w:rsid w:val="00A43F86"/>
    <w:rsid w:val="00A442A3"/>
    <w:rsid w:val="00A449FA"/>
    <w:rsid w:val="00A465CA"/>
    <w:rsid w:val="00A519F2"/>
    <w:rsid w:val="00A5500C"/>
    <w:rsid w:val="00A55577"/>
    <w:rsid w:val="00A55D3B"/>
    <w:rsid w:val="00A5610F"/>
    <w:rsid w:val="00A5627F"/>
    <w:rsid w:val="00A566C1"/>
    <w:rsid w:val="00A6005C"/>
    <w:rsid w:val="00A6600C"/>
    <w:rsid w:val="00A66A8C"/>
    <w:rsid w:val="00A724E4"/>
    <w:rsid w:val="00A7553B"/>
    <w:rsid w:val="00A76237"/>
    <w:rsid w:val="00A76C86"/>
    <w:rsid w:val="00A77D47"/>
    <w:rsid w:val="00A81C32"/>
    <w:rsid w:val="00A83565"/>
    <w:rsid w:val="00A85B2C"/>
    <w:rsid w:val="00A86807"/>
    <w:rsid w:val="00A8799C"/>
    <w:rsid w:val="00A87D1D"/>
    <w:rsid w:val="00A90071"/>
    <w:rsid w:val="00A928F5"/>
    <w:rsid w:val="00A93F5E"/>
    <w:rsid w:val="00A94E4B"/>
    <w:rsid w:val="00A97BB1"/>
    <w:rsid w:val="00AA12A5"/>
    <w:rsid w:val="00AA147D"/>
    <w:rsid w:val="00AA1C7B"/>
    <w:rsid w:val="00AA1E1E"/>
    <w:rsid w:val="00AA65E4"/>
    <w:rsid w:val="00AB0B33"/>
    <w:rsid w:val="00AB3745"/>
    <w:rsid w:val="00AB592F"/>
    <w:rsid w:val="00AB5BED"/>
    <w:rsid w:val="00AC0863"/>
    <w:rsid w:val="00AC38E8"/>
    <w:rsid w:val="00AC469F"/>
    <w:rsid w:val="00AD0A79"/>
    <w:rsid w:val="00AD0F77"/>
    <w:rsid w:val="00AD3726"/>
    <w:rsid w:val="00AD480B"/>
    <w:rsid w:val="00AD532E"/>
    <w:rsid w:val="00AD5CDD"/>
    <w:rsid w:val="00AE2A4F"/>
    <w:rsid w:val="00AE2CC1"/>
    <w:rsid w:val="00AE30F9"/>
    <w:rsid w:val="00AE4070"/>
    <w:rsid w:val="00AE6E90"/>
    <w:rsid w:val="00AF06D0"/>
    <w:rsid w:val="00AF4BD2"/>
    <w:rsid w:val="00AF6DBC"/>
    <w:rsid w:val="00AF772B"/>
    <w:rsid w:val="00B000DC"/>
    <w:rsid w:val="00B001D1"/>
    <w:rsid w:val="00B02AE7"/>
    <w:rsid w:val="00B05883"/>
    <w:rsid w:val="00B05F82"/>
    <w:rsid w:val="00B06D88"/>
    <w:rsid w:val="00B0758B"/>
    <w:rsid w:val="00B07DE2"/>
    <w:rsid w:val="00B1035C"/>
    <w:rsid w:val="00B10AA9"/>
    <w:rsid w:val="00B114A5"/>
    <w:rsid w:val="00B126E0"/>
    <w:rsid w:val="00B12DE5"/>
    <w:rsid w:val="00B156A9"/>
    <w:rsid w:val="00B16742"/>
    <w:rsid w:val="00B20F38"/>
    <w:rsid w:val="00B2256C"/>
    <w:rsid w:val="00B2382E"/>
    <w:rsid w:val="00B25259"/>
    <w:rsid w:val="00B2620F"/>
    <w:rsid w:val="00B267F4"/>
    <w:rsid w:val="00B2779E"/>
    <w:rsid w:val="00B36FA3"/>
    <w:rsid w:val="00B40D96"/>
    <w:rsid w:val="00B4215D"/>
    <w:rsid w:val="00B42E2D"/>
    <w:rsid w:val="00B4382A"/>
    <w:rsid w:val="00B43C71"/>
    <w:rsid w:val="00B440BA"/>
    <w:rsid w:val="00B45106"/>
    <w:rsid w:val="00B451F7"/>
    <w:rsid w:val="00B45D09"/>
    <w:rsid w:val="00B466B4"/>
    <w:rsid w:val="00B5518B"/>
    <w:rsid w:val="00B57085"/>
    <w:rsid w:val="00B6045E"/>
    <w:rsid w:val="00B6137A"/>
    <w:rsid w:val="00B63BAD"/>
    <w:rsid w:val="00B6604B"/>
    <w:rsid w:val="00B661D7"/>
    <w:rsid w:val="00B6630E"/>
    <w:rsid w:val="00B6765D"/>
    <w:rsid w:val="00B73EA0"/>
    <w:rsid w:val="00B7492C"/>
    <w:rsid w:val="00B77029"/>
    <w:rsid w:val="00B7780D"/>
    <w:rsid w:val="00B80D2A"/>
    <w:rsid w:val="00B8270D"/>
    <w:rsid w:val="00B85CC6"/>
    <w:rsid w:val="00B86AD8"/>
    <w:rsid w:val="00B86D3E"/>
    <w:rsid w:val="00B928C5"/>
    <w:rsid w:val="00B95447"/>
    <w:rsid w:val="00BA0AF6"/>
    <w:rsid w:val="00BA0BA9"/>
    <w:rsid w:val="00BA1FE4"/>
    <w:rsid w:val="00BA3A6F"/>
    <w:rsid w:val="00BA494A"/>
    <w:rsid w:val="00BB11B3"/>
    <w:rsid w:val="00BB15BF"/>
    <w:rsid w:val="00BB6F84"/>
    <w:rsid w:val="00BC0286"/>
    <w:rsid w:val="00BC50B3"/>
    <w:rsid w:val="00BC6D6C"/>
    <w:rsid w:val="00BD2FC1"/>
    <w:rsid w:val="00BD446A"/>
    <w:rsid w:val="00BD6F6C"/>
    <w:rsid w:val="00BD7702"/>
    <w:rsid w:val="00BE102B"/>
    <w:rsid w:val="00BE58FB"/>
    <w:rsid w:val="00BF014C"/>
    <w:rsid w:val="00BF3837"/>
    <w:rsid w:val="00BF6905"/>
    <w:rsid w:val="00BF77BB"/>
    <w:rsid w:val="00C04FAA"/>
    <w:rsid w:val="00C068FA"/>
    <w:rsid w:val="00C10302"/>
    <w:rsid w:val="00C12DD8"/>
    <w:rsid w:val="00C13783"/>
    <w:rsid w:val="00C160E1"/>
    <w:rsid w:val="00C17E6F"/>
    <w:rsid w:val="00C2115B"/>
    <w:rsid w:val="00C237CA"/>
    <w:rsid w:val="00C23CE7"/>
    <w:rsid w:val="00C243C6"/>
    <w:rsid w:val="00C26355"/>
    <w:rsid w:val="00C32D72"/>
    <w:rsid w:val="00C33486"/>
    <w:rsid w:val="00C341D4"/>
    <w:rsid w:val="00C3459D"/>
    <w:rsid w:val="00C35E36"/>
    <w:rsid w:val="00C362D4"/>
    <w:rsid w:val="00C36CB5"/>
    <w:rsid w:val="00C4419C"/>
    <w:rsid w:val="00C4565A"/>
    <w:rsid w:val="00C45C63"/>
    <w:rsid w:val="00C521FF"/>
    <w:rsid w:val="00C5223E"/>
    <w:rsid w:val="00C531EB"/>
    <w:rsid w:val="00C54C23"/>
    <w:rsid w:val="00C60FC2"/>
    <w:rsid w:val="00C6402A"/>
    <w:rsid w:val="00C7164B"/>
    <w:rsid w:val="00C72D14"/>
    <w:rsid w:val="00C751EB"/>
    <w:rsid w:val="00C75FA5"/>
    <w:rsid w:val="00C80CB6"/>
    <w:rsid w:val="00C82073"/>
    <w:rsid w:val="00C82514"/>
    <w:rsid w:val="00C83036"/>
    <w:rsid w:val="00C84A0C"/>
    <w:rsid w:val="00C924F8"/>
    <w:rsid w:val="00C9703F"/>
    <w:rsid w:val="00CA299C"/>
    <w:rsid w:val="00CA4895"/>
    <w:rsid w:val="00CA6CA7"/>
    <w:rsid w:val="00CA7E29"/>
    <w:rsid w:val="00CB07DB"/>
    <w:rsid w:val="00CB0995"/>
    <w:rsid w:val="00CB41E5"/>
    <w:rsid w:val="00CB7AB1"/>
    <w:rsid w:val="00CB7C6B"/>
    <w:rsid w:val="00CB7D6B"/>
    <w:rsid w:val="00CC56ED"/>
    <w:rsid w:val="00CC75CA"/>
    <w:rsid w:val="00CD08D1"/>
    <w:rsid w:val="00CD3EDD"/>
    <w:rsid w:val="00CD45F2"/>
    <w:rsid w:val="00CD5B0A"/>
    <w:rsid w:val="00CD5F49"/>
    <w:rsid w:val="00CD7E73"/>
    <w:rsid w:val="00CE12FB"/>
    <w:rsid w:val="00CE3FD9"/>
    <w:rsid w:val="00CF043B"/>
    <w:rsid w:val="00CF17CB"/>
    <w:rsid w:val="00CF191E"/>
    <w:rsid w:val="00CF3D1A"/>
    <w:rsid w:val="00CF4984"/>
    <w:rsid w:val="00CF6ADB"/>
    <w:rsid w:val="00CF6EDE"/>
    <w:rsid w:val="00D0796A"/>
    <w:rsid w:val="00D1135D"/>
    <w:rsid w:val="00D12149"/>
    <w:rsid w:val="00D20626"/>
    <w:rsid w:val="00D20B75"/>
    <w:rsid w:val="00D20D1F"/>
    <w:rsid w:val="00D212DC"/>
    <w:rsid w:val="00D243FC"/>
    <w:rsid w:val="00D24519"/>
    <w:rsid w:val="00D25E76"/>
    <w:rsid w:val="00D26AFD"/>
    <w:rsid w:val="00D27DAC"/>
    <w:rsid w:val="00D3542C"/>
    <w:rsid w:val="00D355FF"/>
    <w:rsid w:val="00D500FA"/>
    <w:rsid w:val="00D50C7D"/>
    <w:rsid w:val="00D56B86"/>
    <w:rsid w:val="00D57C89"/>
    <w:rsid w:val="00D638F9"/>
    <w:rsid w:val="00D66008"/>
    <w:rsid w:val="00D66921"/>
    <w:rsid w:val="00D6783A"/>
    <w:rsid w:val="00D71ECB"/>
    <w:rsid w:val="00D73036"/>
    <w:rsid w:val="00D74321"/>
    <w:rsid w:val="00D76579"/>
    <w:rsid w:val="00D76F34"/>
    <w:rsid w:val="00D81E2F"/>
    <w:rsid w:val="00D821CA"/>
    <w:rsid w:val="00D82F86"/>
    <w:rsid w:val="00D845E5"/>
    <w:rsid w:val="00D85724"/>
    <w:rsid w:val="00D915B4"/>
    <w:rsid w:val="00D92627"/>
    <w:rsid w:val="00D92AD5"/>
    <w:rsid w:val="00D92E47"/>
    <w:rsid w:val="00D93D8F"/>
    <w:rsid w:val="00D93E67"/>
    <w:rsid w:val="00D94A3E"/>
    <w:rsid w:val="00D95D41"/>
    <w:rsid w:val="00D961AF"/>
    <w:rsid w:val="00D96C3E"/>
    <w:rsid w:val="00D9714A"/>
    <w:rsid w:val="00D97DF6"/>
    <w:rsid w:val="00DA1CCD"/>
    <w:rsid w:val="00DA4BA1"/>
    <w:rsid w:val="00DA6B3E"/>
    <w:rsid w:val="00DB2D98"/>
    <w:rsid w:val="00DB772C"/>
    <w:rsid w:val="00DC00B6"/>
    <w:rsid w:val="00DC08C1"/>
    <w:rsid w:val="00DC2B74"/>
    <w:rsid w:val="00DC54DF"/>
    <w:rsid w:val="00DD1213"/>
    <w:rsid w:val="00DD460A"/>
    <w:rsid w:val="00DD4E08"/>
    <w:rsid w:val="00DD7886"/>
    <w:rsid w:val="00DE0CA8"/>
    <w:rsid w:val="00DE1365"/>
    <w:rsid w:val="00DE1CE2"/>
    <w:rsid w:val="00DE6C29"/>
    <w:rsid w:val="00DF23EF"/>
    <w:rsid w:val="00DF3B8A"/>
    <w:rsid w:val="00DF4918"/>
    <w:rsid w:val="00DF5828"/>
    <w:rsid w:val="00E055C2"/>
    <w:rsid w:val="00E061EF"/>
    <w:rsid w:val="00E06D50"/>
    <w:rsid w:val="00E12703"/>
    <w:rsid w:val="00E213B2"/>
    <w:rsid w:val="00E21B40"/>
    <w:rsid w:val="00E25588"/>
    <w:rsid w:val="00E25DFF"/>
    <w:rsid w:val="00E27089"/>
    <w:rsid w:val="00E27320"/>
    <w:rsid w:val="00E2787D"/>
    <w:rsid w:val="00E27AA0"/>
    <w:rsid w:val="00E312A4"/>
    <w:rsid w:val="00E34DDD"/>
    <w:rsid w:val="00E354F7"/>
    <w:rsid w:val="00E3567A"/>
    <w:rsid w:val="00E35C80"/>
    <w:rsid w:val="00E36299"/>
    <w:rsid w:val="00E40459"/>
    <w:rsid w:val="00E4145A"/>
    <w:rsid w:val="00E41D0C"/>
    <w:rsid w:val="00E420FF"/>
    <w:rsid w:val="00E425A0"/>
    <w:rsid w:val="00E4307C"/>
    <w:rsid w:val="00E447DA"/>
    <w:rsid w:val="00E455FA"/>
    <w:rsid w:val="00E46785"/>
    <w:rsid w:val="00E52801"/>
    <w:rsid w:val="00E52F44"/>
    <w:rsid w:val="00E6424D"/>
    <w:rsid w:val="00E65531"/>
    <w:rsid w:val="00E71615"/>
    <w:rsid w:val="00E71972"/>
    <w:rsid w:val="00E731EC"/>
    <w:rsid w:val="00E77B34"/>
    <w:rsid w:val="00E8067C"/>
    <w:rsid w:val="00E82DE3"/>
    <w:rsid w:val="00E851D1"/>
    <w:rsid w:val="00E85FA9"/>
    <w:rsid w:val="00E948B5"/>
    <w:rsid w:val="00E96AA1"/>
    <w:rsid w:val="00E96BBC"/>
    <w:rsid w:val="00EA0BC9"/>
    <w:rsid w:val="00EA1671"/>
    <w:rsid w:val="00EA7999"/>
    <w:rsid w:val="00EA7E80"/>
    <w:rsid w:val="00EB07B3"/>
    <w:rsid w:val="00EB2E36"/>
    <w:rsid w:val="00EB3175"/>
    <w:rsid w:val="00EB359A"/>
    <w:rsid w:val="00EB370F"/>
    <w:rsid w:val="00EB467D"/>
    <w:rsid w:val="00EB5D15"/>
    <w:rsid w:val="00EB61E9"/>
    <w:rsid w:val="00EB667A"/>
    <w:rsid w:val="00EB6EFD"/>
    <w:rsid w:val="00EC4001"/>
    <w:rsid w:val="00ED03C9"/>
    <w:rsid w:val="00ED1E10"/>
    <w:rsid w:val="00ED3E58"/>
    <w:rsid w:val="00ED48D4"/>
    <w:rsid w:val="00ED717C"/>
    <w:rsid w:val="00EE09D0"/>
    <w:rsid w:val="00EE1BAF"/>
    <w:rsid w:val="00EE2634"/>
    <w:rsid w:val="00EE31DF"/>
    <w:rsid w:val="00EF2E8D"/>
    <w:rsid w:val="00EF2E99"/>
    <w:rsid w:val="00EF4568"/>
    <w:rsid w:val="00EF54AE"/>
    <w:rsid w:val="00EF7B3B"/>
    <w:rsid w:val="00F00369"/>
    <w:rsid w:val="00F01C1A"/>
    <w:rsid w:val="00F02BEA"/>
    <w:rsid w:val="00F02E81"/>
    <w:rsid w:val="00F03B27"/>
    <w:rsid w:val="00F04793"/>
    <w:rsid w:val="00F04ECF"/>
    <w:rsid w:val="00F056BD"/>
    <w:rsid w:val="00F061D0"/>
    <w:rsid w:val="00F079E4"/>
    <w:rsid w:val="00F12133"/>
    <w:rsid w:val="00F13FD4"/>
    <w:rsid w:val="00F14462"/>
    <w:rsid w:val="00F14DAD"/>
    <w:rsid w:val="00F15F61"/>
    <w:rsid w:val="00F177D7"/>
    <w:rsid w:val="00F22BA0"/>
    <w:rsid w:val="00F23CE9"/>
    <w:rsid w:val="00F241FE"/>
    <w:rsid w:val="00F242A5"/>
    <w:rsid w:val="00F2453A"/>
    <w:rsid w:val="00F25141"/>
    <w:rsid w:val="00F2534D"/>
    <w:rsid w:val="00F273AC"/>
    <w:rsid w:val="00F30623"/>
    <w:rsid w:val="00F32A1A"/>
    <w:rsid w:val="00F33637"/>
    <w:rsid w:val="00F33B67"/>
    <w:rsid w:val="00F341FB"/>
    <w:rsid w:val="00F3449F"/>
    <w:rsid w:val="00F36F24"/>
    <w:rsid w:val="00F37586"/>
    <w:rsid w:val="00F40211"/>
    <w:rsid w:val="00F40257"/>
    <w:rsid w:val="00F43D9C"/>
    <w:rsid w:val="00F4467E"/>
    <w:rsid w:val="00F503D8"/>
    <w:rsid w:val="00F5427B"/>
    <w:rsid w:val="00F5455D"/>
    <w:rsid w:val="00F54962"/>
    <w:rsid w:val="00F54D61"/>
    <w:rsid w:val="00F54FF8"/>
    <w:rsid w:val="00F55660"/>
    <w:rsid w:val="00F60DC4"/>
    <w:rsid w:val="00F63B09"/>
    <w:rsid w:val="00F646CC"/>
    <w:rsid w:val="00F64854"/>
    <w:rsid w:val="00F72CA1"/>
    <w:rsid w:val="00F744F3"/>
    <w:rsid w:val="00F75ACE"/>
    <w:rsid w:val="00F82910"/>
    <w:rsid w:val="00F82C43"/>
    <w:rsid w:val="00F8311C"/>
    <w:rsid w:val="00F847D2"/>
    <w:rsid w:val="00F86FA6"/>
    <w:rsid w:val="00F90194"/>
    <w:rsid w:val="00F91EFA"/>
    <w:rsid w:val="00F93107"/>
    <w:rsid w:val="00F94C5F"/>
    <w:rsid w:val="00F95676"/>
    <w:rsid w:val="00F95A94"/>
    <w:rsid w:val="00F96385"/>
    <w:rsid w:val="00F96B0E"/>
    <w:rsid w:val="00FA4732"/>
    <w:rsid w:val="00FA6D4A"/>
    <w:rsid w:val="00FB2410"/>
    <w:rsid w:val="00FB25F2"/>
    <w:rsid w:val="00FB6C61"/>
    <w:rsid w:val="00FB7CD7"/>
    <w:rsid w:val="00FC084D"/>
    <w:rsid w:val="00FC131D"/>
    <w:rsid w:val="00FC4AB9"/>
    <w:rsid w:val="00FC6BE1"/>
    <w:rsid w:val="00FD06B1"/>
    <w:rsid w:val="00FD688B"/>
    <w:rsid w:val="00FD797D"/>
    <w:rsid w:val="00FE059C"/>
    <w:rsid w:val="00FE3553"/>
    <w:rsid w:val="00FE65B0"/>
    <w:rsid w:val="00FF207A"/>
    <w:rsid w:val="00FF24B5"/>
    <w:rsid w:val="00FF3C96"/>
    <w:rsid w:val="00FF4904"/>
    <w:rsid w:val="00FF4F61"/>
    <w:rsid w:val="00FF5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98A3B"/>
  <w15:docId w15:val="{7C91508B-5396-46A2-A9E3-E6D4B031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68"/>
  </w:style>
  <w:style w:type="paragraph" w:styleId="Heading1">
    <w:name w:val="heading 1"/>
    <w:basedOn w:val="Normal"/>
    <w:next w:val="Normal"/>
    <w:qFormat/>
    <w:pPr>
      <w:keepNext/>
      <w:keepLines/>
      <w:spacing w:before="480" w:after="0"/>
      <w:outlineLvl w:val="0"/>
    </w:pPr>
    <w:rPr>
      <w:rFonts w:ascii="Arial" w:eastAsia="Arial" w:hAnsi="Arial" w:cs="Arial"/>
      <w:b/>
      <w:sz w:val="24"/>
      <w:szCs w:val="24"/>
    </w:rPr>
  </w:style>
  <w:style w:type="paragraph" w:styleId="Heading2">
    <w:name w:val="heading 2"/>
    <w:basedOn w:val="Normal"/>
    <w:next w:val="Normal"/>
    <w:pPr>
      <w:keepNext/>
      <w:keepLines/>
      <w:spacing w:before="200" w:after="0"/>
      <w:outlineLvl w:val="1"/>
    </w:pPr>
    <w:rPr>
      <w:rFonts w:ascii="Arial" w:eastAsia="Arial" w:hAnsi="Arial" w:cs="Arial"/>
      <w:b/>
      <w:sz w:val="20"/>
      <w:szCs w:val="20"/>
    </w:rPr>
  </w:style>
  <w:style w:type="paragraph" w:styleId="Heading3">
    <w:name w:val="heading 3"/>
    <w:basedOn w:val="Normal"/>
    <w:next w:val="Normal"/>
    <w:pPr>
      <w:keepNext/>
      <w:spacing w:before="240" w:after="60"/>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6270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42F7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F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28" w:type="dxa"/>
        <w:left w:w="57" w:type="dxa"/>
        <w:bottom w:w="28" w:type="dxa"/>
        <w:right w:w="57"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28" w:type="dxa"/>
        <w:left w:w="57" w:type="dxa"/>
        <w:bottom w:w="28" w:type="dxa"/>
        <w:right w:w="57"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28" w:type="dxa"/>
        <w:left w:w="57" w:type="dxa"/>
        <w:bottom w:w="28" w:type="dxa"/>
        <w:right w:w="57" w:type="dxa"/>
      </w:tblCellMar>
    </w:tblPr>
  </w:style>
  <w:style w:type="table" w:customStyle="1" w:styleId="a5">
    <w:basedOn w:val="TableNormal"/>
    <w:tblPr>
      <w:tblStyleRowBandSize w:val="1"/>
      <w:tblStyleColBandSize w:val="1"/>
      <w:tblCellMar>
        <w:top w:w="28" w:type="dxa"/>
        <w:left w:w="57" w:type="dxa"/>
        <w:bottom w:w="28" w:type="dxa"/>
        <w:right w:w="57" w:type="dxa"/>
      </w:tblCellMar>
    </w:tblPr>
  </w:style>
  <w:style w:type="table" w:customStyle="1" w:styleId="a6">
    <w:basedOn w:val="TableNormal"/>
    <w:tblPr>
      <w:tblStyleRowBandSize w:val="1"/>
      <w:tblStyleColBandSize w:val="1"/>
      <w:tblCellMar>
        <w:top w:w="28" w:type="dxa"/>
        <w:left w:w="57" w:type="dxa"/>
        <w:bottom w:w="28" w:type="dxa"/>
        <w:right w:w="57"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28" w:type="dxa"/>
        <w:left w:w="57" w:type="dxa"/>
        <w:bottom w:w="28" w:type="dxa"/>
        <w:right w:w="57"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28" w:type="dxa"/>
        <w:left w:w="57" w:type="dxa"/>
        <w:bottom w:w="28" w:type="dxa"/>
        <w:right w:w="57" w:type="dxa"/>
      </w:tblCellMar>
    </w:tblPr>
  </w:style>
  <w:style w:type="table" w:customStyle="1" w:styleId="ab">
    <w:basedOn w:val="TableNormal"/>
    <w:tblPr>
      <w:tblStyleRowBandSize w:val="1"/>
      <w:tblStyleColBandSize w:val="1"/>
      <w:tblCellMar>
        <w:top w:w="28" w:type="dxa"/>
        <w:left w:w="57" w:type="dxa"/>
        <w:bottom w:w="28" w:type="dxa"/>
        <w:right w:w="57"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28" w:type="dxa"/>
        <w:left w:w="57" w:type="dxa"/>
        <w:bottom w:w="28" w:type="dxa"/>
        <w:right w:w="57"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28" w:type="dxa"/>
        <w:left w:w="57" w:type="dxa"/>
        <w:bottom w:w="28" w:type="dxa"/>
        <w:right w:w="57"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6A0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56"/>
    <w:rPr>
      <w:rFonts w:ascii="Tahoma" w:hAnsi="Tahoma" w:cs="Tahoma"/>
      <w:sz w:val="16"/>
      <w:szCs w:val="16"/>
    </w:rPr>
  </w:style>
  <w:style w:type="character" w:styleId="CommentReference">
    <w:name w:val="annotation reference"/>
    <w:basedOn w:val="DefaultParagraphFont"/>
    <w:uiPriority w:val="99"/>
    <w:semiHidden/>
    <w:unhideWhenUsed/>
    <w:rsid w:val="0089544D"/>
    <w:rPr>
      <w:sz w:val="16"/>
      <w:szCs w:val="16"/>
    </w:rPr>
  </w:style>
  <w:style w:type="paragraph" w:styleId="CommentText">
    <w:name w:val="annotation text"/>
    <w:basedOn w:val="Normal"/>
    <w:link w:val="CommentTextChar"/>
    <w:uiPriority w:val="99"/>
    <w:unhideWhenUsed/>
    <w:rsid w:val="0089544D"/>
    <w:pPr>
      <w:spacing w:line="240" w:lineRule="auto"/>
    </w:pPr>
    <w:rPr>
      <w:sz w:val="20"/>
      <w:szCs w:val="20"/>
    </w:rPr>
  </w:style>
  <w:style w:type="character" w:customStyle="1" w:styleId="CommentTextChar">
    <w:name w:val="Comment Text Char"/>
    <w:basedOn w:val="DefaultParagraphFont"/>
    <w:link w:val="CommentText"/>
    <w:uiPriority w:val="99"/>
    <w:rsid w:val="0089544D"/>
    <w:rPr>
      <w:sz w:val="20"/>
      <w:szCs w:val="20"/>
    </w:rPr>
  </w:style>
  <w:style w:type="paragraph" w:styleId="CommentSubject">
    <w:name w:val="annotation subject"/>
    <w:basedOn w:val="CommentText"/>
    <w:next w:val="CommentText"/>
    <w:link w:val="CommentSubjectChar"/>
    <w:uiPriority w:val="99"/>
    <w:semiHidden/>
    <w:unhideWhenUsed/>
    <w:rsid w:val="0089544D"/>
    <w:rPr>
      <w:b/>
      <w:bCs/>
    </w:rPr>
  </w:style>
  <w:style w:type="character" w:customStyle="1" w:styleId="CommentSubjectChar">
    <w:name w:val="Comment Subject Char"/>
    <w:basedOn w:val="CommentTextChar"/>
    <w:link w:val="CommentSubject"/>
    <w:uiPriority w:val="99"/>
    <w:semiHidden/>
    <w:rsid w:val="0089544D"/>
    <w:rPr>
      <w:b/>
      <w:bCs/>
      <w:sz w:val="20"/>
      <w:szCs w:val="20"/>
    </w:rPr>
  </w:style>
  <w:style w:type="paragraph" w:styleId="Header">
    <w:name w:val="header"/>
    <w:basedOn w:val="Normal"/>
    <w:link w:val="HeaderChar"/>
    <w:uiPriority w:val="99"/>
    <w:unhideWhenUsed/>
    <w:rsid w:val="00D71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ECB"/>
  </w:style>
  <w:style w:type="paragraph" w:styleId="Footer">
    <w:name w:val="footer"/>
    <w:basedOn w:val="Normal"/>
    <w:link w:val="FooterChar"/>
    <w:uiPriority w:val="99"/>
    <w:unhideWhenUsed/>
    <w:rsid w:val="00D71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ECB"/>
  </w:style>
  <w:style w:type="paragraph" w:styleId="TOC1">
    <w:name w:val="toc 1"/>
    <w:basedOn w:val="Normal"/>
    <w:next w:val="Normal"/>
    <w:autoRedefine/>
    <w:uiPriority w:val="39"/>
    <w:unhideWhenUsed/>
    <w:rsid w:val="00E948B5"/>
    <w:pPr>
      <w:tabs>
        <w:tab w:val="right" w:leader="dot" w:pos="9628"/>
      </w:tabs>
      <w:spacing w:after="100"/>
    </w:pPr>
    <w:rPr>
      <w:rFonts w:ascii="Arial" w:hAnsi="Arial" w:cs="Arial"/>
      <w:noProof/>
    </w:rPr>
  </w:style>
  <w:style w:type="paragraph" w:styleId="TOC2">
    <w:name w:val="toc 2"/>
    <w:basedOn w:val="Normal"/>
    <w:next w:val="Normal"/>
    <w:autoRedefine/>
    <w:uiPriority w:val="39"/>
    <w:unhideWhenUsed/>
    <w:rsid w:val="004177B1"/>
    <w:pPr>
      <w:spacing w:after="100"/>
      <w:ind w:left="220"/>
    </w:pPr>
  </w:style>
  <w:style w:type="character" w:styleId="Hyperlink">
    <w:name w:val="Hyperlink"/>
    <w:basedOn w:val="DefaultParagraphFont"/>
    <w:uiPriority w:val="99"/>
    <w:unhideWhenUsed/>
    <w:rsid w:val="004177B1"/>
    <w:rPr>
      <w:color w:val="0000FF" w:themeColor="hyperlink"/>
      <w:u w:val="single"/>
    </w:rPr>
  </w:style>
  <w:style w:type="table" w:styleId="TableGrid">
    <w:name w:val="Table Grid"/>
    <w:basedOn w:val="TableNormal"/>
    <w:uiPriority w:val="59"/>
    <w:rsid w:val="00E71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719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719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6">
    <w:name w:val="Light List Accent 6"/>
    <w:basedOn w:val="TableNormal"/>
    <w:uiPriority w:val="61"/>
    <w:rsid w:val="00E7197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noteText">
    <w:name w:val="footnote text"/>
    <w:basedOn w:val="Normal"/>
    <w:link w:val="FootnoteTextChar"/>
    <w:uiPriority w:val="99"/>
    <w:semiHidden/>
    <w:unhideWhenUsed/>
    <w:rsid w:val="00C75FA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C75FA5"/>
    <w:rPr>
      <w:rFonts w:asciiTheme="minorHAnsi" w:eastAsiaTheme="minorHAnsi" w:hAnsiTheme="minorHAnsi" w:cstheme="minorBidi"/>
      <w:color w:val="auto"/>
      <w:sz w:val="20"/>
      <w:szCs w:val="20"/>
      <w:lang w:eastAsia="en-US"/>
    </w:rPr>
  </w:style>
  <w:style w:type="character" w:styleId="FootnoteReference">
    <w:name w:val="footnote reference"/>
    <w:basedOn w:val="DefaultParagraphFont"/>
    <w:uiPriority w:val="99"/>
    <w:semiHidden/>
    <w:unhideWhenUsed/>
    <w:rsid w:val="00C75FA5"/>
    <w:rPr>
      <w:vertAlign w:val="superscript"/>
    </w:rPr>
  </w:style>
  <w:style w:type="character" w:styleId="UnresolvedMention">
    <w:name w:val="Unresolved Mention"/>
    <w:basedOn w:val="DefaultParagraphFont"/>
    <w:uiPriority w:val="99"/>
    <w:semiHidden/>
    <w:unhideWhenUsed/>
    <w:rsid w:val="00C75FA5"/>
    <w:rPr>
      <w:color w:val="605E5C"/>
      <w:shd w:val="clear" w:color="auto" w:fill="E1DFDD"/>
    </w:rPr>
  </w:style>
  <w:style w:type="paragraph" w:styleId="ListParagraph">
    <w:name w:val="List Paragraph"/>
    <w:basedOn w:val="Normal"/>
    <w:uiPriority w:val="34"/>
    <w:qFormat/>
    <w:rsid w:val="00C75FA5"/>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lang w:eastAsia="en-US"/>
    </w:rPr>
  </w:style>
  <w:style w:type="character" w:customStyle="1" w:styleId="Heading7Char">
    <w:name w:val="Heading 7 Char"/>
    <w:basedOn w:val="DefaultParagraphFont"/>
    <w:link w:val="Heading7"/>
    <w:uiPriority w:val="9"/>
    <w:rsid w:val="0066270A"/>
    <w:rPr>
      <w:rFonts w:asciiTheme="majorHAnsi" w:eastAsiaTheme="majorEastAsia" w:hAnsiTheme="majorHAnsi" w:cstheme="majorBidi"/>
      <w:i/>
      <w:iCs/>
      <w:color w:val="243F60" w:themeColor="accent1" w:themeShade="7F"/>
    </w:rPr>
  </w:style>
  <w:style w:type="paragraph" w:styleId="TOCHeading">
    <w:name w:val="TOC Heading"/>
    <w:basedOn w:val="Heading1"/>
    <w:next w:val="Normal"/>
    <w:uiPriority w:val="39"/>
    <w:unhideWhenUsed/>
    <w:qFormat/>
    <w:rsid w:val="0066270A"/>
    <w:p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Bibliography">
    <w:name w:val="Bibliography"/>
    <w:basedOn w:val="Normal"/>
    <w:next w:val="Normal"/>
    <w:uiPriority w:val="37"/>
    <w:semiHidden/>
    <w:unhideWhenUsed/>
    <w:rsid w:val="00242F79"/>
  </w:style>
  <w:style w:type="paragraph" w:styleId="BlockText">
    <w:name w:val="Block Text"/>
    <w:basedOn w:val="Normal"/>
    <w:uiPriority w:val="99"/>
    <w:semiHidden/>
    <w:unhideWhenUsed/>
    <w:rsid w:val="00242F7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42F79"/>
    <w:pPr>
      <w:spacing w:after="120"/>
    </w:pPr>
  </w:style>
  <w:style w:type="character" w:customStyle="1" w:styleId="BodyTextChar">
    <w:name w:val="Body Text Char"/>
    <w:basedOn w:val="DefaultParagraphFont"/>
    <w:link w:val="BodyText"/>
    <w:uiPriority w:val="99"/>
    <w:semiHidden/>
    <w:rsid w:val="00242F79"/>
  </w:style>
  <w:style w:type="paragraph" w:styleId="BodyText2">
    <w:name w:val="Body Text 2"/>
    <w:basedOn w:val="Normal"/>
    <w:link w:val="BodyText2Char"/>
    <w:uiPriority w:val="99"/>
    <w:semiHidden/>
    <w:unhideWhenUsed/>
    <w:rsid w:val="00242F79"/>
    <w:pPr>
      <w:spacing w:after="120" w:line="480" w:lineRule="auto"/>
    </w:pPr>
  </w:style>
  <w:style w:type="character" w:customStyle="1" w:styleId="BodyText2Char">
    <w:name w:val="Body Text 2 Char"/>
    <w:basedOn w:val="DefaultParagraphFont"/>
    <w:link w:val="BodyText2"/>
    <w:uiPriority w:val="99"/>
    <w:semiHidden/>
    <w:rsid w:val="00242F79"/>
  </w:style>
  <w:style w:type="paragraph" w:styleId="BodyText3">
    <w:name w:val="Body Text 3"/>
    <w:basedOn w:val="Normal"/>
    <w:link w:val="BodyText3Char"/>
    <w:uiPriority w:val="99"/>
    <w:semiHidden/>
    <w:unhideWhenUsed/>
    <w:rsid w:val="00242F79"/>
    <w:pPr>
      <w:spacing w:after="120"/>
    </w:pPr>
    <w:rPr>
      <w:sz w:val="16"/>
      <w:szCs w:val="16"/>
    </w:rPr>
  </w:style>
  <w:style w:type="character" w:customStyle="1" w:styleId="BodyText3Char">
    <w:name w:val="Body Text 3 Char"/>
    <w:basedOn w:val="DefaultParagraphFont"/>
    <w:link w:val="BodyText3"/>
    <w:uiPriority w:val="99"/>
    <w:semiHidden/>
    <w:rsid w:val="00242F79"/>
    <w:rPr>
      <w:sz w:val="16"/>
      <w:szCs w:val="16"/>
    </w:rPr>
  </w:style>
  <w:style w:type="paragraph" w:styleId="BodyTextFirstIndent">
    <w:name w:val="Body Text First Indent"/>
    <w:basedOn w:val="BodyText"/>
    <w:link w:val="BodyTextFirstIndentChar"/>
    <w:uiPriority w:val="99"/>
    <w:semiHidden/>
    <w:unhideWhenUsed/>
    <w:rsid w:val="00242F79"/>
    <w:pPr>
      <w:spacing w:after="200"/>
      <w:ind w:firstLine="360"/>
    </w:pPr>
  </w:style>
  <w:style w:type="character" w:customStyle="1" w:styleId="BodyTextFirstIndentChar">
    <w:name w:val="Body Text First Indent Char"/>
    <w:basedOn w:val="BodyTextChar"/>
    <w:link w:val="BodyTextFirstIndent"/>
    <w:uiPriority w:val="99"/>
    <w:semiHidden/>
    <w:rsid w:val="00242F79"/>
  </w:style>
  <w:style w:type="paragraph" w:styleId="BodyTextIndent">
    <w:name w:val="Body Text Indent"/>
    <w:basedOn w:val="Normal"/>
    <w:link w:val="BodyTextIndentChar"/>
    <w:uiPriority w:val="99"/>
    <w:semiHidden/>
    <w:unhideWhenUsed/>
    <w:rsid w:val="00242F79"/>
    <w:pPr>
      <w:spacing w:after="120"/>
      <w:ind w:left="283"/>
    </w:pPr>
  </w:style>
  <w:style w:type="character" w:customStyle="1" w:styleId="BodyTextIndentChar">
    <w:name w:val="Body Text Indent Char"/>
    <w:basedOn w:val="DefaultParagraphFont"/>
    <w:link w:val="BodyTextIndent"/>
    <w:uiPriority w:val="99"/>
    <w:semiHidden/>
    <w:rsid w:val="00242F79"/>
  </w:style>
  <w:style w:type="paragraph" w:styleId="BodyTextFirstIndent2">
    <w:name w:val="Body Text First Indent 2"/>
    <w:basedOn w:val="BodyTextIndent"/>
    <w:link w:val="BodyTextFirstIndent2Char"/>
    <w:uiPriority w:val="99"/>
    <w:semiHidden/>
    <w:unhideWhenUsed/>
    <w:rsid w:val="00242F7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242F79"/>
  </w:style>
  <w:style w:type="paragraph" w:styleId="BodyTextIndent2">
    <w:name w:val="Body Text Indent 2"/>
    <w:basedOn w:val="Normal"/>
    <w:link w:val="BodyTextIndent2Char"/>
    <w:uiPriority w:val="99"/>
    <w:semiHidden/>
    <w:unhideWhenUsed/>
    <w:rsid w:val="00242F79"/>
    <w:pPr>
      <w:spacing w:after="120" w:line="480" w:lineRule="auto"/>
      <w:ind w:left="283"/>
    </w:pPr>
  </w:style>
  <w:style w:type="character" w:customStyle="1" w:styleId="BodyTextIndent2Char">
    <w:name w:val="Body Text Indent 2 Char"/>
    <w:basedOn w:val="DefaultParagraphFont"/>
    <w:link w:val="BodyTextIndent2"/>
    <w:uiPriority w:val="99"/>
    <w:semiHidden/>
    <w:rsid w:val="00242F79"/>
  </w:style>
  <w:style w:type="paragraph" w:styleId="BodyTextIndent3">
    <w:name w:val="Body Text Indent 3"/>
    <w:basedOn w:val="Normal"/>
    <w:link w:val="BodyTextIndent3Char"/>
    <w:uiPriority w:val="99"/>
    <w:semiHidden/>
    <w:unhideWhenUsed/>
    <w:rsid w:val="00242F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42F79"/>
    <w:rPr>
      <w:sz w:val="16"/>
      <w:szCs w:val="16"/>
    </w:rPr>
  </w:style>
  <w:style w:type="paragraph" w:styleId="Caption">
    <w:name w:val="caption"/>
    <w:basedOn w:val="Normal"/>
    <w:next w:val="Normal"/>
    <w:uiPriority w:val="35"/>
    <w:semiHidden/>
    <w:unhideWhenUsed/>
    <w:qFormat/>
    <w:rsid w:val="00242F79"/>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242F79"/>
    <w:pPr>
      <w:spacing w:after="0" w:line="240" w:lineRule="auto"/>
      <w:ind w:left="4252"/>
    </w:pPr>
  </w:style>
  <w:style w:type="character" w:customStyle="1" w:styleId="ClosingChar">
    <w:name w:val="Closing Char"/>
    <w:basedOn w:val="DefaultParagraphFont"/>
    <w:link w:val="Closing"/>
    <w:uiPriority w:val="99"/>
    <w:semiHidden/>
    <w:rsid w:val="00242F79"/>
  </w:style>
  <w:style w:type="paragraph" w:styleId="Date">
    <w:name w:val="Date"/>
    <w:basedOn w:val="Normal"/>
    <w:next w:val="Normal"/>
    <w:link w:val="DateChar"/>
    <w:uiPriority w:val="99"/>
    <w:semiHidden/>
    <w:unhideWhenUsed/>
    <w:rsid w:val="00242F79"/>
  </w:style>
  <w:style w:type="character" w:customStyle="1" w:styleId="DateChar">
    <w:name w:val="Date Char"/>
    <w:basedOn w:val="DefaultParagraphFont"/>
    <w:link w:val="Date"/>
    <w:uiPriority w:val="99"/>
    <w:semiHidden/>
    <w:rsid w:val="00242F79"/>
  </w:style>
  <w:style w:type="paragraph" w:styleId="DocumentMap">
    <w:name w:val="Document Map"/>
    <w:basedOn w:val="Normal"/>
    <w:link w:val="DocumentMapChar"/>
    <w:uiPriority w:val="99"/>
    <w:semiHidden/>
    <w:unhideWhenUsed/>
    <w:rsid w:val="00242F7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42F79"/>
    <w:rPr>
      <w:rFonts w:ascii="Segoe UI" w:hAnsi="Segoe UI" w:cs="Segoe UI"/>
      <w:sz w:val="16"/>
      <w:szCs w:val="16"/>
    </w:rPr>
  </w:style>
  <w:style w:type="paragraph" w:styleId="E-mailSignature">
    <w:name w:val="E-mail Signature"/>
    <w:basedOn w:val="Normal"/>
    <w:link w:val="E-mailSignatureChar"/>
    <w:uiPriority w:val="99"/>
    <w:semiHidden/>
    <w:unhideWhenUsed/>
    <w:rsid w:val="00242F79"/>
    <w:pPr>
      <w:spacing w:after="0" w:line="240" w:lineRule="auto"/>
    </w:pPr>
  </w:style>
  <w:style w:type="character" w:customStyle="1" w:styleId="E-mailSignatureChar">
    <w:name w:val="E-mail Signature Char"/>
    <w:basedOn w:val="DefaultParagraphFont"/>
    <w:link w:val="E-mailSignature"/>
    <w:uiPriority w:val="99"/>
    <w:semiHidden/>
    <w:rsid w:val="00242F79"/>
  </w:style>
  <w:style w:type="paragraph" w:styleId="EndnoteText">
    <w:name w:val="endnote text"/>
    <w:basedOn w:val="Normal"/>
    <w:link w:val="EndnoteTextChar"/>
    <w:uiPriority w:val="99"/>
    <w:semiHidden/>
    <w:unhideWhenUsed/>
    <w:rsid w:val="00242F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2F79"/>
    <w:rPr>
      <w:sz w:val="20"/>
      <w:szCs w:val="20"/>
    </w:rPr>
  </w:style>
  <w:style w:type="paragraph" w:styleId="EnvelopeAddress">
    <w:name w:val="envelope address"/>
    <w:basedOn w:val="Normal"/>
    <w:uiPriority w:val="99"/>
    <w:semiHidden/>
    <w:unhideWhenUsed/>
    <w:rsid w:val="00242F7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42F79"/>
    <w:pPr>
      <w:spacing w:after="0" w:line="240" w:lineRule="auto"/>
    </w:pPr>
    <w:rPr>
      <w:rFonts w:asciiTheme="majorHAnsi" w:eastAsiaTheme="majorEastAsia" w:hAnsiTheme="majorHAnsi" w:cstheme="majorBidi"/>
      <w:sz w:val="20"/>
      <w:szCs w:val="20"/>
    </w:rPr>
  </w:style>
  <w:style w:type="character" w:customStyle="1" w:styleId="Heading8Char">
    <w:name w:val="Heading 8 Char"/>
    <w:basedOn w:val="DefaultParagraphFont"/>
    <w:link w:val="Heading8"/>
    <w:uiPriority w:val="9"/>
    <w:rsid w:val="00242F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2F7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42F79"/>
    <w:pPr>
      <w:spacing w:after="0" w:line="240" w:lineRule="auto"/>
    </w:pPr>
    <w:rPr>
      <w:i/>
      <w:iCs/>
    </w:rPr>
  </w:style>
  <w:style w:type="character" w:customStyle="1" w:styleId="HTMLAddressChar">
    <w:name w:val="HTML Address Char"/>
    <w:basedOn w:val="DefaultParagraphFont"/>
    <w:link w:val="HTMLAddress"/>
    <w:uiPriority w:val="99"/>
    <w:semiHidden/>
    <w:rsid w:val="00242F79"/>
    <w:rPr>
      <w:i/>
      <w:iCs/>
    </w:rPr>
  </w:style>
  <w:style w:type="paragraph" w:styleId="HTMLPreformatted">
    <w:name w:val="HTML Preformatted"/>
    <w:basedOn w:val="Normal"/>
    <w:link w:val="HTMLPreformattedChar"/>
    <w:uiPriority w:val="99"/>
    <w:semiHidden/>
    <w:unhideWhenUsed/>
    <w:rsid w:val="00242F7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2F79"/>
    <w:rPr>
      <w:rFonts w:ascii="Consolas" w:hAnsi="Consolas"/>
      <w:sz w:val="20"/>
      <w:szCs w:val="20"/>
    </w:rPr>
  </w:style>
  <w:style w:type="paragraph" w:styleId="Index1">
    <w:name w:val="index 1"/>
    <w:basedOn w:val="Normal"/>
    <w:next w:val="Normal"/>
    <w:autoRedefine/>
    <w:uiPriority w:val="99"/>
    <w:semiHidden/>
    <w:unhideWhenUsed/>
    <w:rsid w:val="00242F79"/>
    <w:pPr>
      <w:spacing w:after="0" w:line="240" w:lineRule="auto"/>
      <w:ind w:left="220" w:hanging="220"/>
    </w:pPr>
  </w:style>
  <w:style w:type="paragraph" w:styleId="Index2">
    <w:name w:val="index 2"/>
    <w:basedOn w:val="Normal"/>
    <w:next w:val="Normal"/>
    <w:autoRedefine/>
    <w:uiPriority w:val="99"/>
    <w:semiHidden/>
    <w:unhideWhenUsed/>
    <w:rsid w:val="00242F79"/>
    <w:pPr>
      <w:spacing w:after="0" w:line="240" w:lineRule="auto"/>
      <w:ind w:left="440" w:hanging="220"/>
    </w:pPr>
  </w:style>
  <w:style w:type="paragraph" w:styleId="Index3">
    <w:name w:val="index 3"/>
    <w:basedOn w:val="Normal"/>
    <w:next w:val="Normal"/>
    <w:autoRedefine/>
    <w:uiPriority w:val="99"/>
    <w:semiHidden/>
    <w:unhideWhenUsed/>
    <w:rsid w:val="00242F79"/>
    <w:pPr>
      <w:spacing w:after="0" w:line="240" w:lineRule="auto"/>
      <w:ind w:left="660" w:hanging="220"/>
    </w:pPr>
  </w:style>
  <w:style w:type="paragraph" w:styleId="Index4">
    <w:name w:val="index 4"/>
    <w:basedOn w:val="Normal"/>
    <w:next w:val="Normal"/>
    <w:autoRedefine/>
    <w:uiPriority w:val="99"/>
    <w:semiHidden/>
    <w:unhideWhenUsed/>
    <w:rsid w:val="00242F79"/>
    <w:pPr>
      <w:spacing w:after="0" w:line="240" w:lineRule="auto"/>
      <w:ind w:left="880" w:hanging="220"/>
    </w:pPr>
  </w:style>
  <w:style w:type="paragraph" w:styleId="Index5">
    <w:name w:val="index 5"/>
    <w:basedOn w:val="Normal"/>
    <w:next w:val="Normal"/>
    <w:autoRedefine/>
    <w:uiPriority w:val="99"/>
    <w:semiHidden/>
    <w:unhideWhenUsed/>
    <w:rsid w:val="00242F79"/>
    <w:pPr>
      <w:spacing w:after="0" w:line="240" w:lineRule="auto"/>
      <w:ind w:left="1100" w:hanging="220"/>
    </w:pPr>
  </w:style>
  <w:style w:type="paragraph" w:styleId="Index6">
    <w:name w:val="index 6"/>
    <w:basedOn w:val="Normal"/>
    <w:next w:val="Normal"/>
    <w:autoRedefine/>
    <w:uiPriority w:val="99"/>
    <w:semiHidden/>
    <w:unhideWhenUsed/>
    <w:rsid w:val="00242F79"/>
    <w:pPr>
      <w:spacing w:after="0" w:line="240" w:lineRule="auto"/>
      <w:ind w:left="1320" w:hanging="220"/>
    </w:pPr>
  </w:style>
  <w:style w:type="paragraph" w:styleId="Index7">
    <w:name w:val="index 7"/>
    <w:basedOn w:val="Normal"/>
    <w:next w:val="Normal"/>
    <w:autoRedefine/>
    <w:uiPriority w:val="99"/>
    <w:semiHidden/>
    <w:unhideWhenUsed/>
    <w:rsid w:val="00242F79"/>
    <w:pPr>
      <w:spacing w:after="0" w:line="240" w:lineRule="auto"/>
      <w:ind w:left="1540" w:hanging="220"/>
    </w:pPr>
  </w:style>
  <w:style w:type="paragraph" w:styleId="Index8">
    <w:name w:val="index 8"/>
    <w:basedOn w:val="Normal"/>
    <w:next w:val="Normal"/>
    <w:autoRedefine/>
    <w:uiPriority w:val="99"/>
    <w:semiHidden/>
    <w:unhideWhenUsed/>
    <w:rsid w:val="00242F79"/>
    <w:pPr>
      <w:spacing w:after="0" w:line="240" w:lineRule="auto"/>
      <w:ind w:left="1760" w:hanging="220"/>
    </w:pPr>
  </w:style>
  <w:style w:type="paragraph" w:styleId="Index9">
    <w:name w:val="index 9"/>
    <w:basedOn w:val="Normal"/>
    <w:next w:val="Normal"/>
    <w:autoRedefine/>
    <w:uiPriority w:val="99"/>
    <w:semiHidden/>
    <w:unhideWhenUsed/>
    <w:rsid w:val="00242F79"/>
    <w:pPr>
      <w:spacing w:after="0" w:line="240" w:lineRule="auto"/>
      <w:ind w:left="1980" w:hanging="220"/>
    </w:pPr>
  </w:style>
  <w:style w:type="paragraph" w:styleId="IndexHeading">
    <w:name w:val="index heading"/>
    <w:basedOn w:val="Normal"/>
    <w:next w:val="Index1"/>
    <w:uiPriority w:val="99"/>
    <w:semiHidden/>
    <w:unhideWhenUsed/>
    <w:rsid w:val="00242F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42F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42F79"/>
    <w:rPr>
      <w:i/>
      <w:iCs/>
      <w:color w:val="4F81BD" w:themeColor="accent1"/>
    </w:rPr>
  </w:style>
  <w:style w:type="paragraph" w:styleId="List">
    <w:name w:val="List"/>
    <w:basedOn w:val="Normal"/>
    <w:uiPriority w:val="99"/>
    <w:semiHidden/>
    <w:unhideWhenUsed/>
    <w:rsid w:val="00242F79"/>
    <w:pPr>
      <w:ind w:left="283" w:hanging="283"/>
      <w:contextualSpacing/>
    </w:pPr>
  </w:style>
  <w:style w:type="paragraph" w:styleId="List2">
    <w:name w:val="List 2"/>
    <w:basedOn w:val="Normal"/>
    <w:uiPriority w:val="99"/>
    <w:semiHidden/>
    <w:unhideWhenUsed/>
    <w:rsid w:val="00242F79"/>
    <w:pPr>
      <w:ind w:left="566" w:hanging="283"/>
      <w:contextualSpacing/>
    </w:pPr>
  </w:style>
  <w:style w:type="paragraph" w:styleId="List3">
    <w:name w:val="List 3"/>
    <w:basedOn w:val="Normal"/>
    <w:uiPriority w:val="99"/>
    <w:semiHidden/>
    <w:unhideWhenUsed/>
    <w:rsid w:val="00242F79"/>
    <w:pPr>
      <w:ind w:left="849" w:hanging="283"/>
      <w:contextualSpacing/>
    </w:pPr>
  </w:style>
  <w:style w:type="paragraph" w:styleId="List4">
    <w:name w:val="List 4"/>
    <w:basedOn w:val="Normal"/>
    <w:uiPriority w:val="99"/>
    <w:semiHidden/>
    <w:unhideWhenUsed/>
    <w:rsid w:val="00242F79"/>
    <w:pPr>
      <w:ind w:left="1132" w:hanging="283"/>
      <w:contextualSpacing/>
    </w:pPr>
  </w:style>
  <w:style w:type="paragraph" w:styleId="List5">
    <w:name w:val="List 5"/>
    <w:basedOn w:val="Normal"/>
    <w:uiPriority w:val="99"/>
    <w:semiHidden/>
    <w:unhideWhenUsed/>
    <w:rsid w:val="00242F79"/>
    <w:pPr>
      <w:ind w:left="1415" w:hanging="283"/>
      <w:contextualSpacing/>
    </w:pPr>
  </w:style>
  <w:style w:type="paragraph" w:styleId="ListBullet">
    <w:name w:val="List Bullet"/>
    <w:basedOn w:val="Normal"/>
    <w:uiPriority w:val="99"/>
    <w:semiHidden/>
    <w:unhideWhenUsed/>
    <w:rsid w:val="00242F79"/>
    <w:pPr>
      <w:numPr>
        <w:numId w:val="3"/>
      </w:numPr>
      <w:contextualSpacing/>
    </w:pPr>
  </w:style>
  <w:style w:type="paragraph" w:styleId="ListBullet2">
    <w:name w:val="List Bullet 2"/>
    <w:basedOn w:val="Normal"/>
    <w:uiPriority w:val="99"/>
    <w:semiHidden/>
    <w:unhideWhenUsed/>
    <w:rsid w:val="00242F79"/>
    <w:pPr>
      <w:numPr>
        <w:numId w:val="4"/>
      </w:numPr>
      <w:contextualSpacing/>
    </w:pPr>
  </w:style>
  <w:style w:type="paragraph" w:styleId="ListBullet3">
    <w:name w:val="List Bullet 3"/>
    <w:basedOn w:val="Normal"/>
    <w:uiPriority w:val="99"/>
    <w:semiHidden/>
    <w:unhideWhenUsed/>
    <w:rsid w:val="00242F79"/>
    <w:pPr>
      <w:numPr>
        <w:numId w:val="5"/>
      </w:numPr>
      <w:contextualSpacing/>
    </w:pPr>
  </w:style>
  <w:style w:type="paragraph" w:styleId="ListBullet4">
    <w:name w:val="List Bullet 4"/>
    <w:basedOn w:val="Normal"/>
    <w:uiPriority w:val="99"/>
    <w:semiHidden/>
    <w:unhideWhenUsed/>
    <w:rsid w:val="00242F79"/>
    <w:pPr>
      <w:numPr>
        <w:numId w:val="6"/>
      </w:numPr>
      <w:contextualSpacing/>
    </w:pPr>
  </w:style>
  <w:style w:type="paragraph" w:styleId="ListBullet5">
    <w:name w:val="List Bullet 5"/>
    <w:basedOn w:val="Normal"/>
    <w:uiPriority w:val="99"/>
    <w:semiHidden/>
    <w:unhideWhenUsed/>
    <w:rsid w:val="00242F79"/>
    <w:pPr>
      <w:numPr>
        <w:numId w:val="7"/>
      </w:numPr>
      <w:contextualSpacing/>
    </w:pPr>
  </w:style>
  <w:style w:type="paragraph" w:styleId="ListContinue">
    <w:name w:val="List Continue"/>
    <w:basedOn w:val="Normal"/>
    <w:uiPriority w:val="99"/>
    <w:semiHidden/>
    <w:unhideWhenUsed/>
    <w:rsid w:val="00242F79"/>
    <w:pPr>
      <w:spacing w:after="120"/>
      <w:ind w:left="283"/>
      <w:contextualSpacing/>
    </w:pPr>
  </w:style>
  <w:style w:type="paragraph" w:styleId="ListContinue2">
    <w:name w:val="List Continue 2"/>
    <w:basedOn w:val="Normal"/>
    <w:uiPriority w:val="99"/>
    <w:semiHidden/>
    <w:unhideWhenUsed/>
    <w:rsid w:val="00242F79"/>
    <w:pPr>
      <w:spacing w:after="120"/>
      <w:ind w:left="566"/>
      <w:contextualSpacing/>
    </w:pPr>
  </w:style>
  <w:style w:type="paragraph" w:styleId="ListContinue3">
    <w:name w:val="List Continue 3"/>
    <w:basedOn w:val="Normal"/>
    <w:uiPriority w:val="99"/>
    <w:semiHidden/>
    <w:unhideWhenUsed/>
    <w:rsid w:val="00242F79"/>
    <w:pPr>
      <w:spacing w:after="120"/>
      <w:ind w:left="849"/>
      <w:contextualSpacing/>
    </w:pPr>
  </w:style>
  <w:style w:type="paragraph" w:styleId="ListContinue4">
    <w:name w:val="List Continue 4"/>
    <w:basedOn w:val="Normal"/>
    <w:uiPriority w:val="99"/>
    <w:semiHidden/>
    <w:unhideWhenUsed/>
    <w:rsid w:val="00242F79"/>
    <w:pPr>
      <w:spacing w:after="120"/>
      <w:ind w:left="1132"/>
      <w:contextualSpacing/>
    </w:pPr>
  </w:style>
  <w:style w:type="paragraph" w:styleId="ListContinue5">
    <w:name w:val="List Continue 5"/>
    <w:basedOn w:val="Normal"/>
    <w:uiPriority w:val="99"/>
    <w:semiHidden/>
    <w:unhideWhenUsed/>
    <w:rsid w:val="00242F79"/>
    <w:pPr>
      <w:spacing w:after="120"/>
      <w:ind w:left="1415"/>
      <w:contextualSpacing/>
    </w:pPr>
  </w:style>
  <w:style w:type="paragraph" w:styleId="ListNumber">
    <w:name w:val="List Number"/>
    <w:basedOn w:val="Normal"/>
    <w:uiPriority w:val="99"/>
    <w:semiHidden/>
    <w:unhideWhenUsed/>
    <w:rsid w:val="00242F79"/>
    <w:pPr>
      <w:numPr>
        <w:numId w:val="8"/>
      </w:numPr>
      <w:contextualSpacing/>
    </w:pPr>
  </w:style>
  <w:style w:type="paragraph" w:styleId="ListNumber2">
    <w:name w:val="List Number 2"/>
    <w:basedOn w:val="Normal"/>
    <w:uiPriority w:val="99"/>
    <w:semiHidden/>
    <w:unhideWhenUsed/>
    <w:rsid w:val="00242F79"/>
    <w:pPr>
      <w:numPr>
        <w:numId w:val="9"/>
      </w:numPr>
      <w:contextualSpacing/>
    </w:pPr>
  </w:style>
  <w:style w:type="paragraph" w:styleId="ListNumber3">
    <w:name w:val="List Number 3"/>
    <w:basedOn w:val="Normal"/>
    <w:uiPriority w:val="99"/>
    <w:semiHidden/>
    <w:unhideWhenUsed/>
    <w:rsid w:val="00242F79"/>
    <w:pPr>
      <w:numPr>
        <w:numId w:val="10"/>
      </w:numPr>
      <w:contextualSpacing/>
    </w:pPr>
  </w:style>
  <w:style w:type="paragraph" w:styleId="ListNumber4">
    <w:name w:val="List Number 4"/>
    <w:basedOn w:val="Normal"/>
    <w:uiPriority w:val="99"/>
    <w:semiHidden/>
    <w:unhideWhenUsed/>
    <w:rsid w:val="00242F79"/>
    <w:pPr>
      <w:numPr>
        <w:numId w:val="11"/>
      </w:numPr>
      <w:contextualSpacing/>
    </w:pPr>
  </w:style>
  <w:style w:type="paragraph" w:styleId="ListNumber5">
    <w:name w:val="List Number 5"/>
    <w:basedOn w:val="Normal"/>
    <w:uiPriority w:val="99"/>
    <w:semiHidden/>
    <w:unhideWhenUsed/>
    <w:rsid w:val="00242F79"/>
    <w:pPr>
      <w:numPr>
        <w:numId w:val="12"/>
      </w:numPr>
      <w:contextualSpacing/>
    </w:pPr>
  </w:style>
  <w:style w:type="paragraph" w:styleId="MacroText">
    <w:name w:val="macro"/>
    <w:link w:val="MacroTextChar"/>
    <w:uiPriority w:val="99"/>
    <w:semiHidden/>
    <w:unhideWhenUsed/>
    <w:rsid w:val="00242F7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42F79"/>
    <w:rPr>
      <w:rFonts w:ascii="Consolas" w:hAnsi="Consolas"/>
      <w:sz w:val="20"/>
      <w:szCs w:val="20"/>
    </w:rPr>
  </w:style>
  <w:style w:type="paragraph" w:styleId="MessageHeader">
    <w:name w:val="Message Header"/>
    <w:basedOn w:val="Normal"/>
    <w:link w:val="MessageHeaderChar"/>
    <w:uiPriority w:val="99"/>
    <w:semiHidden/>
    <w:unhideWhenUsed/>
    <w:rsid w:val="00242F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42F79"/>
    <w:rPr>
      <w:rFonts w:asciiTheme="majorHAnsi" w:eastAsiaTheme="majorEastAsia" w:hAnsiTheme="majorHAnsi" w:cstheme="majorBidi"/>
      <w:sz w:val="24"/>
      <w:szCs w:val="24"/>
      <w:shd w:val="pct20" w:color="auto" w:fill="auto"/>
    </w:rPr>
  </w:style>
  <w:style w:type="paragraph" w:styleId="NoSpacing">
    <w:name w:val="No Spacing"/>
    <w:uiPriority w:val="1"/>
    <w:qFormat/>
    <w:rsid w:val="00242F79"/>
    <w:pPr>
      <w:spacing w:after="0" w:line="240" w:lineRule="auto"/>
    </w:pPr>
  </w:style>
  <w:style w:type="paragraph" w:styleId="NormalWeb">
    <w:name w:val="Normal (Web)"/>
    <w:basedOn w:val="Normal"/>
    <w:uiPriority w:val="99"/>
    <w:semiHidden/>
    <w:unhideWhenUsed/>
    <w:rsid w:val="00242F79"/>
    <w:rPr>
      <w:rFonts w:ascii="Times New Roman" w:hAnsi="Times New Roman" w:cs="Times New Roman"/>
      <w:sz w:val="24"/>
      <w:szCs w:val="24"/>
    </w:rPr>
  </w:style>
  <w:style w:type="paragraph" w:styleId="NormalIndent">
    <w:name w:val="Normal Indent"/>
    <w:basedOn w:val="Normal"/>
    <w:uiPriority w:val="99"/>
    <w:semiHidden/>
    <w:unhideWhenUsed/>
    <w:rsid w:val="00242F79"/>
    <w:pPr>
      <w:ind w:left="720"/>
    </w:pPr>
  </w:style>
  <w:style w:type="paragraph" w:styleId="NoteHeading">
    <w:name w:val="Note Heading"/>
    <w:basedOn w:val="Normal"/>
    <w:next w:val="Normal"/>
    <w:link w:val="NoteHeadingChar"/>
    <w:uiPriority w:val="99"/>
    <w:semiHidden/>
    <w:unhideWhenUsed/>
    <w:rsid w:val="00242F79"/>
    <w:pPr>
      <w:spacing w:after="0" w:line="240" w:lineRule="auto"/>
    </w:pPr>
  </w:style>
  <w:style w:type="character" w:customStyle="1" w:styleId="NoteHeadingChar">
    <w:name w:val="Note Heading Char"/>
    <w:basedOn w:val="DefaultParagraphFont"/>
    <w:link w:val="NoteHeading"/>
    <w:uiPriority w:val="99"/>
    <w:semiHidden/>
    <w:rsid w:val="00242F79"/>
  </w:style>
  <w:style w:type="paragraph" w:styleId="PlainText">
    <w:name w:val="Plain Text"/>
    <w:basedOn w:val="Normal"/>
    <w:link w:val="PlainTextChar"/>
    <w:uiPriority w:val="99"/>
    <w:semiHidden/>
    <w:unhideWhenUsed/>
    <w:rsid w:val="00242F7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42F79"/>
    <w:rPr>
      <w:rFonts w:ascii="Consolas" w:hAnsi="Consolas"/>
      <w:sz w:val="21"/>
      <w:szCs w:val="21"/>
    </w:rPr>
  </w:style>
  <w:style w:type="paragraph" w:styleId="Quote">
    <w:name w:val="Quote"/>
    <w:basedOn w:val="Normal"/>
    <w:next w:val="Normal"/>
    <w:link w:val="QuoteChar"/>
    <w:uiPriority w:val="29"/>
    <w:qFormat/>
    <w:rsid w:val="00242F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42F79"/>
    <w:rPr>
      <w:i/>
      <w:iCs/>
      <w:color w:val="404040" w:themeColor="text1" w:themeTint="BF"/>
    </w:rPr>
  </w:style>
  <w:style w:type="paragraph" w:styleId="Salutation">
    <w:name w:val="Salutation"/>
    <w:basedOn w:val="Normal"/>
    <w:next w:val="Normal"/>
    <w:link w:val="SalutationChar"/>
    <w:uiPriority w:val="99"/>
    <w:semiHidden/>
    <w:unhideWhenUsed/>
    <w:rsid w:val="00242F79"/>
  </w:style>
  <w:style w:type="character" w:customStyle="1" w:styleId="SalutationChar">
    <w:name w:val="Salutation Char"/>
    <w:basedOn w:val="DefaultParagraphFont"/>
    <w:link w:val="Salutation"/>
    <w:uiPriority w:val="99"/>
    <w:semiHidden/>
    <w:rsid w:val="00242F79"/>
  </w:style>
  <w:style w:type="paragraph" w:styleId="Signature">
    <w:name w:val="Signature"/>
    <w:basedOn w:val="Normal"/>
    <w:link w:val="SignatureChar"/>
    <w:uiPriority w:val="99"/>
    <w:semiHidden/>
    <w:unhideWhenUsed/>
    <w:rsid w:val="00242F79"/>
    <w:pPr>
      <w:spacing w:after="0" w:line="240" w:lineRule="auto"/>
      <w:ind w:left="4252"/>
    </w:pPr>
  </w:style>
  <w:style w:type="character" w:customStyle="1" w:styleId="SignatureChar">
    <w:name w:val="Signature Char"/>
    <w:basedOn w:val="DefaultParagraphFont"/>
    <w:link w:val="Signature"/>
    <w:uiPriority w:val="99"/>
    <w:semiHidden/>
    <w:rsid w:val="00242F79"/>
  </w:style>
  <w:style w:type="paragraph" w:styleId="TableofAuthorities">
    <w:name w:val="table of authorities"/>
    <w:basedOn w:val="Normal"/>
    <w:next w:val="Normal"/>
    <w:uiPriority w:val="99"/>
    <w:semiHidden/>
    <w:unhideWhenUsed/>
    <w:rsid w:val="00242F79"/>
    <w:pPr>
      <w:spacing w:after="0"/>
      <w:ind w:left="220" w:hanging="220"/>
    </w:pPr>
  </w:style>
  <w:style w:type="paragraph" w:styleId="TableofFigures">
    <w:name w:val="table of figures"/>
    <w:basedOn w:val="Normal"/>
    <w:next w:val="Normal"/>
    <w:uiPriority w:val="99"/>
    <w:semiHidden/>
    <w:unhideWhenUsed/>
    <w:rsid w:val="00242F79"/>
    <w:pPr>
      <w:spacing w:after="0"/>
    </w:pPr>
  </w:style>
  <w:style w:type="paragraph" w:styleId="TOAHeading">
    <w:name w:val="toa heading"/>
    <w:basedOn w:val="Normal"/>
    <w:next w:val="Normal"/>
    <w:uiPriority w:val="99"/>
    <w:semiHidden/>
    <w:unhideWhenUsed/>
    <w:rsid w:val="00242F7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242F79"/>
    <w:pPr>
      <w:spacing w:after="100"/>
      <w:ind w:left="440"/>
    </w:pPr>
  </w:style>
  <w:style w:type="paragraph" w:styleId="TOC4">
    <w:name w:val="toc 4"/>
    <w:basedOn w:val="Normal"/>
    <w:next w:val="Normal"/>
    <w:autoRedefine/>
    <w:uiPriority w:val="39"/>
    <w:semiHidden/>
    <w:unhideWhenUsed/>
    <w:rsid w:val="00242F79"/>
    <w:pPr>
      <w:spacing w:after="100"/>
      <w:ind w:left="660"/>
    </w:pPr>
  </w:style>
  <w:style w:type="paragraph" w:styleId="TOC5">
    <w:name w:val="toc 5"/>
    <w:basedOn w:val="Normal"/>
    <w:next w:val="Normal"/>
    <w:autoRedefine/>
    <w:uiPriority w:val="39"/>
    <w:semiHidden/>
    <w:unhideWhenUsed/>
    <w:rsid w:val="00242F79"/>
    <w:pPr>
      <w:spacing w:after="100"/>
      <w:ind w:left="880"/>
    </w:pPr>
  </w:style>
  <w:style w:type="paragraph" w:styleId="TOC6">
    <w:name w:val="toc 6"/>
    <w:basedOn w:val="Normal"/>
    <w:next w:val="Normal"/>
    <w:autoRedefine/>
    <w:uiPriority w:val="39"/>
    <w:semiHidden/>
    <w:unhideWhenUsed/>
    <w:rsid w:val="00242F79"/>
    <w:pPr>
      <w:spacing w:after="100"/>
      <w:ind w:left="1100"/>
    </w:pPr>
  </w:style>
  <w:style w:type="paragraph" w:styleId="TOC7">
    <w:name w:val="toc 7"/>
    <w:basedOn w:val="Normal"/>
    <w:next w:val="Normal"/>
    <w:autoRedefine/>
    <w:uiPriority w:val="39"/>
    <w:semiHidden/>
    <w:unhideWhenUsed/>
    <w:rsid w:val="00242F79"/>
    <w:pPr>
      <w:spacing w:after="100"/>
      <w:ind w:left="1320"/>
    </w:pPr>
  </w:style>
  <w:style w:type="paragraph" w:styleId="TOC8">
    <w:name w:val="toc 8"/>
    <w:basedOn w:val="Normal"/>
    <w:next w:val="Normal"/>
    <w:autoRedefine/>
    <w:uiPriority w:val="39"/>
    <w:semiHidden/>
    <w:unhideWhenUsed/>
    <w:rsid w:val="00242F79"/>
    <w:pPr>
      <w:spacing w:after="100"/>
      <w:ind w:left="1540"/>
    </w:pPr>
  </w:style>
  <w:style w:type="paragraph" w:styleId="TOC9">
    <w:name w:val="toc 9"/>
    <w:basedOn w:val="Normal"/>
    <w:next w:val="Normal"/>
    <w:autoRedefine/>
    <w:uiPriority w:val="39"/>
    <w:semiHidden/>
    <w:unhideWhenUsed/>
    <w:rsid w:val="00242F79"/>
    <w:pPr>
      <w:spacing w:after="100"/>
      <w:ind w:left="1760"/>
    </w:pPr>
  </w:style>
  <w:style w:type="character" w:styleId="FollowedHyperlink">
    <w:name w:val="FollowedHyperlink"/>
    <w:basedOn w:val="DefaultParagraphFont"/>
    <w:uiPriority w:val="99"/>
    <w:semiHidden/>
    <w:unhideWhenUsed/>
    <w:rsid w:val="00805F3C"/>
    <w:rPr>
      <w:color w:val="800080" w:themeColor="followedHyperlink"/>
      <w:u w:val="single"/>
    </w:rPr>
  </w:style>
  <w:style w:type="character" w:styleId="Mention">
    <w:name w:val="Mention"/>
    <w:basedOn w:val="DefaultParagraphFont"/>
    <w:uiPriority w:val="99"/>
    <w:unhideWhenUsed/>
    <w:rsid w:val="00B613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548">
      <w:bodyDiv w:val="1"/>
      <w:marLeft w:val="0"/>
      <w:marRight w:val="0"/>
      <w:marTop w:val="0"/>
      <w:marBottom w:val="0"/>
      <w:divBdr>
        <w:top w:val="none" w:sz="0" w:space="0" w:color="auto"/>
        <w:left w:val="none" w:sz="0" w:space="0" w:color="auto"/>
        <w:bottom w:val="none" w:sz="0" w:space="0" w:color="auto"/>
        <w:right w:val="none" w:sz="0" w:space="0" w:color="auto"/>
      </w:divBdr>
    </w:div>
    <w:div w:id="24060751">
      <w:bodyDiv w:val="1"/>
      <w:marLeft w:val="0"/>
      <w:marRight w:val="0"/>
      <w:marTop w:val="0"/>
      <w:marBottom w:val="0"/>
      <w:divBdr>
        <w:top w:val="none" w:sz="0" w:space="0" w:color="auto"/>
        <w:left w:val="none" w:sz="0" w:space="0" w:color="auto"/>
        <w:bottom w:val="none" w:sz="0" w:space="0" w:color="auto"/>
        <w:right w:val="none" w:sz="0" w:space="0" w:color="auto"/>
      </w:divBdr>
    </w:div>
    <w:div w:id="32392533">
      <w:bodyDiv w:val="1"/>
      <w:marLeft w:val="0"/>
      <w:marRight w:val="0"/>
      <w:marTop w:val="0"/>
      <w:marBottom w:val="0"/>
      <w:divBdr>
        <w:top w:val="none" w:sz="0" w:space="0" w:color="auto"/>
        <w:left w:val="none" w:sz="0" w:space="0" w:color="auto"/>
        <w:bottom w:val="none" w:sz="0" w:space="0" w:color="auto"/>
        <w:right w:val="none" w:sz="0" w:space="0" w:color="auto"/>
      </w:divBdr>
    </w:div>
    <w:div w:id="61300116">
      <w:bodyDiv w:val="1"/>
      <w:marLeft w:val="0"/>
      <w:marRight w:val="0"/>
      <w:marTop w:val="0"/>
      <w:marBottom w:val="0"/>
      <w:divBdr>
        <w:top w:val="none" w:sz="0" w:space="0" w:color="auto"/>
        <w:left w:val="none" w:sz="0" w:space="0" w:color="auto"/>
        <w:bottom w:val="none" w:sz="0" w:space="0" w:color="auto"/>
        <w:right w:val="none" w:sz="0" w:space="0" w:color="auto"/>
      </w:divBdr>
    </w:div>
    <w:div w:id="75247333">
      <w:bodyDiv w:val="1"/>
      <w:marLeft w:val="0"/>
      <w:marRight w:val="0"/>
      <w:marTop w:val="0"/>
      <w:marBottom w:val="0"/>
      <w:divBdr>
        <w:top w:val="none" w:sz="0" w:space="0" w:color="auto"/>
        <w:left w:val="none" w:sz="0" w:space="0" w:color="auto"/>
        <w:bottom w:val="none" w:sz="0" w:space="0" w:color="auto"/>
        <w:right w:val="none" w:sz="0" w:space="0" w:color="auto"/>
      </w:divBdr>
    </w:div>
    <w:div w:id="92895561">
      <w:bodyDiv w:val="1"/>
      <w:marLeft w:val="0"/>
      <w:marRight w:val="0"/>
      <w:marTop w:val="0"/>
      <w:marBottom w:val="0"/>
      <w:divBdr>
        <w:top w:val="none" w:sz="0" w:space="0" w:color="auto"/>
        <w:left w:val="none" w:sz="0" w:space="0" w:color="auto"/>
        <w:bottom w:val="none" w:sz="0" w:space="0" w:color="auto"/>
        <w:right w:val="none" w:sz="0" w:space="0" w:color="auto"/>
      </w:divBdr>
    </w:div>
    <w:div w:id="100347942">
      <w:bodyDiv w:val="1"/>
      <w:marLeft w:val="0"/>
      <w:marRight w:val="0"/>
      <w:marTop w:val="0"/>
      <w:marBottom w:val="0"/>
      <w:divBdr>
        <w:top w:val="none" w:sz="0" w:space="0" w:color="auto"/>
        <w:left w:val="none" w:sz="0" w:space="0" w:color="auto"/>
        <w:bottom w:val="none" w:sz="0" w:space="0" w:color="auto"/>
        <w:right w:val="none" w:sz="0" w:space="0" w:color="auto"/>
      </w:divBdr>
    </w:div>
    <w:div w:id="153254724">
      <w:bodyDiv w:val="1"/>
      <w:marLeft w:val="0"/>
      <w:marRight w:val="0"/>
      <w:marTop w:val="0"/>
      <w:marBottom w:val="0"/>
      <w:divBdr>
        <w:top w:val="none" w:sz="0" w:space="0" w:color="auto"/>
        <w:left w:val="none" w:sz="0" w:space="0" w:color="auto"/>
        <w:bottom w:val="none" w:sz="0" w:space="0" w:color="auto"/>
        <w:right w:val="none" w:sz="0" w:space="0" w:color="auto"/>
      </w:divBdr>
    </w:div>
    <w:div w:id="248540756">
      <w:bodyDiv w:val="1"/>
      <w:marLeft w:val="0"/>
      <w:marRight w:val="0"/>
      <w:marTop w:val="0"/>
      <w:marBottom w:val="0"/>
      <w:divBdr>
        <w:top w:val="none" w:sz="0" w:space="0" w:color="auto"/>
        <w:left w:val="none" w:sz="0" w:space="0" w:color="auto"/>
        <w:bottom w:val="none" w:sz="0" w:space="0" w:color="auto"/>
        <w:right w:val="none" w:sz="0" w:space="0" w:color="auto"/>
      </w:divBdr>
    </w:div>
    <w:div w:id="419567500">
      <w:bodyDiv w:val="1"/>
      <w:marLeft w:val="0"/>
      <w:marRight w:val="0"/>
      <w:marTop w:val="0"/>
      <w:marBottom w:val="0"/>
      <w:divBdr>
        <w:top w:val="none" w:sz="0" w:space="0" w:color="auto"/>
        <w:left w:val="none" w:sz="0" w:space="0" w:color="auto"/>
        <w:bottom w:val="none" w:sz="0" w:space="0" w:color="auto"/>
        <w:right w:val="none" w:sz="0" w:space="0" w:color="auto"/>
      </w:divBdr>
    </w:div>
    <w:div w:id="428624379">
      <w:bodyDiv w:val="1"/>
      <w:marLeft w:val="0"/>
      <w:marRight w:val="0"/>
      <w:marTop w:val="0"/>
      <w:marBottom w:val="0"/>
      <w:divBdr>
        <w:top w:val="none" w:sz="0" w:space="0" w:color="auto"/>
        <w:left w:val="none" w:sz="0" w:space="0" w:color="auto"/>
        <w:bottom w:val="none" w:sz="0" w:space="0" w:color="auto"/>
        <w:right w:val="none" w:sz="0" w:space="0" w:color="auto"/>
      </w:divBdr>
    </w:div>
    <w:div w:id="470752548">
      <w:bodyDiv w:val="1"/>
      <w:marLeft w:val="0"/>
      <w:marRight w:val="0"/>
      <w:marTop w:val="0"/>
      <w:marBottom w:val="0"/>
      <w:divBdr>
        <w:top w:val="none" w:sz="0" w:space="0" w:color="auto"/>
        <w:left w:val="none" w:sz="0" w:space="0" w:color="auto"/>
        <w:bottom w:val="none" w:sz="0" w:space="0" w:color="auto"/>
        <w:right w:val="none" w:sz="0" w:space="0" w:color="auto"/>
      </w:divBdr>
    </w:div>
    <w:div w:id="492717978">
      <w:bodyDiv w:val="1"/>
      <w:marLeft w:val="0"/>
      <w:marRight w:val="0"/>
      <w:marTop w:val="0"/>
      <w:marBottom w:val="0"/>
      <w:divBdr>
        <w:top w:val="none" w:sz="0" w:space="0" w:color="auto"/>
        <w:left w:val="none" w:sz="0" w:space="0" w:color="auto"/>
        <w:bottom w:val="none" w:sz="0" w:space="0" w:color="auto"/>
        <w:right w:val="none" w:sz="0" w:space="0" w:color="auto"/>
      </w:divBdr>
    </w:div>
    <w:div w:id="517433378">
      <w:bodyDiv w:val="1"/>
      <w:marLeft w:val="0"/>
      <w:marRight w:val="0"/>
      <w:marTop w:val="0"/>
      <w:marBottom w:val="0"/>
      <w:divBdr>
        <w:top w:val="none" w:sz="0" w:space="0" w:color="auto"/>
        <w:left w:val="none" w:sz="0" w:space="0" w:color="auto"/>
        <w:bottom w:val="none" w:sz="0" w:space="0" w:color="auto"/>
        <w:right w:val="none" w:sz="0" w:space="0" w:color="auto"/>
      </w:divBdr>
    </w:div>
    <w:div w:id="551505491">
      <w:bodyDiv w:val="1"/>
      <w:marLeft w:val="0"/>
      <w:marRight w:val="0"/>
      <w:marTop w:val="0"/>
      <w:marBottom w:val="0"/>
      <w:divBdr>
        <w:top w:val="none" w:sz="0" w:space="0" w:color="auto"/>
        <w:left w:val="none" w:sz="0" w:space="0" w:color="auto"/>
        <w:bottom w:val="none" w:sz="0" w:space="0" w:color="auto"/>
        <w:right w:val="none" w:sz="0" w:space="0" w:color="auto"/>
      </w:divBdr>
    </w:div>
    <w:div w:id="571161184">
      <w:bodyDiv w:val="1"/>
      <w:marLeft w:val="0"/>
      <w:marRight w:val="0"/>
      <w:marTop w:val="0"/>
      <w:marBottom w:val="0"/>
      <w:divBdr>
        <w:top w:val="none" w:sz="0" w:space="0" w:color="auto"/>
        <w:left w:val="none" w:sz="0" w:space="0" w:color="auto"/>
        <w:bottom w:val="none" w:sz="0" w:space="0" w:color="auto"/>
        <w:right w:val="none" w:sz="0" w:space="0" w:color="auto"/>
      </w:divBdr>
    </w:div>
    <w:div w:id="577324386">
      <w:bodyDiv w:val="1"/>
      <w:marLeft w:val="0"/>
      <w:marRight w:val="0"/>
      <w:marTop w:val="0"/>
      <w:marBottom w:val="0"/>
      <w:divBdr>
        <w:top w:val="none" w:sz="0" w:space="0" w:color="auto"/>
        <w:left w:val="none" w:sz="0" w:space="0" w:color="auto"/>
        <w:bottom w:val="none" w:sz="0" w:space="0" w:color="auto"/>
        <w:right w:val="none" w:sz="0" w:space="0" w:color="auto"/>
      </w:divBdr>
    </w:div>
    <w:div w:id="623854714">
      <w:bodyDiv w:val="1"/>
      <w:marLeft w:val="0"/>
      <w:marRight w:val="0"/>
      <w:marTop w:val="0"/>
      <w:marBottom w:val="0"/>
      <w:divBdr>
        <w:top w:val="none" w:sz="0" w:space="0" w:color="auto"/>
        <w:left w:val="none" w:sz="0" w:space="0" w:color="auto"/>
        <w:bottom w:val="none" w:sz="0" w:space="0" w:color="auto"/>
        <w:right w:val="none" w:sz="0" w:space="0" w:color="auto"/>
      </w:divBdr>
    </w:div>
    <w:div w:id="702247941">
      <w:bodyDiv w:val="1"/>
      <w:marLeft w:val="0"/>
      <w:marRight w:val="0"/>
      <w:marTop w:val="0"/>
      <w:marBottom w:val="0"/>
      <w:divBdr>
        <w:top w:val="none" w:sz="0" w:space="0" w:color="auto"/>
        <w:left w:val="none" w:sz="0" w:space="0" w:color="auto"/>
        <w:bottom w:val="none" w:sz="0" w:space="0" w:color="auto"/>
        <w:right w:val="none" w:sz="0" w:space="0" w:color="auto"/>
      </w:divBdr>
    </w:div>
    <w:div w:id="762534460">
      <w:bodyDiv w:val="1"/>
      <w:marLeft w:val="0"/>
      <w:marRight w:val="0"/>
      <w:marTop w:val="0"/>
      <w:marBottom w:val="0"/>
      <w:divBdr>
        <w:top w:val="none" w:sz="0" w:space="0" w:color="auto"/>
        <w:left w:val="none" w:sz="0" w:space="0" w:color="auto"/>
        <w:bottom w:val="none" w:sz="0" w:space="0" w:color="auto"/>
        <w:right w:val="none" w:sz="0" w:space="0" w:color="auto"/>
      </w:divBdr>
    </w:div>
    <w:div w:id="851990752">
      <w:bodyDiv w:val="1"/>
      <w:marLeft w:val="0"/>
      <w:marRight w:val="0"/>
      <w:marTop w:val="0"/>
      <w:marBottom w:val="0"/>
      <w:divBdr>
        <w:top w:val="none" w:sz="0" w:space="0" w:color="auto"/>
        <w:left w:val="none" w:sz="0" w:space="0" w:color="auto"/>
        <w:bottom w:val="none" w:sz="0" w:space="0" w:color="auto"/>
        <w:right w:val="none" w:sz="0" w:space="0" w:color="auto"/>
      </w:divBdr>
    </w:div>
    <w:div w:id="872881157">
      <w:bodyDiv w:val="1"/>
      <w:marLeft w:val="0"/>
      <w:marRight w:val="0"/>
      <w:marTop w:val="0"/>
      <w:marBottom w:val="0"/>
      <w:divBdr>
        <w:top w:val="none" w:sz="0" w:space="0" w:color="auto"/>
        <w:left w:val="none" w:sz="0" w:space="0" w:color="auto"/>
        <w:bottom w:val="none" w:sz="0" w:space="0" w:color="auto"/>
        <w:right w:val="none" w:sz="0" w:space="0" w:color="auto"/>
      </w:divBdr>
    </w:div>
    <w:div w:id="888691353">
      <w:bodyDiv w:val="1"/>
      <w:marLeft w:val="0"/>
      <w:marRight w:val="0"/>
      <w:marTop w:val="0"/>
      <w:marBottom w:val="0"/>
      <w:divBdr>
        <w:top w:val="none" w:sz="0" w:space="0" w:color="auto"/>
        <w:left w:val="none" w:sz="0" w:space="0" w:color="auto"/>
        <w:bottom w:val="none" w:sz="0" w:space="0" w:color="auto"/>
        <w:right w:val="none" w:sz="0" w:space="0" w:color="auto"/>
      </w:divBdr>
    </w:div>
    <w:div w:id="949123990">
      <w:bodyDiv w:val="1"/>
      <w:marLeft w:val="0"/>
      <w:marRight w:val="0"/>
      <w:marTop w:val="0"/>
      <w:marBottom w:val="0"/>
      <w:divBdr>
        <w:top w:val="none" w:sz="0" w:space="0" w:color="auto"/>
        <w:left w:val="none" w:sz="0" w:space="0" w:color="auto"/>
        <w:bottom w:val="none" w:sz="0" w:space="0" w:color="auto"/>
        <w:right w:val="none" w:sz="0" w:space="0" w:color="auto"/>
      </w:divBdr>
    </w:div>
    <w:div w:id="992757103">
      <w:bodyDiv w:val="1"/>
      <w:marLeft w:val="0"/>
      <w:marRight w:val="0"/>
      <w:marTop w:val="0"/>
      <w:marBottom w:val="0"/>
      <w:divBdr>
        <w:top w:val="none" w:sz="0" w:space="0" w:color="auto"/>
        <w:left w:val="none" w:sz="0" w:space="0" w:color="auto"/>
        <w:bottom w:val="none" w:sz="0" w:space="0" w:color="auto"/>
        <w:right w:val="none" w:sz="0" w:space="0" w:color="auto"/>
      </w:divBdr>
    </w:div>
    <w:div w:id="1058935177">
      <w:bodyDiv w:val="1"/>
      <w:marLeft w:val="0"/>
      <w:marRight w:val="0"/>
      <w:marTop w:val="0"/>
      <w:marBottom w:val="0"/>
      <w:divBdr>
        <w:top w:val="none" w:sz="0" w:space="0" w:color="auto"/>
        <w:left w:val="none" w:sz="0" w:space="0" w:color="auto"/>
        <w:bottom w:val="none" w:sz="0" w:space="0" w:color="auto"/>
        <w:right w:val="none" w:sz="0" w:space="0" w:color="auto"/>
      </w:divBdr>
    </w:div>
    <w:div w:id="1079138837">
      <w:bodyDiv w:val="1"/>
      <w:marLeft w:val="0"/>
      <w:marRight w:val="0"/>
      <w:marTop w:val="0"/>
      <w:marBottom w:val="0"/>
      <w:divBdr>
        <w:top w:val="none" w:sz="0" w:space="0" w:color="auto"/>
        <w:left w:val="none" w:sz="0" w:space="0" w:color="auto"/>
        <w:bottom w:val="none" w:sz="0" w:space="0" w:color="auto"/>
        <w:right w:val="none" w:sz="0" w:space="0" w:color="auto"/>
      </w:divBdr>
    </w:div>
    <w:div w:id="1090392392">
      <w:bodyDiv w:val="1"/>
      <w:marLeft w:val="0"/>
      <w:marRight w:val="0"/>
      <w:marTop w:val="0"/>
      <w:marBottom w:val="0"/>
      <w:divBdr>
        <w:top w:val="none" w:sz="0" w:space="0" w:color="auto"/>
        <w:left w:val="none" w:sz="0" w:space="0" w:color="auto"/>
        <w:bottom w:val="none" w:sz="0" w:space="0" w:color="auto"/>
        <w:right w:val="none" w:sz="0" w:space="0" w:color="auto"/>
      </w:divBdr>
    </w:div>
    <w:div w:id="1267618852">
      <w:bodyDiv w:val="1"/>
      <w:marLeft w:val="0"/>
      <w:marRight w:val="0"/>
      <w:marTop w:val="0"/>
      <w:marBottom w:val="0"/>
      <w:divBdr>
        <w:top w:val="none" w:sz="0" w:space="0" w:color="auto"/>
        <w:left w:val="none" w:sz="0" w:space="0" w:color="auto"/>
        <w:bottom w:val="none" w:sz="0" w:space="0" w:color="auto"/>
        <w:right w:val="none" w:sz="0" w:space="0" w:color="auto"/>
      </w:divBdr>
      <w:divsChild>
        <w:div w:id="1951012875">
          <w:marLeft w:val="0"/>
          <w:marRight w:val="0"/>
          <w:marTop w:val="0"/>
          <w:marBottom w:val="0"/>
          <w:divBdr>
            <w:top w:val="none" w:sz="0" w:space="0" w:color="auto"/>
            <w:left w:val="none" w:sz="0" w:space="0" w:color="auto"/>
            <w:bottom w:val="none" w:sz="0" w:space="0" w:color="auto"/>
            <w:right w:val="none" w:sz="0" w:space="0" w:color="auto"/>
          </w:divBdr>
        </w:div>
      </w:divsChild>
    </w:div>
    <w:div w:id="1311518823">
      <w:bodyDiv w:val="1"/>
      <w:marLeft w:val="0"/>
      <w:marRight w:val="0"/>
      <w:marTop w:val="0"/>
      <w:marBottom w:val="0"/>
      <w:divBdr>
        <w:top w:val="none" w:sz="0" w:space="0" w:color="auto"/>
        <w:left w:val="none" w:sz="0" w:space="0" w:color="auto"/>
        <w:bottom w:val="none" w:sz="0" w:space="0" w:color="auto"/>
        <w:right w:val="none" w:sz="0" w:space="0" w:color="auto"/>
      </w:divBdr>
    </w:div>
    <w:div w:id="1321687903">
      <w:bodyDiv w:val="1"/>
      <w:marLeft w:val="0"/>
      <w:marRight w:val="0"/>
      <w:marTop w:val="0"/>
      <w:marBottom w:val="0"/>
      <w:divBdr>
        <w:top w:val="none" w:sz="0" w:space="0" w:color="auto"/>
        <w:left w:val="none" w:sz="0" w:space="0" w:color="auto"/>
        <w:bottom w:val="none" w:sz="0" w:space="0" w:color="auto"/>
        <w:right w:val="none" w:sz="0" w:space="0" w:color="auto"/>
      </w:divBdr>
    </w:div>
    <w:div w:id="1371490691">
      <w:bodyDiv w:val="1"/>
      <w:marLeft w:val="0"/>
      <w:marRight w:val="0"/>
      <w:marTop w:val="0"/>
      <w:marBottom w:val="0"/>
      <w:divBdr>
        <w:top w:val="none" w:sz="0" w:space="0" w:color="auto"/>
        <w:left w:val="none" w:sz="0" w:space="0" w:color="auto"/>
        <w:bottom w:val="none" w:sz="0" w:space="0" w:color="auto"/>
        <w:right w:val="none" w:sz="0" w:space="0" w:color="auto"/>
      </w:divBdr>
    </w:div>
    <w:div w:id="1405224062">
      <w:bodyDiv w:val="1"/>
      <w:marLeft w:val="0"/>
      <w:marRight w:val="0"/>
      <w:marTop w:val="0"/>
      <w:marBottom w:val="0"/>
      <w:divBdr>
        <w:top w:val="none" w:sz="0" w:space="0" w:color="auto"/>
        <w:left w:val="none" w:sz="0" w:space="0" w:color="auto"/>
        <w:bottom w:val="none" w:sz="0" w:space="0" w:color="auto"/>
        <w:right w:val="none" w:sz="0" w:space="0" w:color="auto"/>
      </w:divBdr>
    </w:div>
    <w:div w:id="1410663111">
      <w:bodyDiv w:val="1"/>
      <w:marLeft w:val="0"/>
      <w:marRight w:val="0"/>
      <w:marTop w:val="0"/>
      <w:marBottom w:val="0"/>
      <w:divBdr>
        <w:top w:val="none" w:sz="0" w:space="0" w:color="auto"/>
        <w:left w:val="none" w:sz="0" w:space="0" w:color="auto"/>
        <w:bottom w:val="none" w:sz="0" w:space="0" w:color="auto"/>
        <w:right w:val="none" w:sz="0" w:space="0" w:color="auto"/>
      </w:divBdr>
    </w:div>
    <w:div w:id="1499806477">
      <w:bodyDiv w:val="1"/>
      <w:marLeft w:val="0"/>
      <w:marRight w:val="0"/>
      <w:marTop w:val="0"/>
      <w:marBottom w:val="0"/>
      <w:divBdr>
        <w:top w:val="none" w:sz="0" w:space="0" w:color="auto"/>
        <w:left w:val="none" w:sz="0" w:space="0" w:color="auto"/>
        <w:bottom w:val="none" w:sz="0" w:space="0" w:color="auto"/>
        <w:right w:val="none" w:sz="0" w:space="0" w:color="auto"/>
      </w:divBdr>
    </w:div>
    <w:div w:id="1532767065">
      <w:bodyDiv w:val="1"/>
      <w:marLeft w:val="0"/>
      <w:marRight w:val="0"/>
      <w:marTop w:val="0"/>
      <w:marBottom w:val="0"/>
      <w:divBdr>
        <w:top w:val="none" w:sz="0" w:space="0" w:color="auto"/>
        <w:left w:val="none" w:sz="0" w:space="0" w:color="auto"/>
        <w:bottom w:val="none" w:sz="0" w:space="0" w:color="auto"/>
        <w:right w:val="none" w:sz="0" w:space="0" w:color="auto"/>
      </w:divBdr>
    </w:div>
    <w:div w:id="1550914537">
      <w:bodyDiv w:val="1"/>
      <w:marLeft w:val="0"/>
      <w:marRight w:val="0"/>
      <w:marTop w:val="0"/>
      <w:marBottom w:val="0"/>
      <w:divBdr>
        <w:top w:val="none" w:sz="0" w:space="0" w:color="auto"/>
        <w:left w:val="none" w:sz="0" w:space="0" w:color="auto"/>
        <w:bottom w:val="none" w:sz="0" w:space="0" w:color="auto"/>
        <w:right w:val="none" w:sz="0" w:space="0" w:color="auto"/>
      </w:divBdr>
    </w:div>
    <w:div w:id="1653634767">
      <w:bodyDiv w:val="1"/>
      <w:marLeft w:val="0"/>
      <w:marRight w:val="0"/>
      <w:marTop w:val="0"/>
      <w:marBottom w:val="0"/>
      <w:divBdr>
        <w:top w:val="none" w:sz="0" w:space="0" w:color="auto"/>
        <w:left w:val="none" w:sz="0" w:space="0" w:color="auto"/>
        <w:bottom w:val="none" w:sz="0" w:space="0" w:color="auto"/>
        <w:right w:val="none" w:sz="0" w:space="0" w:color="auto"/>
      </w:divBdr>
    </w:div>
    <w:div w:id="1745949363">
      <w:bodyDiv w:val="1"/>
      <w:marLeft w:val="0"/>
      <w:marRight w:val="0"/>
      <w:marTop w:val="0"/>
      <w:marBottom w:val="0"/>
      <w:divBdr>
        <w:top w:val="none" w:sz="0" w:space="0" w:color="auto"/>
        <w:left w:val="none" w:sz="0" w:space="0" w:color="auto"/>
        <w:bottom w:val="none" w:sz="0" w:space="0" w:color="auto"/>
        <w:right w:val="none" w:sz="0" w:space="0" w:color="auto"/>
      </w:divBdr>
    </w:div>
    <w:div w:id="1916086549">
      <w:bodyDiv w:val="1"/>
      <w:marLeft w:val="0"/>
      <w:marRight w:val="0"/>
      <w:marTop w:val="0"/>
      <w:marBottom w:val="0"/>
      <w:divBdr>
        <w:top w:val="none" w:sz="0" w:space="0" w:color="auto"/>
        <w:left w:val="none" w:sz="0" w:space="0" w:color="auto"/>
        <w:bottom w:val="none" w:sz="0" w:space="0" w:color="auto"/>
        <w:right w:val="none" w:sz="0" w:space="0" w:color="auto"/>
      </w:divBdr>
    </w:div>
    <w:div w:id="1975285326">
      <w:bodyDiv w:val="1"/>
      <w:marLeft w:val="0"/>
      <w:marRight w:val="0"/>
      <w:marTop w:val="0"/>
      <w:marBottom w:val="0"/>
      <w:divBdr>
        <w:top w:val="none" w:sz="0" w:space="0" w:color="auto"/>
        <w:left w:val="none" w:sz="0" w:space="0" w:color="auto"/>
        <w:bottom w:val="none" w:sz="0" w:space="0" w:color="auto"/>
        <w:right w:val="none" w:sz="0" w:space="0" w:color="auto"/>
      </w:divBdr>
    </w:div>
    <w:div w:id="2032106687">
      <w:bodyDiv w:val="1"/>
      <w:marLeft w:val="0"/>
      <w:marRight w:val="0"/>
      <w:marTop w:val="0"/>
      <w:marBottom w:val="0"/>
      <w:divBdr>
        <w:top w:val="none" w:sz="0" w:space="0" w:color="auto"/>
        <w:left w:val="none" w:sz="0" w:space="0" w:color="auto"/>
        <w:bottom w:val="none" w:sz="0" w:space="0" w:color="auto"/>
        <w:right w:val="none" w:sz="0" w:space="0" w:color="auto"/>
      </w:divBdr>
    </w:div>
    <w:div w:id="2037005185">
      <w:bodyDiv w:val="1"/>
      <w:marLeft w:val="0"/>
      <w:marRight w:val="0"/>
      <w:marTop w:val="0"/>
      <w:marBottom w:val="0"/>
      <w:divBdr>
        <w:top w:val="none" w:sz="0" w:space="0" w:color="auto"/>
        <w:left w:val="none" w:sz="0" w:space="0" w:color="auto"/>
        <w:bottom w:val="none" w:sz="0" w:space="0" w:color="auto"/>
        <w:right w:val="none" w:sz="0" w:space="0" w:color="auto"/>
      </w:divBdr>
    </w:div>
    <w:div w:id="2068339374">
      <w:bodyDiv w:val="1"/>
      <w:marLeft w:val="0"/>
      <w:marRight w:val="0"/>
      <w:marTop w:val="0"/>
      <w:marBottom w:val="0"/>
      <w:divBdr>
        <w:top w:val="none" w:sz="0" w:space="0" w:color="auto"/>
        <w:left w:val="none" w:sz="0" w:space="0" w:color="auto"/>
        <w:bottom w:val="none" w:sz="0" w:space="0" w:color="auto"/>
        <w:right w:val="none" w:sz="0" w:space="0" w:color="auto"/>
      </w:divBdr>
    </w:div>
    <w:div w:id="2120490952">
      <w:bodyDiv w:val="1"/>
      <w:marLeft w:val="0"/>
      <w:marRight w:val="0"/>
      <w:marTop w:val="0"/>
      <w:marBottom w:val="0"/>
      <w:divBdr>
        <w:top w:val="none" w:sz="0" w:space="0" w:color="auto"/>
        <w:left w:val="none" w:sz="0" w:space="0" w:color="auto"/>
        <w:bottom w:val="none" w:sz="0" w:space="0" w:color="auto"/>
        <w:right w:val="none" w:sz="0" w:space="0" w:color="auto"/>
      </w:divBdr>
    </w:div>
    <w:div w:id="2127652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ublication/community-pharmacy-advanced-service-specification-nhs-pharmacy-first-service/" TargetMode="External"/><Relationship Id="rId18" Type="http://schemas.openxmlformats.org/officeDocument/2006/relationships/hyperlink" Target="https://www.england.nhs.uk/publication/community-pharmacy-advanced-service-specification-nhs-pharmacy-first-service/" TargetMode="External"/><Relationship Id="rId26" Type="http://schemas.openxmlformats.org/officeDocument/2006/relationships/hyperlink" Target="https://www.england.nhs.uk/wp-content/uploads/2023/11/PRN01010-1a.-Urinary-tract-infection-nitrofurantoin-patient-group-direction-Pharmacy-First.pdf" TargetMode="External"/><Relationship Id="rId3" Type="http://schemas.openxmlformats.org/officeDocument/2006/relationships/customXml" Target="../customXml/item3.xml"/><Relationship Id="rId21" Type="http://schemas.openxmlformats.org/officeDocument/2006/relationships/hyperlink" Target="https://www.england.nhs.uk/publication/community-pharmacy-advanced-service-specification-nhs-pharmacy-first-service/" TargetMode="External"/><Relationship Id="rId7" Type="http://schemas.openxmlformats.org/officeDocument/2006/relationships/settings" Target="settings.xml"/><Relationship Id="rId12" Type="http://schemas.openxmlformats.org/officeDocument/2006/relationships/hyperlink" Target="https://www.england.nhs.uk/primary-care/pharmacy/pharmacy-services/pharmacy-first/" TargetMode="External"/><Relationship Id="rId17" Type="http://schemas.openxmlformats.org/officeDocument/2006/relationships/hyperlink" Target="mailto:DataServicesSupport@nhsbsa.nhs.uk" TargetMode="External"/><Relationship Id="rId25" Type="http://schemas.openxmlformats.org/officeDocument/2006/relationships/image" Target="cid:image006.png@01DAD1F0.738FC890" TargetMode="External"/><Relationship Id="rId2" Type="http://schemas.openxmlformats.org/officeDocument/2006/relationships/customXml" Target="../customXml/item2.xml"/><Relationship Id="rId16" Type="http://schemas.openxmlformats.org/officeDocument/2006/relationships/hyperlink" Target="https://www.england.nhs.uk/publication/community-pharmacy-advanced-service-specification-nhs-pharmacy-first-service/" TargetMode="External"/><Relationship Id="rId20" Type="http://schemas.openxmlformats.org/officeDocument/2006/relationships/hyperlink" Target="https://www.england.nhs.uk/publication/community-pharmacy-advanced-service-specification-nhs-pharmacy-first-servi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uk-5-year-action-plan-for-antimicrobial-resistance-2024-to-2029" TargetMode="External"/><Relationship Id="rId24" Type="http://schemas.openxmlformats.org/officeDocument/2006/relationships/image" Target="media/image2.png"/><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hyperlink" Target="https://www.england.nhs.uk/publication/community-pharmacy-advanced-service-specification-nhs-pharmacy-first-servic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gland.nhs.uk/publication/community-pharmacy-advanced-service-specification-nhs-pharmacy-first-servi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ngland.nhs.uk/publication/community-pharmacy-advanced-service-specification-nhs-pharmacy-first-servic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23" ma:contentTypeDescription="Create a new document." ma:contentTypeScope="" ma:versionID="cc14768faa940ca74fc582a27ed0d4fb">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5b5f3a75e9060a708cec84035c704085"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b86cd2-d370-4f57-9db8-681c4fb37596">
      <Terms xmlns="http://schemas.microsoft.com/office/infopath/2007/PartnerControls"/>
    </lcf76f155ced4ddcb4097134ff3c332f>
    <_ip_UnifiedCompliancePolicyProperties xmlns="http://schemas.microsoft.com/sharepoint/v3" xsi:nil="true"/>
    <TaxCatchAll xmlns="2799d30d-6731-4efe-ac9b-c4895a8828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185AC-9084-4B1B-9590-192A6746FA87}">
  <ds:schemaRefs>
    <ds:schemaRef ds:uri="http://schemas.openxmlformats.org/officeDocument/2006/bibliography"/>
  </ds:schemaRefs>
</ds:datastoreItem>
</file>

<file path=customXml/itemProps2.xml><?xml version="1.0" encoding="utf-8"?>
<ds:datastoreItem xmlns:ds="http://schemas.openxmlformats.org/officeDocument/2006/customXml" ds:itemID="{1F2ADD7F-9265-468F-BADD-9C2D64533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30597-6724-43F7-9DAA-E6FE5FBC5477}">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91b86cd2-d370-4f57-9db8-681c4fb37596"/>
    <ds:schemaRef ds:uri="2799d30d-6731-4efe-ac9b-c4895a8828d9"/>
    <ds:schemaRef ds:uri="http://purl.org/dc/terms/"/>
    <ds:schemaRef ds:uri="http://schemas.microsoft.com/office/infopath/2007/PartnerControls"/>
    <ds:schemaRef ds:uri="563bd847-283f-48dc-9444-f54c9e765c55"/>
    <ds:schemaRef ds:uri="http://schemas.microsoft.com/sharepoint/v3"/>
    <ds:schemaRef ds:uri="http://www.w3.org/XML/1998/namespace"/>
    <ds:schemaRef ds:uri="http://purl.org/dc/elements/1.1/"/>
  </ds:schemaRefs>
</ds:datastoreItem>
</file>

<file path=customXml/itemProps4.xml><?xml version="1.0" encoding="utf-8"?>
<ds:datastoreItem xmlns:ds="http://schemas.openxmlformats.org/officeDocument/2006/customXml" ds:itemID="{483FCAD0-7C46-4227-8FFD-E4B775EE07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11058</Words>
  <Characters>63036</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Antimicrobial Stewardship UTI dashboard</vt:lpstr>
    </vt:vector>
  </TitlesOfParts>
  <Company>NHSBSA</Company>
  <LinksUpToDate>false</LinksUpToDate>
  <CharactersWithSpaces>73947</CharactersWithSpaces>
  <SharedDoc>false</SharedDoc>
  <HLinks>
    <vt:vector size="378" baseType="variant">
      <vt:variant>
        <vt:i4>4391001</vt:i4>
      </vt:variant>
      <vt:variant>
        <vt:i4>294</vt:i4>
      </vt:variant>
      <vt:variant>
        <vt:i4>0</vt:i4>
      </vt:variant>
      <vt:variant>
        <vt:i4>5</vt:i4>
      </vt:variant>
      <vt:variant>
        <vt:lpwstr>https://www.england.nhs.uk/wp-content/uploads/2023/11/PRN01010-1a.-Urinary-tract-infection-nitrofurantoin-patient-group-direction-Pharmacy-First.pdf</vt:lpwstr>
      </vt:variant>
      <vt:variant>
        <vt:lpwstr/>
      </vt:variant>
      <vt:variant>
        <vt:i4>3407873</vt:i4>
      </vt:variant>
      <vt:variant>
        <vt:i4>291</vt:i4>
      </vt:variant>
      <vt:variant>
        <vt:i4>0</vt:i4>
      </vt:variant>
      <vt:variant>
        <vt:i4>5</vt:i4>
      </vt:variant>
      <vt:variant>
        <vt:lpwstr/>
      </vt:variant>
      <vt:variant>
        <vt:lpwstr>_Variation_in_nitrofurantoin</vt:lpwstr>
      </vt:variant>
      <vt:variant>
        <vt:i4>720964</vt:i4>
      </vt:variant>
      <vt:variant>
        <vt:i4>288</vt:i4>
      </vt:variant>
      <vt:variant>
        <vt:i4>0</vt:i4>
      </vt:variant>
      <vt:variant>
        <vt:i4>5</vt:i4>
      </vt:variant>
      <vt:variant>
        <vt:lpwstr/>
      </vt:variant>
      <vt:variant>
        <vt:lpwstr>_Incorrect_categorisation_of_1</vt:lpwstr>
      </vt:variant>
      <vt:variant>
        <vt:i4>5963807</vt:i4>
      </vt:variant>
      <vt:variant>
        <vt:i4>285</vt:i4>
      </vt:variant>
      <vt:variant>
        <vt:i4>0</vt:i4>
      </vt:variant>
      <vt:variant>
        <vt:i4>5</vt:i4>
      </vt:variant>
      <vt:variant>
        <vt:lpwstr>https://www.england.nhs.uk/publication/community-pharmacy-advanced-service-specification-nhs-pharmacy-first-service/</vt:lpwstr>
      </vt:variant>
      <vt:variant>
        <vt:lpwstr/>
      </vt:variant>
      <vt:variant>
        <vt:i4>3342428</vt:i4>
      </vt:variant>
      <vt:variant>
        <vt:i4>282</vt:i4>
      </vt:variant>
      <vt:variant>
        <vt:i4>0</vt:i4>
      </vt:variant>
      <vt:variant>
        <vt:i4>5</vt:i4>
      </vt:variant>
      <vt:variant>
        <vt:lpwstr/>
      </vt:variant>
      <vt:variant>
        <vt:lpwstr>_Comparator:_Pathway_by</vt:lpwstr>
      </vt:variant>
      <vt:variant>
        <vt:i4>393318</vt:i4>
      </vt:variant>
      <vt:variant>
        <vt:i4>279</vt:i4>
      </vt:variant>
      <vt:variant>
        <vt:i4>0</vt:i4>
      </vt:variant>
      <vt:variant>
        <vt:i4>5</vt:i4>
      </vt:variant>
      <vt:variant>
        <vt:lpwstr/>
      </vt:variant>
      <vt:variant>
        <vt:lpwstr>_Comparator:_Population_Access</vt:lpwstr>
      </vt:variant>
      <vt:variant>
        <vt:i4>3276807</vt:i4>
      </vt:variant>
      <vt:variant>
        <vt:i4>276</vt:i4>
      </vt:variant>
      <vt:variant>
        <vt:i4>0</vt:i4>
      </vt:variant>
      <vt:variant>
        <vt:i4>5</vt:i4>
      </vt:variant>
      <vt:variant>
        <vt:lpwstr/>
      </vt:variant>
      <vt:variant>
        <vt:lpwstr>_Variation_in_Nitrofurantion</vt:lpwstr>
      </vt:variant>
      <vt:variant>
        <vt:i4>8061026</vt:i4>
      </vt:variant>
      <vt:variant>
        <vt:i4>273</vt:i4>
      </vt:variant>
      <vt:variant>
        <vt:i4>0</vt:i4>
      </vt:variant>
      <vt:variant>
        <vt:i4>5</vt:i4>
      </vt:variant>
      <vt:variant>
        <vt:lpwstr/>
      </vt:variant>
      <vt:variant>
        <vt:lpwstr>_Age_bands</vt:lpwstr>
      </vt:variant>
      <vt:variant>
        <vt:i4>5963807</vt:i4>
      </vt:variant>
      <vt:variant>
        <vt:i4>270</vt:i4>
      </vt:variant>
      <vt:variant>
        <vt:i4>0</vt:i4>
      </vt:variant>
      <vt:variant>
        <vt:i4>5</vt:i4>
      </vt:variant>
      <vt:variant>
        <vt:lpwstr>https://www.england.nhs.uk/publication/community-pharmacy-advanced-service-specification-nhs-pharmacy-first-service/</vt:lpwstr>
      </vt:variant>
      <vt:variant>
        <vt:lpwstr/>
      </vt:variant>
      <vt:variant>
        <vt:i4>8061026</vt:i4>
      </vt:variant>
      <vt:variant>
        <vt:i4>267</vt:i4>
      </vt:variant>
      <vt:variant>
        <vt:i4>0</vt:i4>
      </vt:variant>
      <vt:variant>
        <vt:i4>5</vt:i4>
      </vt:variant>
      <vt:variant>
        <vt:lpwstr/>
      </vt:variant>
      <vt:variant>
        <vt:lpwstr>_Age_bands</vt:lpwstr>
      </vt:variant>
      <vt:variant>
        <vt:i4>5963807</vt:i4>
      </vt:variant>
      <vt:variant>
        <vt:i4>264</vt:i4>
      </vt:variant>
      <vt:variant>
        <vt:i4>0</vt:i4>
      </vt:variant>
      <vt:variant>
        <vt:i4>5</vt:i4>
      </vt:variant>
      <vt:variant>
        <vt:lpwstr>https://www.england.nhs.uk/publication/community-pharmacy-advanced-service-specification-nhs-pharmacy-first-service/</vt:lpwstr>
      </vt:variant>
      <vt:variant>
        <vt:lpwstr/>
      </vt:variant>
      <vt:variant>
        <vt:i4>5963807</vt:i4>
      </vt:variant>
      <vt:variant>
        <vt:i4>261</vt:i4>
      </vt:variant>
      <vt:variant>
        <vt:i4>0</vt:i4>
      </vt:variant>
      <vt:variant>
        <vt:i4>5</vt:i4>
      </vt:variant>
      <vt:variant>
        <vt:lpwstr>https://www.england.nhs.uk/publication/community-pharmacy-advanced-service-specification-nhs-pharmacy-first-service/</vt:lpwstr>
      </vt:variant>
      <vt:variant>
        <vt:lpwstr/>
      </vt:variant>
      <vt:variant>
        <vt:i4>720964</vt:i4>
      </vt:variant>
      <vt:variant>
        <vt:i4>258</vt:i4>
      </vt:variant>
      <vt:variant>
        <vt:i4>0</vt:i4>
      </vt:variant>
      <vt:variant>
        <vt:i4>5</vt:i4>
      </vt:variant>
      <vt:variant>
        <vt:lpwstr/>
      </vt:variant>
      <vt:variant>
        <vt:lpwstr>_Incorrect_categorisation_of_1</vt:lpwstr>
      </vt:variant>
      <vt:variant>
        <vt:i4>5963807</vt:i4>
      </vt:variant>
      <vt:variant>
        <vt:i4>255</vt:i4>
      </vt:variant>
      <vt:variant>
        <vt:i4>0</vt:i4>
      </vt:variant>
      <vt:variant>
        <vt:i4>5</vt:i4>
      </vt:variant>
      <vt:variant>
        <vt:lpwstr>https://www.england.nhs.uk/publication/community-pharmacy-advanced-service-specification-nhs-pharmacy-first-service/</vt:lpwstr>
      </vt:variant>
      <vt:variant>
        <vt:lpwstr/>
      </vt:variant>
      <vt:variant>
        <vt:i4>3801115</vt:i4>
      </vt:variant>
      <vt:variant>
        <vt:i4>252</vt:i4>
      </vt:variant>
      <vt:variant>
        <vt:i4>0</vt:i4>
      </vt:variant>
      <vt:variant>
        <vt:i4>5</vt:i4>
      </vt:variant>
      <vt:variant>
        <vt:lpwstr/>
      </vt:variant>
      <vt:variant>
        <vt:lpwstr>_Incorrect_categorisation_of</vt:lpwstr>
      </vt:variant>
      <vt:variant>
        <vt:i4>2949148</vt:i4>
      </vt:variant>
      <vt:variant>
        <vt:i4>249</vt:i4>
      </vt:variant>
      <vt:variant>
        <vt:i4>0</vt:i4>
      </vt:variant>
      <vt:variant>
        <vt:i4>5</vt:i4>
      </vt:variant>
      <vt:variant>
        <vt:lpwstr/>
      </vt:variant>
      <vt:variant>
        <vt:lpwstr>_Naming_convention_of</vt:lpwstr>
      </vt:variant>
      <vt:variant>
        <vt:i4>5963807</vt:i4>
      </vt:variant>
      <vt:variant>
        <vt:i4>246</vt:i4>
      </vt:variant>
      <vt:variant>
        <vt:i4>0</vt:i4>
      </vt:variant>
      <vt:variant>
        <vt:i4>5</vt:i4>
      </vt:variant>
      <vt:variant>
        <vt:lpwstr>https://www.england.nhs.uk/publication/community-pharmacy-advanced-service-specification-nhs-pharmacy-first-service/</vt:lpwstr>
      </vt:variant>
      <vt:variant>
        <vt:lpwstr/>
      </vt:variant>
      <vt:variant>
        <vt:i4>655485</vt:i4>
      </vt:variant>
      <vt:variant>
        <vt:i4>243</vt:i4>
      </vt:variant>
      <vt:variant>
        <vt:i4>0</vt:i4>
      </vt:variant>
      <vt:variant>
        <vt:i4>5</vt:i4>
      </vt:variant>
      <vt:variant>
        <vt:lpwstr>mailto:DataServicesSupport@nhsbsa.nhs.uk</vt:lpwstr>
      </vt:variant>
      <vt:variant>
        <vt:lpwstr/>
      </vt:variant>
      <vt:variant>
        <vt:i4>7209053</vt:i4>
      </vt:variant>
      <vt:variant>
        <vt:i4>240</vt:i4>
      </vt:variant>
      <vt:variant>
        <vt:i4>0</vt:i4>
      </vt:variant>
      <vt:variant>
        <vt:i4>5</vt:i4>
      </vt:variant>
      <vt:variant>
        <vt:lpwstr/>
      </vt:variant>
      <vt:variant>
        <vt:lpwstr>_Appendix_2:_Limitations</vt:lpwstr>
      </vt:variant>
      <vt:variant>
        <vt:i4>5963807</vt:i4>
      </vt:variant>
      <vt:variant>
        <vt:i4>237</vt:i4>
      </vt:variant>
      <vt:variant>
        <vt:i4>0</vt:i4>
      </vt:variant>
      <vt:variant>
        <vt:i4>5</vt:i4>
      </vt:variant>
      <vt:variant>
        <vt:lpwstr>https://www.england.nhs.uk/publication/community-pharmacy-advanced-service-specification-nhs-pharmacy-first-service/</vt:lpwstr>
      </vt:variant>
      <vt:variant>
        <vt:lpwstr/>
      </vt:variant>
      <vt:variant>
        <vt:i4>4980832</vt:i4>
      </vt:variant>
      <vt:variant>
        <vt:i4>234</vt:i4>
      </vt:variant>
      <vt:variant>
        <vt:i4>0</vt:i4>
      </vt:variant>
      <vt:variant>
        <vt:i4>5</vt:i4>
      </vt:variant>
      <vt:variant>
        <vt:lpwstr/>
      </vt:variant>
      <vt:variant>
        <vt:lpwstr>_Consultations_with_missing</vt:lpwstr>
      </vt:variant>
      <vt:variant>
        <vt:i4>2949145</vt:i4>
      </vt:variant>
      <vt:variant>
        <vt:i4>231</vt:i4>
      </vt:variant>
      <vt:variant>
        <vt:i4>0</vt:i4>
      </vt:variant>
      <vt:variant>
        <vt:i4>5</vt:i4>
      </vt:variant>
      <vt:variant>
        <vt:lpwstr/>
      </vt:variant>
      <vt:variant>
        <vt:lpwstr>_Derivation_of_organisational</vt:lpwstr>
      </vt:variant>
      <vt:variant>
        <vt:i4>3932218</vt:i4>
      </vt:variant>
      <vt:variant>
        <vt:i4>228</vt:i4>
      </vt:variant>
      <vt:variant>
        <vt:i4>0</vt:i4>
      </vt:variant>
      <vt:variant>
        <vt:i4>5</vt:i4>
      </vt:variant>
      <vt:variant>
        <vt:lpwstr/>
      </vt:variant>
      <vt:variant>
        <vt:lpwstr>_Appendix_3:_Data_1</vt:lpwstr>
      </vt:variant>
      <vt:variant>
        <vt:i4>4980832</vt:i4>
      </vt:variant>
      <vt:variant>
        <vt:i4>225</vt:i4>
      </vt:variant>
      <vt:variant>
        <vt:i4>0</vt:i4>
      </vt:variant>
      <vt:variant>
        <vt:i4>5</vt:i4>
      </vt:variant>
      <vt:variant>
        <vt:lpwstr/>
      </vt:variant>
      <vt:variant>
        <vt:lpwstr>_Consultations_with_missing</vt:lpwstr>
      </vt:variant>
      <vt:variant>
        <vt:i4>2949145</vt:i4>
      </vt:variant>
      <vt:variant>
        <vt:i4>222</vt:i4>
      </vt:variant>
      <vt:variant>
        <vt:i4>0</vt:i4>
      </vt:variant>
      <vt:variant>
        <vt:i4>5</vt:i4>
      </vt:variant>
      <vt:variant>
        <vt:lpwstr/>
      </vt:variant>
      <vt:variant>
        <vt:lpwstr>_Derivation_of_organisational</vt:lpwstr>
      </vt:variant>
      <vt:variant>
        <vt:i4>5963807</vt:i4>
      </vt:variant>
      <vt:variant>
        <vt:i4>219</vt:i4>
      </vt:variant>
      <vt:variant>
        <vt:i4>0</vt:i4>
      </vt:variant>
      <vt:variant>
        <vt:i4>5</vt:i4>
      </vt:variant>
      <vt:variant>
        <vt:lpwstr>https://www.england.nhs.uk/publication/community-pharmacy-advanced-service-specification-nhs-pharmacy-first-service/</vt:lpwstr>
      </vt:variant>
      <vt:variant>
        <vt:lpwstr/>
      </vt:variant>
      <vt:variant>
        <vt:i4>2883638</vt:i4>
      </vt:variant>
      <vt:variant>
        <vt:i4>216</vt:i4>
      </vt:variant>
      <vt:variant>
        <vt:i4>0</vt:i4>
      </vt:variant>
      <vt:variant>
        <vt:i4>5</vt:i4>
      </vt:variant>
      <vt:variant>
        <vt:lpwstr>https://www.england.nhs.uk/primary-care/pharmacy/pharmacy-services/pharmacy-first/</vt:lpwstr>
      </vt:variant>
      <vt:variant>
        <vt:lpwstr/>
      </vt:variant>
      <vt:variant>
        <vt:i4>6553662</vt:i4>
      </vt:variant>
      <vt:variant>
        <vt:i4>213</vt:i4>
      </vt:variant>
      <vt:variant>
        <vt:i4>0</vt:i4>
      </vt:variant>
      <vt:variant>
        <vt:i4>5</vt:i4>
      </vt:variant>
      <vt:variant>
        <vt:lpwstr>https://www.gov.uk/government/publications/uk-5-year-action-plan-for-antimicrobial-resistance-2024-to-2029</vt:lpwstr>
      </vt:variant>
      <vt:variant>
        <vt:lpwstr/>
      </vt:variant>
      <vt:variant>
        <vt:i4>1703992</vt:i4>
      </vt:variant>
      <vt:variant>
        <vt:i4>206</vt:i4>
      </vt:variant>
      <vt:variant>
        <vt:i4>0</vt:i4>
      </vt:variant>
      <vt:variant>
        <vt:i4>5</vt:i4>
      </vt:variant>
      <vt:variant>
        <vt:lpwstr/>
      </vt:variant>
      <vt:variant>
        <vt:lpwstr>_Toc188630237</vt:lpwstr>
      </vt:variant>
      <vt:variant>
        <vt:i4>1703992</vt:i4>
      </vt:variant>
      <vt:variant>
        <vt:i4>200</vt:i4>
      </vt:variant>
      <vt:variant>
        <vt:i4>0</vt:i4>
      </vt:variant>
      <vt:variant>
        <vt:i4>5</vt:i4>
      </vt:variant>
      <vt:variant>
        <vt:lpwstr/>
      </vt:variant>
      <vt:variant>
        <vt:lpwstr>_Toc188630236</vt:lpwstr>
      </vt:variant>
      <vt:variant>
        <vt:i4>1703992</vt:i4>
      </vt:variant>
      <vt:variant>
        <vt:i4>194</vt:i4>
      </vt:variant>
      <vt:variant>
        <vt:i4>0</vt:i4>
      </vt:variant>
      <vt:variant>
        <vt:i4>5</vt:i4>
      </vt:variant>
      <vt:variant>
        <vt:lpwstr/>
      </vt:variant>
      <vt:variant>
        <vt:lpwstr>_Toc188630235</vt:lpwstr>
      </vt:variant>
      <vt:variant>
        <vt:i4>1703992</vt:i4>
      </vt:variant>
      <vt:variant>
        <vt:i4>188</vt:i4>
      </vt:variant>
      <vt:variant>
        <vt:i4>0</vt:i4>
      </vt:variant>
      <vt:variant>
        <vt:i4>5</vt:i4>
      </vt:variant>
      <vt:variant>
        <vt:lpwstr/>
      </vt:variant>
      <vt:variant>
        <vt:lpwstr>_Toc188630234</vt:lpwstr>
      </vt:variant>
      <vt:variant>
        <vt:i4>1703992</vt:i4>
      </vt:variant>
      <vt:variant>
        <vt:i4>182</vt:i4>
      </vt:variant>
      <vt:variant>
        <vt:i4>0</vt:i4>
      </vt:variant>
      <vt:variant>
        <vt:i4>5</vt:i4>
      </vt:variant>
      <vt:variant>
        <vt:lpwstr/>
      </vt:variant>
      <vt:variant>
        <vt:lpwstr>_Toc188630233</vt:lpwstr>
      </vt:variant>
      <vt:variant>
        <vt:i4>1703992</vt:i4>
      </vt:variant>
      <vt:variant>
        <vt:i4>176</vt:i4>
      </vt:variant>
      <vt:variant>
        <vt:i4>0</vt:i4>
      </vt:variant>
      <vt:variant>
        <vt:i4>5</vt:i4>
      </vt:variant>
      <vt:variant>
        <vt:lpwstr/>
      </vt:variant>
      <vt:variant>
        <vt:lpwstr>_Toc188630232</vt:lpwstr>
      </vt:variant>
      <vt:variant>
        <vt:i4>1703992</vt:i4>
      </vt:variant>
      <vt:variant>
        <vt:i4>170</vt:i4>
      </vt:variant>
      <vt:variant>
        <vt:i4>0</vt:i4>
      </vt:variant>
      <vt:variant>
        <vt:i4>5</vt:i4>
      </vt:variant>
      <vt:variant>
        <vt:lpwstr/>
      </vt:variant>
      <vt:variant>
        <vt:lpwstr>_Toc188630231</vt:lpwstr>
      </vt:variant>
      <vt:variant>
        <vt:i4>1703992</vt:i4>
      </vt:variant>
      <vt:variant>
        <vt:i4>164</vt:i4>
      </vt:variant>
      <vt:variant>
        <vt:i4>0</vt:i4>
      </vt:variant>
      <vt:variant>
        <vt:i4>5</vt:i4>
      </vt:variant>
      <vt:variant>
        <vt:lpwstr/>
      </vt:variant>
      <vt:variant>
        <vt:lpwstr>_Toc188630230</vt:lpwstr>
      </vt:variant>
      <vt:variant>
        <vt:i4>1769528</vt:i4>
      </vt:variant>
      <vt:variant>
        <vt:i4>158</vt:i4>
      </vt:variant>
      <vt:variant>
        <vt:i4>0</vt:i4>
      </vt:variant>
      <vt:variant>
        <vt:i4>5</vt:i4>
      </vt:variant>
      <vt:variant>
        <vt:lpwstr/>
      </vt:variant>
      <vt:variant>
        <vt:lpwstr>_Toc188630229</vt:lpwstr>
      </vt:variant>
      <vt:variant>
        <vt:i4>1769528</vt:i4>
      </vt:variant>
      <vt:variant>
        <vt:i4>152</vt:i4>
      </vt:variant>
      <vt:variant>
        <vt:i4>0</vt:i4>
      </vt:variant>
      <vt:variant>
        <vt:i4>5</vt:i4>
      </vt:variant>
      <vt:variant>
        <vt:lpwstr/>
      </vt:variant>
      <vt:variant>
        <vt:lpwstr>_Toc188630228</vt:lpwstr>
      </vt:variant>
      <vt:variant>
        <vt:i4>1769528</vt:i4>
      </vt:variant>
      <vt:variant>
        <vt:i4>146</vt:i4>
      </vt:variant>
      <vt:variant>
        <vt:i4>0</vt:i4>
      </vt:variant>
      <vt:variant>
        <vt:i4>5</vt:i4>
      </vt:variant>
      <vt:variant>
        <vt:lpwstr/>
      </vt:variant>
      <vt:variant>
        <vt:lpwstr>_Toc188630227</vt:lpwstr>
      </vt:variant>
      <vt:variant>
        <vt:i4>1769528</vt:i4>
      </vt:variant>
      <vt:variant>
        <vt:i4>140</vt:i4>
      </vt:variant>
      <vt:variant>
        <vt:i4>0</vt:i4>
      </vt:variant>
      <vt:variant>
        <vt:i4>5</vt:i4>
      </vt:variant>
      <vt:variant>
        <vt:lpwstr/>
      </vt:variant>
      <vt:variant>
        <vt:lpwstr>_Toc188630226</vt:lpwstr>
      </vt:variant>
      <vt:variant>
        <vt:i4>1769528</vt:i4>
      </vt:variant>
      <vt:variant>
        <vt:i4>134</vt:i4>
      </vt:variant>
      <vt:variant>
        <vt:i4>0</vt:i4>
      </vt:variant>
      <vt:variant>
        <vt:i4>5</vt:i4>
      </vt:variant>
      <vt:variant>
        <vt:lpwstr/>
      </vt:variant>
      <vt:variant>
        <vt:lpwstr>_Toc188630225</vt:lpwstr>
      </vt:variant>
      <vt:variant>
        <vt:i4>1769528</vt:i4>
      </vt:variant>
      <vt:variant>
        <vt:i4>128</vt:i4>
      </vt:variant>
      <vt:variant>
        <vt:i4>0</vt:i4>
      </vt:variant>
      <vt:variant>
        <vt:i4>5</vt:i4>
      </vt:variant>
      <vt:variant>
        <vt:lpwstr/>
      </vt:variant>
      <vt:variant>
        <vt:lpwstr>_Toc188630224</vt:lpwstr>
      </vt:variant>
      <vt:variant>
        <vt:i4>1769528</vt:i4>
      </vt:variant>
      <vt:variant>
        <vt:i4>122</vt:i4>
      </vt:variant>
      <vt:variant>
        <vt:i4>0</vt:i4>
      </vt:variant>
      <vt:variant>
        <vt:i4>5</vt:i4>
      </vt:variant>
      <vt:variant>
        <vt:lpwstr/>
      </vt:variant>
      <vt:variant>
        <vt:lpwstr>_Toc188630223</vt:lpwstr>
      </vt:variant>
      <vt:variant>
        <vt:i4>1769528</vt:i4>
      </vt:variant>
      <vt:variant>
        <vt:i4>116</vt:i4>
      </vt:variant>
      <vt:variant>
        <vt:i4>0</vt:i4>
      </vt:variant>
      <vt:variant>
        <vt:i4>5</vt:i4>
      </vt:variant>
      <vt:variant>
        <vt:lpwstr/>
      </vt:variant>
      <vt:variant>
        <vt:lpwstr>_Toc188630222</vt:lpwstr>
      </vt:variant>
      <vt:variant>
        <vt:i4>1769528</vt:i4>
      </vt:variant>
      <vt:variant>
        <vt:i4>110</vt:i4>
      </vt:variant>
      <vt:variant>
        <vt:i4>0</vt:i4>
      </vt:variant>
      <vt:variant>
        <vt:i4>5</vt:i4>
      </vt:variant>
      <vt:variant>
        <vt:lpwstr/>
      </vt:variant>
      <vt:variant>
        <vt:lpwstr>_Toc188630221</vt:lpwstr>
      </vt:variant>
      <vt:variant>
        <vt:i4>1769528</vt:i4>
      </vt:variant>
      <vt:variant>
        <vt:i4>104</vt:i4>
      </vt:variant>
      <vt:variant>
        <vt:i4>0</vt:i4>
      </vt:variant>
      <vt:variant>
        <vt:i4>5</vt:i4>
      </vt:variant>
      <vt:variant>
        <vt:lpwstr/>
      </vt:variant>
      <vt:variant>
        <vt:lpwstr>_Toc188630220</vt:lpwstr>
      </vt:variant>
      <vt:variant>
        <vt:i4>1572920</vt:i4>
      </vt:variant>
      <vt:variant>
        <vt:i4>98</vt:i4>
      </vt:variant>
      <vt:variant>
        <vt:i4>0</vt:i4>
      </vt:variant>
      <vt:variant>
        <vt:i4>5</vt:i4>
      </vt:variant>
      <vt:variant>
        <vt:lpwstr/>
      </vt:variant>
      <vt:variant>
        <vt:lpwstr>_Toc188630219</vt:lpwstr>
      </vt:variant>
      <vt:variant>
        <vt:i4>1572920</vt:i4>
      </vt:variant>
      <vt:variant>
        <vt:i4>92</vt:i4>
      </vt:variant>
      <vt:variant>
        <vt:i4>0</vt:i4>
      </vt:variant>
      <vt:variant>
        <vt:i4>5</vt:i4>
      </vt:variant>
      <vt:variant>
        <vt:lpwstr/>
      </vt:variant>
      <vt:variant>
        <vt:lpwstr>_Toc188630218</vt:lpwstr>
      </vt:variant>
      <vt:variant>
        <vt:i4>1572920</vt:i4>
      </vt:variant>
      <vt:variant>
        <vt:i4>86</vt:i4>
      </vt:variant>
      <vt:variant>
        <vt:i4>0</vt:i4>
      </vt:variant>
      <vt:variant>
        <vt:i4>5</vt:i4>
      </vt:variant>
      <vt:variant>
        <vt:lpwstr/>
      </vt:variant>
      <vt:variant>
        <vt:lpwstr>_Toc188630217</vt:lpwstr>
      </vt:variant>
      <vt:variant>
        <vt:i4>1572920</vt:i4>
      </vt:variant>
      <vt:variant>
        <vt:i4>80</vt:i4>
      </vt:variant>
      <vt:variant>
        <vt:i4>0</vt:i4>
      </vt:variant>
      <vt:variant>
        <vt:i4>5</vt:i4>
      </vt:variant>
      <vt:variant>
        <vt:lpwstr/>
      </vt:variant>
      <vt:variant>
        <vt:lpwstr>_Toc188630216</vt:lpwstr>
      </vt:variant>
      <vt:variant>
        <vt:i4>1572920</vt:i4>
      </vt:variant>
      <vt:variant>
        <vt:i4>74</vt:i4>
      </vt:variant>
      <vt:variant>
        <vt:i4>0</vt:i4>
      </vt:variant>
      <vt:variant>
        <vt:i4>5</vt:i4>
      </vt:variant>
      <vt:variant>
        <vt:lpwstr/>
      </vt:variant>
      <vt:variant>
        <vt:lpwstr>_Toc188630215</vt:lpwstr>
      </vt:variant>
      <vt:variant>
        <vt:i4>1572920</vt:i4>
      </vt:variant>
      <vt:variant>
        <vt:i4>68</vt:i4>
      </vt:variant>
      <vt:variant>
        <vt:i4>0</vt:i4>
      </vt:variant>
      <vt:variant>
        <vt:i4>5</vt:i4>
      </vt:variant>
      <vt:variant>
        <vt:lpwstr/>
      </vt:variant>
      <vt:variant>
        <vt:lpwstr>_Toc188630214</vt:lpwstr>
      </vt:variant>
      <vt:variant>
        <vt:i4>1572920</vt:i4>
      </vt:variant>
      <vt:variant>
        <vt:i4>62</vt:i4>
      </vt:variant>
      <vt:variant>
        <vt:i4>0</vt:i4>
      </vt:variant>
      <vt:variant>
        <vt:i4>5</vt:i4>
      </vt:variant>
      <vt:variant>
        <vt:lpwstr/>
      </vt:variant>
      <vt:variant>
        <vt:lpwstr>_Toc188630213</vt:lpwstr>
      </vt:variant>
      <vt:variant>
        <vt:i4>1572920</vt:i4>
      </vt:variant>
      <vt:variant>
        <vt:i4>56</vt:i4>
      </vt:variant>
      <vt:variant>
        <vt:i4>0</vt:i4>
      </vt:variant>
      <vt:variant>
        <vt:i4>5</vt:i4>
      </vt:variant>
      <vt:variant>
        <vt:lpwstr/>
      </vt:variant>
      <vt:variant>
        <vt:lpwstr>_Toc188630212</vt:lpwstr>
      </vt:variant>
      <vt:variant>
        <vt:i4>1572920</vt:i4>
      </vt:variant>
      <vt:variant>
        <vt:i4>50</vt:i4>
      </vt:variant>
      <vt:variant>
        <vt:i4>0</vt:i4>
      </vt:variant>
      <vt:variant>
        <vt:i4>5</vt:i4>
      </vt:variant>
      <vt:variant>
        <vt:lpwstr/>
      </vt:variant>
      <vt:variant>
        <vt:lpwstr>_Toc188630211</vt:lpwstr>
      </vt:variant>
      <vt:variant>
        <vt:i4>1572920</vt:i4>
      </vt:variant>
      <vt:variant>
        <vt:i4>44</vt:i4>
      </vt:variant>
      <vt:variant>
        <vt:i4>0</vt:i4>
      </vt:variant>
      <vt:variant>
        <vt:i4>5</vt:i4>
      </vt:variant>
      <vt:variant>
        <vt:lpwstr/>
      </vt:variant>
      <vt:variant>
        <vt:lpwstr>_Toc188630210</vt:lpwstr>
      </vt:variant>
      <vt:variant>
        <vt:i4>1638456</vt:i4>
      </vt:variant>
      <vt:variant>
        <vt:i4>38</vt:i4>
      </vt:variant>
      <vt:variant>
        <vt:i4>0</vt:i4>
      </vt:variant>
      <vt:variant>
        <vt:i4>5</vt:i4>
      </vt:variant>
      <vt:variant>
        <vt:lpwstr/>
      </vt:variant>
      <vt:variant>
        <vt:lpwstr>_Toc188630209</vt:lpwstr>
      </vt:variant>
      <vt:variant>
        <vt:i4>1638456</vt:i4>
      </vt:variant>
      <vt:variant>
        <vt:i4>32</vt:i4>
      </vt:variant>
      <vt:variant>
        <vt:i4>0</vt:i4>
      </vt:variant>
      <vt:variant>
        <vt:i4>5</vt:i4>
      </vt:variant>
      <vt:variant>
        <vt:lpwstr/>
      </vt:variant>
      <vt:variant>
        <vt:lpwstr>_Toc188630208</vt:lpwstr>
      </vt:variant>
      <vt:variant>
        <vt:i4>1638456</vt:i4>
      </vt:variant>
      <vt:variant>
        <vt:i4>26</vt:i4>
      </vt:variant>
      <vt:variant>
        <vt:i4>0</vt:i4>
      </vt:variant>
      <vt:variant>
        <vt:i4>5</vt:i4>
      </vt:variant>
      <vt:variant>
        <vt:lpwstr/>
      </vt:variant>
      <vt:variant>
        <vt:lpwstr>_Toc188630207</vt:lpwstr>
      </vt:variant>
      <vt:variant>
        <vt:i4>1638456</vt:i4>
      </vt:variant>
      <vt:variant>
        <vt:i4>20</vt:i4>
      </vt:variant>
      <vt:variant>
        <vt:i4>0</vt:i4>
      </vt:variant>
      <vt:variant>
        <vt:i4>5</vt:i4>
      </vt:variant>
      <vt:variant>
        <vt:lpwstr/>
      </vt:variant>
      <vt:variant>
        <vt:lpwstr>_Toc188630206</vt:lpwstr>
      </vt:variant>
      <vt:variant>
        <vt:i4>1638456</vt:i4>
      </vt:variant>
      <vt:variant>
        <vt:i4>14</vt:i4>
      </vt:variant>
      <vt:variant>
        <vt:i4>0</vt:i4>
      </vt:variant>
      <vt:variant>
        <vt:i4>5</vt:i4>
      </vt:variant>
      <vt:variant>
        <vt:lpwstr/>
      </vt:variant>
      <vt:variant>
        <vt:lpwstr>_Toc188630205</vt:lpwstr>
      </vt:variant>
      <vt:variant>
        <vt:i4>1638456</vt:i4>
      </vt:variant>
      <vt:variant>
        <vt:i4>8</vt:i4>
      </vt:variant>
      <vt:variant>
        <vt:i4>0</vt:i4>
      </vt:variant>
      <vt:variant>
        <vt:i4>5</vt:i4>
      </vt:variant>
      <vt:variant>
        <vt:lpwstr/>
      </vt:variant>
      <vt:variant>
        <vt:lpwstr>_Toc188630204</vt:lpwstr>
      </vt:variant>
      <vt:variant>
        <vt:i4>1638456</vt:i4>
      </vt:variant>
      <vt:variant>
        <vt:i4>2</vt:i4>
      </vt:variant>
      <vt:variant>
        <vt:i4>0</vt:i4>
      </vt:variant>
      <vt:variant>
        <vt:i4>5</vt:i4>
      </vt:variant>
      <vt:variant>
        <vt:lpwstr/>
      </vt:variant>
      <vt:variant>
        <vt:lpwstr>_Toc188630203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Antimicrobial Stewardship UTI dashboard</dc:title>
  <dc:subject/>
  <dc:creator>Mark Gordon</dc:creator>
  <cp:keywords/>
  <cp:lastModifiedBy>Mark Gordon</cp:lastModifiedBy>
  <cp:revision>2</cp:revision>
  <cp:lastPrinted>2021-02-11T23:56:00Z</cp:lastPrinted>
  <dcterms:created xsi:type="dcterms:W3CDTF">2025-01-30T16:07:00Z</dcterms:created>
  <dcterms:modified xsi:type="dcterms:W3CDTF">2025-01-30T16:07:00Z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Order">
    <vt:r8>100</vt:r8>
  </property>
  <property fmtid="{D5CDD505-2E9C-101B-9397-08002B2CF9AE}" pid="4" name="MediaServiceImageTags">
    <vt:lpwstr/>
  </property>
</Properties>
</file>