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A788" w14:textId="031D9C75" w:rsidR="00197F72" w:rsidRDefault="00197F72" w:rsidP="002E6C6B">
      <w:pPr>
        <w:rPr>
          <w:rFonts w:cs="Arial"/>
          <w:b/>
          <w:bCs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FC845B" wp14:editId="14892EA3">
            <wp:simplePos x="0" y="0"/>
            <wp:positionH relativeFrom="page">
              <wp:align>left</wp:align>
            </wp:positionH>
            <wp:positionV relativeFrom="paragraph">
              <wp:posOffset>-724535</wp:posOffset>
            </wp:positionV>
            <wp:extent cx="7632067" cy="1788160"/>
            <wp:effectExtent l="0" t="0" r="6985" b="2540"/>
            <wp:wrapNone/>
            <wp:docPr id="18" name="Picture 18" descr="NHS Business Services Authority 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 Business Services Authority 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3206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144" w:rsidRPr="007561AB">
        <w:rPr>
          <w:rFonts w:cs="Arial"/>
          <w:b/>
          <w:bCs/>
          <w:sz w:val="52"/>
          <w:szCs w:val="52"/>
        </w:rPr>
        <w:t xml:space="preserve"> </w:t>
      </w:r>
    </w:p>
    <w:p w14:paraId="2AB20EB1" w14:textId="7E21131E" w:rsidR="00197F72" w:rsidRDefault="00197F72" w:rsidP="002E6C6B">
      <w:pPr>
        <w:rPr>
          <w:rFonts w:cs="Arial"/>
          <w:b/>
          <w:bCs/>
          <w:sz w:val="52"/>
          <w:szCs w:val="52"/>
        </w:rPr>
      </w:pPr>
    </w:p>
    <w:p w14:paraId="3CDFD375" w14:textId="0F098E18" w:rsidR="00197F72" w:rsidRDefault="00472CB2" w:rsidP="002E6C6B">
      <w:pPr>
        <w:rPr>
          <w:rFonts w:cs="Arial"/>
          <w:b/>
          <w:bCs/>
          <w:sz w:val="52"/>
          <w:szCs w:val="52"/>
        </w:rPr>
      </w:pPr>
      <w:r>
        <w:rPr>
          <w:rFonts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C9CEFAE" wp14:editId="40F1F3D7">
                <wp:simplePos x="0" y="0"/>
                <wp:positionH relativeFrom="column">
                  <wp:posOffset>-64997</wp:posOffset>
                </wp:positionH>
                <wp:positionV relativeFrom="paragraph">
                  <wp:posOffset>321954</wp:posOffset>
                </wp:positionV>
                <wp:extent cx="2499360" cy="491731"/>
                <wp:effectExtent l="0" t="0" r="0" b="3810"/>
                <wp:wrapNone/>
                <wp:docPr id="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91731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5C917" id="Rectangle 1" o:spid="_x0000_s1026" alt="&quot;&quot;" style="position:absolute;margin-left:-5.1pt;margin-top:25.35pt;width:196.8pt;height:38.7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" fillcolor="#005eb8" stroked="f" strokeweight="2pt"/>
            </w:pict>
          </mc:Fallback>
        </mc:AlternateContent>
      </w:r>
    </w:p>
    <w:p w14:paraId="0F6DF255" w14:textId="0BEA76E5" w:rsidR="00F344A3" w:rsidRPr="001E1A50" w:rsidRDefault="00806E49" w:rsidP="001E1A50">
      <w:pPr>
        <w:pStyle w:val="Heading1"/>
        <w:rPr>
          <w:color w:val="FFFFFF" w:themeColor="background1"/>
          <w:sz w:val="52"/>
          <w:szCs w:val="52"/>
        </w:rPr>
      </w:pPr>
      <w:r w:rsidRPr="001E1A50">
        <w:rPr>
          <w:color w:val="FFFFFF" w:themeColor="background1"/>
          <w:sz w:val="52"/>
          <w:szCs w:val="52"/>
        </w:rPr>
        <w:t>NHS Pensions</w:t>
      </w:r>
    </w:p>
    <w:p w14:paraId="13CB431E" w14:textId="42C3698A" w:rsidR="006D1015" w:rsidRPr="007561AB" w:rsidRDefault="00472CB2" w:rsidP="001E1A50">
      <w:pPr>
        <w:pStyle w:val="Heading1"/>
        <w:rPr>
          <w:sz w:val="20"/>
          <w:szCs w:val="20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DB4AF5E" wp14:editId="1D245E57">
                <wp:simplePos x="0" y="0"/>
                <wp:positionH relativeFrom="column">
                  <wp:posOffset>-64997</wp:posOffset>
                </wp:positionH>
                <wp:positionV relativeFrom="paragraph">
                  <wp:posOffset>55282</wp:posOffset>
                </wp:positionV>
                <wp:extent cx="2140489" cy="427962"/>
                <wp:effectExtent l="0" t="0" r="0" b="0"/>
                <wp:wrapNone/>
                <wp:docPr id="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489" cy="42796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920E8" id="Rectangle 2" o:spid="_x0000_s1026" alt="&quot;&quot;" style="position:absolute;margin-left:-5.1pt;margin-top:4.35pt;width:168.55pt;height:33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" fillcolor="black [3213]" stroked="f" strokeweight="2pt"/>
            </w:pict>
          </mc:Fallback>
        </mc:AlternateContent>
      </w:r>
      <w:r w:rsidR="00806E49" w:rsidRPr="007561AB">
        <w:rPr>
          <w:szCs w:val="32"/>
        </w:rPr>
        <w:t xml:space="preserve"> </w:t>
      </w:r>
    </w:p>
    <w:p w14:paraId="6B44F1D0" w14:textId="600A1FCC" w:rsidR="00D90868" w:rsidRPr="001E1A50" w:rsidRDefault="006D1015" w:rsidP="001E1A50">
      <w:pPr>
        <w:pStyle w:val="Heading1"/>
        <w:rPr>
          <w:color w:val="FFFFFF" w:themeColor="background1"/>
          <w:szCs w:val="32"/>
        </w:rPr>
      </w:pPr>
      <w:r w:rsidRPr="001E1A50">
        <w:rPr>
          <w:color w:val="FFFFFF" w:themeColor="background1"/>
          <w:szCs w:val="32"/>
        </w:rPr>
        <w:t>Employer factsheet</w:t>
      </w:r>
    </w:p>
    <w:p w14:paraId="74FF7BE2" w14:textId="77777777" w:rsidR="00D90868" w:rsidRPr="007561AB" w:rsidRDefault="00D90868" w:rsidP="002E6C6B">
      <w:pPr>
        <w:rPr>
          <w:rFonts w:cs="Arial"/>
          <w:b/>
          <w:bCs/>
          <w:sz w:val="44"/>
          <w:szCs w:val="44"/>
        </w:rPr>
      </w:pPr>
    </w:p>
    <w:p w14:paraId="63AA1A35" w14:textId="4D7B4F36" w:rsidR="0050055F" w:rsidRPr="00021939" w:rsidRDefault="0050055F" w:rsidP="00546272">
      <w:pPr>
        <w:pStyle w:val="Heading1"/>
        <w:spacing w:line="276" w:lineRule="auto"/>
      </w:pPr>
      <w:r w:rsidRPr="00021939">
        <w:t xml:space="preserve">Guidance for calculating the Life Assurance Lump Sum (LALS) for </w:t>
      </w:r>
      <w:r>
        <w:t>p</w:t>
      </w:r>
      <w:r w:rsidRPr="00021939">
        <w:t xml:space="preserve">artial </w:t>
      </w:r>
      <w:r>
        <w:t>r</w:t>
      </w:r>
      <w:r w:rsidRPr="00021939">
        <w:t xml:space="preserve">etirement pensioners who die in </w:t>
      </w:r>
      <w:r>
        <w:t>pensionable employment</w:t>
      </w:r>
      <w:r w:rsidRPr="00021939">
        <w:t xml:space="preserve"> </w:t>
      </w:r>
    </w:p>
    <w:p w14:paraId="386FA256" w14:textId="77777777" w:rsidR="00806E49" w:rsidRPr="007561AB" w:rsidRDefault="00806E49" w:rsidP="00546272">
      <w:pPr>
        <w:spacing w:line="276" w:lineRule="auto"/>
        <w:rPr>
          <w:rFonts w:cs="Arial"/>
        </w:rPr>
      </w:pPr>
    </w:p>
    <w:p w14:paraId="6D942F71" w14:textId="77777777" w:rsidR="00546272" w:rsidRPr="00845B3B" w:rsidRDefault="00546272" w:rsidP="00546272">
      <w:pPr>
        <w:pStyle w:val="Default"/>
        <w:spacing w:line="276" w:lineRule="auto"/>
      </w:pPr>
      <w:r w:rsidRPr="00845B3B">
        <w:t>If after taking partial retirement</w:t>
      </w:r>
      <w:r>
        <w:t xml:space="preserve"> </w:t>
      </w:r>
      <w:r w:rsidRPr="00845B3B">
        <w:t>the member was to die whilst in pensionable employment, the</w:t>
      </w:r>
      <w:r>
        <w:t>ir Life Assurance Lump Sum</w:t>
      </w:r>
      <w:r w:rsidRPr="00845B3B">
        <w:t xml:space="preserve"> </w:t>
      </w:r>
      <w:r>
        <w:t>(</w:t>
      </w:r>
      <w:r w:rsidRPr="00845B3B">
        <w:t>LALS</w:t>
      </w:r>
      <w:r>
        <w:t>)</w:t>
      </w:r>
      <w:r w:rsidRPr="00845B3B">
        <w:t xml:space="preserve"> will be calculated differently. </w:t>
      </w:r>
    </w:p>
    <w:p w14:paraId="68ECF237" w14:textId="77777777" w:rsidR="00546272" w:rsidRPr="00845B3B" w:rsidRDefault="00546272" w:rsidP="00546272">
      <w:pPr>
        <w:pStyle w:val="Default"/>
        <w:spacing w:line="276" w:lineRule="auto"/>
      </w:pPr>
    </w:p>
    <w:p w14:paraId="65152509" w14:textId="77777777" w:rsidR="00546272" w:rsidRPr="00845B3B" w:rsidRDefault="00546272" w:rsidP="00546272">
      <w:pPr>
        <w:pStyle w:val="Default"/>
        <w:spacing w:line="276" w:lineRule="auto"/>
      </w:pPr>
      <w:r>
        <w:t>When calculating</w:t>
      </w:r>
      <w:r w:rsidRPr="00845B3B">
        <w:t xml:space="preserve"> the LALS for members </w:t>
      </w:r>
      <w:r>
        <w:t xml:space="preserve">who have </w:t>
      </w:r>
      <w:r w:rsidRPr="00845B3B">
        <w:t xml:space="preserve">retired on partial retirement, we </w:t>
      </w:r>
      <w:r>
        <w:t>do</w:t>
      </w:r>
      <w:r w:rsidRPr="00845B3B">
        <w:t xml:space="preserve"> not look at the benefits that have been drawn down</w:t>
      </w:r>
      <w:r>
        <w:t>. We instead look at</w:t>
      </w:r>
      <w:r w:rsidRPr="00845B3B">
        <w:t xml:space="preserve"> the amount of service left</w:t>
      </w:r>
      <w:r>
        <w:t>,</w:t>
      </w:r>
      <w:r w:rsidRPr="00845B3B">
        <w:t xml:space="preserve"> including any future service up to the member’s date of death</w:t>
      </w:r>
      <w:r>
        <w:t>,</w:t>
      </w:r>
      <w:r w:rsidRPr="00845B3B">
        <w:t xml:space="preserve"> to work out a fraction of the LALS that becomes payable. </w:t>
      </w:r>
    </w:p>
    <w:p w14:paraId="773AAA2D" w14:textId="77777777" w:rsidR="00546272" w:rsidRPr="00845B3B" w:rsidRDefault="00546272" w:rsidP="00546272">
      <w:pPr>
        <w:pStyle w:val="Default"/>
        <w:spacing w:line="276" w:lineRule="auto"/>
      </w:pPr>
    </w:p>
    <w:p w14:paraId="209F6D5F" w14:textId="2BA019B8" w:rsidR="00546272" w:rsidRPr="00845B3B" w:rsidRDefault="00546272" w:rsidP="00546272">
      <w:pPr>
        <w:pStyle w:val="Default"/>
        <w:spacing w:line="276" w:lineRule="auto"/>
      </w:pPr>
      <w:r w:rsidRPr="00845B3B">
        <w:t xml:space="preserve">We are required to calculate the percentage of 2 </w:t>
      </w:r>
      <w:r>
        <w:t xml:space="preserve">times the </w:t>
      </w:r>
      <w:r w:rsidRPr="00845B3B">
        <w:t xml:space="preserve">pensionable earnings that </w:t>
      </w:r>
      <w:r>
        <w:t>are</w:t>
      </w:r>
      <w:r w:rsidRPr="00845B3B">
        <w:t xml:space="preserve"> due</w:t>
      </w:r>
      <w:r>
        <w:t>,</w:t>
      </w:r>
      <w:r w:rsidRPr="00845B3B">
        <w:t xml:space="preserve"> in addition to any LALS that would be payable if the member died within 5 years of taking this type of retirement</w:t>
      </w:r>
      <w:r>
        <w:t>.</w:t>
      </w:r>
      <w:r w:rsidRPr="00845B3B">
        <w:t xml:space="preserve"> This part does not impact the calculation that is required for a benefit statement. </w:t>
      </w:r>
      <w:r>
        <w:t>For more information, view our</w:t>
      </w:r>
      <w:r w:rsidRPr="00845B3B">
        <w:t xml:space="preserve"> </w:t>
      </w:r>
      <w:r>
        <w:t>‘</w:t>
      </w:r>
      <w:r w:rsidRPr="00845B3B">
        <w:t xml:space="preserve">Partial </w:t>
      </w:r>
      <w:r>
        <w:t>r</w:t>
      </w:r>
      <w:r w:rsidRPr="00845B3B">
        <w:t>etirement</w:t>
      </w:r>
      <w:r>
        <w:t>’</w:t>
      </w:r>
      <w:r w:rsidRPr="00845B3B">
        <w:t xml:space="preserve"> </w:t>
      </w:r>
      <w:r>
        <w:t xml:space="preserve">on the member hub for more information </w:t>
      </w:r>
      <w:hyperlink r:id="rId12" w:history="1">
        <w:r w:rsidRPr="004A4070">
          <w:rPr>
            <w:rStyle w:val="Hyperlink"/>
          </w:rPr>
          <w:t>www.nhsbsa.nhs.uk/member-hub/partial-retirement</w:t>
        </w:r>
      </w:hyperlink>
      <w:r>
        <w:t xml:space="preserve"> </w:t>
      </w:r>
    </w:p>
    <w:p w14:paraId="1F339414" w14:textId="77777777" w:rsidR="00546272" w:rsidRPr="00845B3B" w:rsidRDefault="00546272" w:rsidP="00546272">
      <w:pPr>
        <w:pStyle w:val="Default"/>
        <w:spacing w:line="276" w:lineRule="auto"/>
      </w:pPr>
    </w:p>
    <w:p w14:paraId="18C49072" w14:textId="7FA54F5A" w:rsidR="00546272" w:rsidRDefault="00546272" w:rsidP="00546272">
      <w:pPr>
        <w:pStyle w:val="Default"/>
        <w:spacing w:line="276" w:lineRule="auto"/>
      </w:pPr>
      <w:r w:rsidRPr="00845B3B">
        <w:t>We have a statutory obligation to provide the value of the LALS on our benefit statements</w:t>
      </w:r>
      <w:r>
        <w:t xml:space="preserve"> and</w:t>
      </w:r>
      <w:r w:rsidRPr="00845B3B">
        <w:t xml:space="preserve"> need to ensure that we are following the correct guidance when calculating the </w:t>
      </w:r>
      <w:r w:rsidRPr="007E0A9F">
        <w:t>death in service lump sum</w:t>
      </w:r>
      <w:r>
        <w:t xml:space="preserve">. If not, </w:t>
      </w:r>
      <w:r w:rsidRPr="00845B3B">
        <w:t>we are at risk of providing a value that is in excess of the amount payable.</w:t>
      </w:r>
    </w:p>
    <w:p w14:paraId="47E61C56" w14:textId="77777777" w:rsidR="00546272" w:rsidRDefault="00546272" w:rsidP="00546272">
      <w:pPr>
        <w:pStyle w:val="Default"/>
        <w:spacing w:line="276" w:lineRule="auto"/>
      </w:pPr>
    </w:p>
    <w:p w14:paraId="61D9EE8D" w14:textId="77777777" w:rsidR="00546272" w:rsidRPr="00845B3B" w:rsidRDefault="00546272" w:rsidP="00546272">
      <w:pPr>
        <w:pStyle w:val="Heading2"/>
        <w:spacing w:line="276" w:lineRule="auto"/>
      </w:pPr>
      <w:r w:rsidRPr="00845B3B">
        <w:t>General</w:t>
      </w:r>
    </w:p>
    <w:p w14:paraId="00A172DD" w14:textId="77777777" w:rsidR="00546272" w:rsidRPr="00845B3B" w:rsidRDefault="00546272" w:rsidP="00546272">
      <w:pPr>
        <w:pStyle w:val="Default"/>
        <w:spacing w:line="276" w:lineRule="auto"/>
      </w:pPr>
    </w:p>
    <w:p w14:paraId="4CC04161" w14:textId="77777777" w:rsidR="00546272" w:rsidRPr="00845B3B" w:rsidRDefault="00546272" w:rsidP="00546272">
      <w:pPr>
        <w:pStyle w:val="Default"/>
        <w:spacing w:line="276" w:lineRule="auto"/>
      </w:pPr>
      <w:r w:rsidRPr="00845B3B">
        <w:t xml:space="preserve">It would be unequitable and unsustainable for the Scheme to pay a full death in service lump sum of </w:t>
      </w:r>
      <w:r>
        <w:t xml:space="preserve">2 </w:t>
      </w:r>
      <w:r w:rsidRPr="00845B3B">
        <w:t xml:space="preserve">times the pensionable earnings </w:t>
      </w:r>
      <w:r>
        <w:t xml:space="preserve">for members that have </w:t>
      </w:r>
      <w:r w:rsidRPr="00845B3B">
        <w:t>already benefit</w:t>
      </w:r>
      <w:r>
        <w:t>ed</w:t>
      </w:r>
      <w:r w:rsidRPr="00845B3B">
        <w:t xml:space="preserve"> from a pension and/or lump sum for some of their </w:t>
      </w:r>
      <w:r>
        <w:t>membership</w:t>
      </w:r>
      <w:r w:rsidRPr="00845B3B">
        <w:t xml:space="preserve">. </w:t>
      </w:r>
    </w:p>
    <w:p w14:paraId="06990FD1" w14:textId="77777777" w:rsidR="00546272" w:rsidRPr="00845B3B" w:rsidRDefault="00546272" w:rsidP="00546272">
      <w:pPr>
        <w:pStyle w:val="Default"/>
        <w:spacing w:line="276" w:lineRule="auto"/>
      </w:pPr>
    </w:p>
    <w:p w14:paraId="3900813E" w14:textId="77777777" w:rsidR="00546272" w:rsidRPr="00845B3B" w:rsidRDefault="00546272" w:rsidP="00546272">
      <w:pPr>
        <w:pStyle w:val="Default"/>
        <w:spacing w:line="276" w:lineRule="auto"/>
      </w:pPr>
      <w:r w:rsidRPr="00845B3B">
        <w:t xml:space="preserve">The </w:t>
      </w:r>
      <w:r>
        <w:t>LALS</w:t>
      </w:r>
      <w:r w:rsidRPr="00845B3B">
        <w:t xml:space="preserve"> calculation for partially retired members is designed to </w:t>
      </w:r>
      <w:r>
        <w:t>provide an</w:t>
      </w:r>
      <w:r w:rsidRPr="00845B3B">
        <w:t xml:space="preserve"> appropriate fraction of </w:t>
      </w:r>
      <w:r>
        <w:t>2</w:t>
      </w:r>
      <w:r w:rsidRPr="00845B3B">
        <w:t xml:space="preserve"> times </w:t>
      </w:r>
      <w:r>
        <w:t xml:space="preserve">the </w:t>
      </w:r>
      <w:r w:rsidRPr="00845B3B">
        <w:t xml:space="preserve">pensionable earnings </w:t>
      </w:r>
      <w:r>
        <w:t>from</w:t>
      </w:r>
      <w:r w:rsidRPr="00845B3B">
        <w:t xml:space="preserve"> untaken </w:t>
      </w:r>
      <w:r>
        <w:t>membership</w:t>
      </w:r>
      <w:r w:rsidRPr="00845B3B">
        <w:t xml:space="preserve">. </w:t>
      </w:r>
    </w:p>
    <w:p w14:paraId="636B09D4" w14:textId="77777777" w:rsidR="00546272" w:rsidRPr="00845B3B" w:rsidRDefault="00546272" w:rsidP="00546272">
      <w:pPr>
        <w:pStyle w:val="Default"/>
        <w:spacing w:line="276" w:lineRule="auto"/>
      </w:pPr>
    </w:p>
    <w:p w14:paraId="1C64EFD8" w14:textId="77777777" w:rsidR="00546272" w:rsidRPr="00845B3B" w:rsidRDefault="00546272" w:rsidP="00546272">
      <w:pPr>
        <w:pStyle w:val="Default"/>
        <w:spacing w:line="276" w:lineRule="auto"/>
      </w:pPr>
      <w:r w:rsidRPr="00845B3B">
        <w:lastRenderedPageBreak/>
        <w:t xml:space="preserve">In some cases, an additional </w:t>
      </w:r>
      <w:r>
        <w:t>LALS</w:t>
      </w:r>
      <w:r w:rsidRPr="00845B3B">
        <w:t xml:space="preserve"> may be paid in respect of partial retirement </w:t>
      </w:r>
      <w:r>
        <w:t>membership</w:t>
      </w:r>
      <w:r w:rsidRPr="00845B3B">
        <w:t xml:space="preserve"> where death occurs within 5 years.</w:t>
      </w:r>
    </w:p>
    <w:p w14:paraId="67520589" w14:textId="77777777" w:rsidR="00546272" w:rsidRPr="00845B3B" w:rsidRDefault="00546272" w:rsidP="00546272">
      <w:pPr>
        <w:pStyle w:val="Default"/>
        <w:spacing w:line="276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46272" w:rsidRPr="00845B3B" w14:paraId="77DB8BC7" w14:textId="77777777" w:rsidTr="002F34A1">
        <w:trPr>
          <w:trHeight w:val="340"/>
        </w:trPr>
        <w:tc>
          <w:tcPr>
            <w:tcW w:w="4815" w:type="dxa"/>
            <w:vAlign w:val="center"/>
          </w:tcPr>
          <w:p w14:paraId="575BE752" w14:textId="77777777" w:rsidR="00546272" w:rsidRPr="00845B3B" w:rsidRDefault="00546272" w:rsidP="00461A27">
            <w:pPr>
              <w:pStyle w:val="Default"/>
              <w:spacing w:line="276" w:lineRule="auto"/>
              <w:rPr>
                <w:b/>
                <w:bCs/>
              </w:rPr>
            </w:pPr>
            <w:r w:rsidRPr="00845B3B">
              <w:rPr>
                <w:b/>
                <w:bCs/>
              </w:rPr>
              <w:t xml:space="preserve">Partial </w:t>
            </w:r>
            <w:r>
              <w:rPr>
                <w:b/>
                <w:bCs/>
              </w:rPr>
              <w:t>r</w:t>
            </w:r>
            <w:r w:rsidRPr="00845B3B">
              <w:rPr>
                <w:b/>
                <w:bCs/>
              </w:rPr>
              <w:t>etirement (1995/2008 and 2015)</w:t>
            </w:r>
          </w:p>
        </w:tc>
        <w:tc>
          <w:tcPr>
            <w:tcW w:w="4819" w:type="dxa"/>
            <w:vAlign w:val="center"/>
          </w:tcPr>
          <w:p w14:paraId="7BC60C87" w14:textId="77777777" w:rsidR="00546272" w:rsidRPr="00845B3B" w:rsidRDefault="00546272" w:rsidP="00461A27">
            <w:pPr>
              <w:pStyle w:val="Default"/>
              <w:spacing w:line="276" w:lineRule="auto"/>
              <w:rPr>
                <w:b/>
                <w:bCs/>
              </w:rPr>
            </w:pPr>
            <w:r w:rsidRPr="00845B3B">
              <w:rPr>
                <w:b/>
                <w:bCs/>
              </w:rPr>
              <w:t>Calculation</w:t>
            </w:r>
          </w:p>
        </w:tc>
      </w:tr>
      <w:tr w:rsidR="00546272" w:rsidRPr="00845B3B" w14:paraId="429374F9" w14:textId="77777777" w:rsidTr="002F34A1">
        <w:trPr>
          <w:trHeight w:val="340"/>
        </w:trPr>
        <w:tc>
          <w:tcPr>
            <w:tcW w:w="4815" w:type="dxa"/>
            <w:vAlign w:val="center"/>
          </w:tcPr>
          <w:p w14:paraId="3AD946E2" w14:textId="2C967CB1" w:rsidR="00546272" w:rsidRPr="00845B3B" w:rsidRDefault="00546272" w:rsidP="00546272">
            <w:pPr>
              <w:pStyle w:val="Default"/>
              <w:spacing w:line="276" w:lineRule="auto"/>
            </w:pPr>
            <w:r w:rsidRPr="00845B3B">
              <w:t>Pension benefits that the member has not claimed as part of partial retirement and any further benefits the member accrues</w:t>
            </w:r>
          </w:p>
        </w:tc>
        <w:tc>
          <w:tcPr>
            <w:tcW w:w="4819" w:type="dxa"/>
            <w:vAlign w:val="center"/>
          </w:tcPr>
          <w:p w14:paraId="3C812C76" w14:textId="77777777" w:rsidR="00546272" w:rsidRPr="00845B3B" w:rsidRDefault="00546272" w:rsidP="00546272">
            <w:pPr>
              <w:pStyle w:val="Default"/>
              <w:spacing w:line="276" w:lineRule="auto"/>
            </w:pPr>
            <w:r w:rsidRPr="00845B3B">
              <w:t>Twice the percentage of the pensionable earnings to the date of the estimate calculation.</w:t>
            </w:r>
            <w:r>
              <w:t xml:space="preserve"> </w:t>
            </w:r>
            <w:r w:rsidRPr="00845B3B">
              <w:t>The percentage used will be the percentage of benefits not claimed when taking partial retirement</w:t>
            </w:r>
          </w:p>
        </w:tc>
      </w:tr>
    </w:tbl>
    <w:p w14:paraId="2DFB4096" w14:textId="77777777" w:rsidR="00546272" w:rsidRPr="00845B3B" w:rsidRDefault="00546272" w:rsidP="00546272">
      <w:pPr>
        <w:pStyle w:val="Default"/>
        <w:spacing w:line="276" w:lineRule="auto"/>
      </w:pPr>
    </w:p>
    <w:p w14:paraId="1F1DE18E" w14:textId="77777777" w:rsidR="00227738" w:rsidRPr="007E0A9F" w:rsidRDefault="00227738" w:rsidP="004C5C72">
      <w:pPr>
        <w:pStyle w:val="Heading2"/>
      </w:pPr>
      <w:r w:rsidRPr="007E0A9F">
        <w:t xml:space="preserve">Formula </w:t>
      </w:r>
    </w:p>
    <w:p w14:paraId="0F3055B4" w14:textId="77777777" w:rsidR="00227738" w:rsidRDefault="00227738" w:rsidP="004C5C72">
      <w:pPr>
        <w:pStyle w:val="Default"/>
        <w:spacing w:line="276" w:lineRule="auto"/>
      </w:pPr>
    </w:p>
    <w:p w14:paraId="4C54A505" w14:textId="77777777" w:rsidR="00227738" w:rsidRPr="00EB6C1C" w:rsidRDefault="00227738" w:rsidP="004C5C72">
      <w:pPr>
        <w:spacing w:line="276" w:lineRule="auto"/>
        <w:ind w:firstLine="720"/>
        <w:rPr>
          <w:rFonts w:cs="Arial"/>
        </w:rPr>
      </w:pPr>
      <w:r>
        <w:rPr>
          <w:rFonts w:cs="Arial"/>
          <w:u w:val="single"/>
        </w:rPr>
        <w:t>Pensionable earnings</w:t>
      </w:r>
      <w:r w:rsidRPr="00EB6C1C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x</w:t>
      </w:r>
      <w:r w:rsidRPr="00EB6C1C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total unclaimed service</w:t>
      </w:r>
      <w:r w:rsidRPr="007E0A9F">
        <w:rPr>
          <w:rFonts w:cs="Arial"/>
        </w:rPr>
        <w:t xml:space="preserve"> </w:t>
      </w:r>
      <w:r w:rsidRPr="00EB6C1C">
        <w:rPr>
          <w:rFonts w:cs="Arial"/>
        </w:rPr>
        <w:t xml:space="preserve">= </w:t>
      </w:r>
      <w:r>
        <w:rPr>
          <w:rFonts w:cs="Arial"/>
        </w:rPr>
        <w:t>unclaimed actual earnings</w:t>
      </w:r>
    </w:p>
    <w:p w14:paraId="664B875B" w14:textId="77777777" w:rsidR="00227738" w:rsidRDefault="00227738" w:rsidP="004C5C72">
      <w:pPr>
        <w:spacing w:line="276" w:lineRule="auto"/>
        <w:ind w:firstLine="720"/>
        <w:rPr>
          <w:rFonts w:cs="Arial"/>
        </w:rPr>
      </w:pPr>
      <w:r>
        <w:rPr>
          <w:rFonts w:cs="Arial"/>
        </w:rPr>
        <w:t>Total service (including partial retirement)</w:t>
      </w:r>
    </w:p>
    <w:p w14:paraId="7A94A664" w14:textId="77777777" w:rsidR="00227738" w:rsidRDefault="00227738" w:rsidP="004C5C72">
      <w:pPr>
        <w:spacing w:line="276" w:lineRule="auto"/>
        <w:ind w:firstLine="720"/>
        <w:rPr>
          <w:rFonts w:cs="Arial"/>
        </w:rPr>
      </w:pPr>
    </w:p>
    <w:p w14:paraId="71546808" w14:textId="11934DBE" w:rsidR="00227738" w:rsidRPr="00F00D93" w:rsidRDefault="00227738" w:rsidP="00500FA9">
      <w:pPr>
        <w:spacing w:line="276" w:lineRule="auto"/>
        <w:rPr>
          <w:rFonts w:cs="Arial"/>
        </w:rPr>
      </w:pPr>
      <w:r>
        <w:rPr>
          <w:rFonts w:cs="Arial"/>
        </w:rPr>
        <w:tab/>
        <w:t>LALS = 2 x unclaimed actual earnings</w:t>
      </w:r>
    </w:p>
    <w:p w14:paraId="4E27F57D" w14:textId="77777777" w:rsidR="00227738" w:rsidRPr="008052D1" w:rsidRDefault="00227738" w:rsidP="004C5C72">
      <w:pPr>
        <w:spacing w:line="276" w:lineRule="auto"/>
        <w:ind w:firstLine="720"/>
      </w:pPr>
    </w:p>
    <w:p w14:paraId="69DB8416" w14:textId="77777777" w:rsidR="00227738" w:rsidRPr="00845B3B" w:rsidRDefault="00227738" w:rsidP="004C5C72">
      <w:pPr>
        <w:pStyle w:val="Default"/>
        <w:spacing w:line="276" w:lineRule="auto"/>
      </w:pPr>
      <w:r w:rsidRPr="00845B3B">
        <w:t>For calculating the</w:t>
      </w:r>
      <w:r>
        <w:t xml:space="preserve"> membership</w:t>
      </w:r>
      <w:r w:rsidRPr="00845B3B">
        <w:t xml:space="preserve"> for the LALS the legacy (1995/2008) is based on reckonable </w:t>
      </w:r>
      <w:r>
        <w:t>membership</w:t>
      </w:r>
      <w:r w:rsidRPr="00845B3B">
        <w:t xml:space="preserve">, but for the 2015 Scheme this is based on calendar length </w:t>
      </w:r>
      <w:r>
        <w:t>membership</w:t>
      </w:r>
      <w:r w:rsidRPr="00845B3B">
        <w:t xml:space="preserve">. </w:t>
      </w:r>
    </w:p>
    <w:p w14:paraId="25673BA0" w14:textId="77777777" w:rsidR="00227738" w:rsidRPr="00845B3B" w:rsidRDefault="00227738" w:rsidP="004C5C72">
      <w:pPr>
        <w:pStyle w:val="Default"/>
        <w:spacing w:line="276" w:lineRule="auto"/>
      </w:pPr>
    </w:p>
    <w:p w14:paraId="046737BB" w14:textId="77777777" w:rsidR="00227738" w:rsidRDefault="00227738" w:rsidP="004C5C72">
      <w:pPr>
        <w:pStyle w:val="Default"/>
        <w:spacing w:line="276" w:lineRule="auto"/>
      </w:pPr>
      <w:r>
        <w:t>Here are</w:t>
      </w:r>
      <w:r w:rsidRPr="00845B3B">
        <w:t xml:space="preserve"> four examples of scenarios for partial retirement LALS calculations. </w:t>
      </w:r>
    </w:p>
    <w:p w14:paraId="32843AE0" w14:textId="77777777" w:rsidR="00C97FA1" w:rsidRDefault="00C97FA1" w:rsidP="00233DD0">
      <w:pPr>
        <w:pStyle w:val="Default"/>
        <w:spacing w:line="276" w:lineRule="auto"/>
      </w:pPr>
    </w:p>
    <w:p w14:paraId="4D52C585" w14:textId="5A26C5A9" w:rsidR="00C97FA1" w:rsidRPr="00F25DDF" w:rsidRDefault="00C97FA1" w:rsidP="00233DD0">
      <w:pPr>
        <w:pStyle w:val="Heading3"/>
      </w:pPr>
      <w:r w:rsidRPr="00F25DDF">
        <w:t>Calculation 1: Partial retirement</w:t>
      </w:r>
    </w:p>
    <w:p w14:paraId="7B705B2D" w14:textId="77777777" w:rsidR="00C97FA1" w:rsidRDefault="00C97FA1" w:rsidP="00233DD0">
      <w:pPr>
        <w:pStyle w:val="Default"/>
        <w:rPr>
          <w:b/>
          <w:bCs/>
          <w:u w:val="single"/>
        </w:rPr>
      </w:pPr>
    </w:p>
    <w:p w14:paraId="2066C1B7" w14:textId="77777777" w:rsidR="00C97FA1" w:rsidRPr="007E0A9F" w:rsidRDefault="00C97FA1" w:rsidP="00233DD0">
      <w:pPr>
        <w:pStyle w:val="Default"/>
        <w:numPr>
          <w:ilvl w:val="0"/>
          <w:numId w:val="11"/>
        </w:numPr>
      </w:pPr>
      <w:r>
        <w:t>p</w:t>
      </w:r>
      <w:r w:rsidRPr="007E0A9F">
        <w:t>ayable date 04/12/2023</w:t>
      </w:r>
    </w:p>
    <w:p w14:paraId="21224068" w14:textId="77777777" w:rsidR="00C97FA1" w:rsidRPr="007E0A9F" w:rsidRDefault="00C97FA1" w:rsidP="00233DD0">
      <w:pPr>
        <w:pStyle w:val="Default"/>
        <w:numPr>
          <w:ilvl w:val="0"/>
          <w:numId w:val="11"/>
        </w:numPr>
      </w:pPr>
      <w:r w:rsidRPr="007E0A9F">
        <w:t>100% 1995 benefits</w:t>
      </w:r>
    </w:p>
    <w:p w14:paraId="3A0D8EBA" w14:textId="77777777" w:rsidR="00C97FA1" w:rsidRPr="007E0A9F" w:rsidRDefault="00C97FA1" w:rsidP="00233DD0">
      <w:pPr>
        <w:pStyle w:val="Default"/>
        <w:numPr>
          <w:ilvl w:val="0"/>
          <w:numId w:val="11"/>
        </w:numPr>
      </w:pPr>
      <w:r>
        <w:t>b</w:t>
      </w:r>
      <w:r w:rsidRPr="007E0A9F">
        <w:t xml:space="preserve">enefit </w:t>
      </w:r>
      <w:r>
        <w:t>st</w:t>
      </w:r>
      <w:r w:rsidRPr="007E0A9F">
        <w:t>atement required at 31/03/2024</w:t>
      </w:r>
    </w:p>
    <w:p w14:paraId="35295135" w14:textId="77777777" w:rsidR="00C97FA1" w:rsidRPr="00FE275B" w:rsidRDefault="00C97FA1" w:rsidP="00233DD0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3685"/>
      </w:tblGrid>
      <w:tr w:rsidR="00C97FA1" w:rsidRPr="00FE275B" w14:paraId="54B85584" w14:textId="77777777" w:rsidTr="00E90976">
        <w:trPr>
          <w:trHeight w:val="340"/>
        </w:trPr>
        <w:tc>
          <w:tcPr>
            <w:tcW w:w="6057" w:type="dxa"/>
            <w:vAlign w:val="center"/>
          </w:tcPr>
          <w:p w14:paraId="0D1D3DB7" w14:textId="77777777" w:rsidR="00C97FA1" w:rsidRPr="00FF459A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459A">
              <w:rPr>
                <w:rFonts w:cs="Arial"/>
                <w:color w:val="000000"/>
              </w:rPr>
              <w:t>1995 reckonable service at 31/03/2022</w:t>
            </w:r>
          </w:p>
        </w:tc>
        <w:tc>
          <w:tcPr>
            <w:tcW w:w="3685" w:type="dxa"/>
            <w:vAlign w:val="center"/>
          </w:tcPr>
          <w:p w14:paraId="35D558B1" w14:textId="77777777" w:rsidR="00C97FA1" w:rsidRPr="00FE275B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E275B">
              <w:rPr>
                <w:rFonts w:cs="Arial"/>
                <w:color w:val="000000"/>
              </w:rPr>
              <w:t xml:space="preserve">18 years 262 days (6832 days) </w:t>
            </w:r>
          </w:p>
        </w:tc>
      </w:tr>
      <w:tr w:rsidR="00C97FA1" w:rsidRPr="00FE275B" w14:paraId="64E01D34" w14:textId="77777777" w:rsidTr="00E90976">
        <w:trPr>
          <w:trHeight w:val="340"/>
        </w:trPr>
        <w:tc>
          <w:tcPr>
            <w:tcW w:w="6057" w:type="dxa"/>
            <w:vAlign w:val="center"/>
          </w:tcPr>
          <w:p w14:paraId="3EB59347" w14:textId="77777777" w:rsidR="00C97FA1" w:rsidRPr="00FF459A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459A">
              <w:rPr>
                <w:rFonts w:cs="Arial"/>
                <w:color w:val="000000"/>
              </w:rPr>
              <w:t>2015 calendar service from 01/04/2022 – 31/03/2024</w:t>
            </w:r>
          </w:p>
        </w:tc>
        <w:tc>
          <w:tcPr>
            <w:tcW w:w="3685" w:type="dxa"/>
            <w:vAlign w:val="center"/>
          </w:tcPr>
          <w:p w14:paraId="56DFDAF7" w14:textId="77777777" w:rsidR="00C97FA1" w:rsidRPr="00FE275B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E275B">
              <w:rPr>
                <w:rFonts w:cs="Arial"/>
                <w:color w:val="000000"/>
              </w:rPr>
              <w:t xml:space="preserve">2 years 000 days (730 days) </w:t>
            </w:r>
          </w:p>
        </w:tc>
      </w:tr>
      <w:tr w:rsidR="00C97FA1" w:rsidRPr="00FE275B" w14:paraId="604E9E5B" w14:textId="77777777" w:rsidTr="00E90976">
        <w:trPr>
          <w:trHeight w:val="340"/>
        </w:trPr>
        <w:tc>
          <w:tcPr>
            <w:tcW w:w="6057" w:type="dxa"/>
            <w:vAlign w:val="center"/>
          </w:tcPr>
          <w:p w14:paraId="04CD4E2D" w14:textId="77777777" w:rsidR="00C97FA1" w:rsidRPr="00FF459A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459A">
              <w:rPr>
                <w:rFonts w:cs="Arial"/>
                <w:color w:val="000000"/>
              </w:rPr>
              <w:t>Total membership for the 1995 and 2015 Schemes</w:t>
            </w:r>
          </w:p>
        </w:tc>
        <w:tc>
          <w:tcPr>
            <w:tcW w:w="3685" w:type="dxa"/>
            <w:vAlign w:val="center"/>
          </w:tcPr>
          <w:p w14:paraId="533CD89B" w14:textId="77777777" w:rsidR="00C97FA1" w:rsidRPr="00FE275B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E275B">
              <w:rPr>
                <w:rFonts w:cs="Arial"/>
                <w:color w:val="000000"/>
              </w:rPr>
              <w:t xml:space="preserve">20 years 262 days (7562 days) </w:t>
            </w:r>
          </w:p>
        </w:tc>
      </w:tr>
      <w:tr w:rsidR="00C97FA1" w:rsidRPr="00FE275B" w14:paraId="01F5C99E" w14:textId="77777777" w:rsidTr="00E90976">
        <w:trPr>
          <w:trHeight w:val="340"/>
        </w:trPr>
        <w:tc>
          <w:tcPr>
            <w:tcW w:w="6057" w:type="dxa"/>
            <w:vAlign w:val="center"/>
          </w:tcPr>
          <w:p w14:paraId="431DE00D" w14:textId="77777777" w:rsidR="00C97FA1" w:rsidRPr="00FF459A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459A">
              <w:rPr>
                <w:rFonts w:cs="Arial"/>
                <w:color w:val="000000"/>
              </w:rPr>
              <w:t>Actual pensionable earnings (2023/2024)</w:t>
            </w:r>
          </w:p>
        </w:tc>
        <w:tc>
          <w:tcPr>
            <w:tcW w:w="3685" w:type="dxa"/>
            <w:vAlign w:val="center"/>
          </w:tcPr>
          <w:p w14:paraId="6C292823" w14:textId="77777777" w:rsidR="00C97FA1" w:rsidRPr="00FE275B" w:rsidRDefault="00C97FA1" w:rsidP="00233DD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E275B">
              <w:rPr>
                <w:rFonts w:cs="Arial"/>
                <w:color w:val="000000"/>
              </w:rPr>
              <w:t xml:space="preserve">£22,095.21 </w:t>
            </w:r>
          </w:p>
        </w:tc>
      </w:tr>
    </w:tbl>
    <w:p w14:paraId="4D447276" w14:textId="77777777" w:rsidR="00C97FA1" w:rsidRDefault="00C97FA1" w:rsidP="00233DD0">
      <w:pPr>
        <w:pStyle w:val="Default"/>
      </w:pPr>
    </w:p>
    <w:p w14:paraId="40147E62" w14:textId="77777777" w:rsidR="00C97FA1" w:rsidRDefault="00C97FA1" w:rsidP="00233DD0">
      <w:pPr>
        <w:pStyle w:val="Default"/>
        <w:rPr>
          <w:b/>
          <w:bCs/>
        </w:rPr>
      </w:pPr>
      <w:r w:rsidRPr="00760814">
        <w:rPr>
          <w:b/>
          <w:bCs/>
        </w:rPr>
        <w:t xml:space="preserve">£22,095.21 x </w:t>
      </w:r>
      <w:r>
        <w:rPr>
          <w:b/>
          <w:bCs/>
        </w:rPr>
        <w:t>(</w:t>
      </w:r>
      <w:r w:rsidRPr="00760814">
        <w:rPr>
          <w:b/>
          <w:bCs/>
        </w:rPr>
        <w:t>730 / 7562</w:t>
      </w:r>
      <w:r>
        <w:rPr>
          <w:b/>
          <w:bCs/>
        </w:rPr>
        <w:t>)</w:t>
      </w:r>
      <w:r w:rsidRPr="00760814">
        <w:rPr>
          <w:b/>
          <w:bCs/>
        </w:rPr>
        <w:t xml:space="preserve"> = £2,132.96 x 2 =</w:t>
      </w:r>
      <w:r>
        <w:rPr>
          <w:b/>
          <w:bCs/>
        </w:rPr>
        <w:t xml:space="preserve"> </w:t>
      </w:r>
      <w:r w:rsidRPr="00760814">
        <w:rPr>
          <w:b/>
          <w:bCs/>
        </w:rPr>
        <w:t>£4,265.93 LALS</w:t>
      </w:r>
    </w:p>
    <w:p w14:paraId="2256B120" w14:textId="77777777" w:rsidR="00A22F7E" w:rsidRDefault="00A22F7E" w:rsidP="00233DD0">
      <w:pPr>
        <w:pStyle w:val="Default"/>
        <w:rPr>
          <w:b/>
          <w:bCs/>
        </w:rPr>
      </w:pPr>
    </w:p>
    <w:p w14:paraId="3A43D33A" w14:textId="77777777" w:rsidR="005603EC" w:rsidRDefault="005603EC" w:rsidP="00233DD0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0A26D5F4" w14:textId="77777777" w:rsidR="007972BC" w:rsidRDefault="007972BC" w:rsidP="00233DD0">
      <w:pPr>
        <w:rPr>
          <w:rFonts w:eastAsiaTheme="majorEastAsia" w:cstheme="majorBidi"/>
          <w:b/>
        </w:rPr>
      </w:pPr>
      <w:r>
        <w:br w:type="page"/>
      </w:r>
    </w:p>
    <w:p w14:paraId="0A10106A" w14:textId="7FD0D921" w:rsidR="00A22F7E" w:rsidRPr="00A22F7E" w:rsidRDefault="00A22F7E" w:rsidP="00233DD0">
      <w:pPr>
        <w:pStyle w:val="Heading3"/>
      </w:pPr>
      <w:r w:rsidRPr="00A22F7E">
        <w:lastRenderedPageBreak/>
        <w:t>Calculation 2: Partial retirement</w:t>
      </w:r>
    </w:p>
    <w:p w14:paraId="25526A42" w14:textId="77777777" w:rsidR="00A22F7E" w:rsidRDefault="00A22F7E" w:rsidP="00233DD0">
      <w:pPr>
        <w:autoSpaceDE w:val="0"/>
        <w:autoSpaceDN w:val="0"/>
        <w:adjustRightInd w:val="0"/>
        <w:rPr>
          <w:rFonts w:cs="Arial"/>
          <w:b/>
          <w:bCs/>
          <w:color w:val="000000"/>
          <w:u w:val="single"/>
        </w:rPr>
      </w:pPr>
    </w:p>
    <w:p w14:paraId="65C31ED8" w14:textId="77777777" w:rsidR="00A22F7E" w:rsidRPr="006E4815" w:rsidRDefault="00A22F7E" w:rsidP="00233DD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</w:rPr>
      </w:pPr>
      <w:r w:rsidRPr="006E4815">
        <w:rPr>
          <w:rFonts w:cs="Arial"/>
          <w:color w:val="000000"/>
        </w:rPr>
        <w:t>payable date 04/12/2023</w:t>
      </w:r>
    </w:p>
    <w:p w14:paraId="09833F81" w14:textId="77777777" w:rsidR="00A22F7E" w:rsidRDefault="00A22F7E" w:rsidP="00233DD0">
      <w:pPr>
        <w:pStyle w:val="ListParagraph"/>
        <w:numPr>
          <w:ilvl w:val="0"/>
          <w:numId w:val="12"/>
        </w:numPr>
        <w:spacing w:after="160" w:line="259" w:lineRule="auto"/>
      </w:pPr>
      <w:r w:rsidRPr="007E0A9F">
        <w:rPr>
          <w:rFonts w:cs="Arial"/>
          <w:color w:val="000000"/>
        </w:rPr>
        <w:t>80% 1995 benefits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A22F7E" w14:paraId="599654F8" w14:textId="77777777" w:rsidTr="005603EC">
        <w:trPr>
          <w:trHeight w:val="340"/>
        </w:trPr>
        <w:tc>
          <w:tcPr>
            <w:tcW w:w="6096" w:type="dxa"/>
            <w:vAlign w:val="center"/>
          </w:tcPr>
          <w:p w14:paraId="0B27F515" w14:textId="77777777" w:rsidR="00A22F7E" w:rsidRPr="00FF459A" w:rsidRDefault="00A22F7E" w:rsidP="00233DD0">
            <w:pPr>
              <w:pStyle w:val="Default"/>
              <w:rPr>
                <w:u w:val="single"/>
              </w:rPr>
            </w:pPr>
            <w:r w:rsidRPr="00FF459A">
              <w:rPr>
                <w:sz w:val="22"/>
                <w:szCs w:val="22"/>
              </w:rPr>
              <w:t>1995 reckonable membership at 31/03/2022</w:t>
            </w:r>
          </w:p>
        </w:tc>
        <w:tc>
          <w:tcPr>
            <w:tcW w:w="3685" w:type="dxa"/>
            <w:vAlign w:val="center"/>
          </w:tcPr>
          <w:p w14:paraId="16F1E978" w14:textId="77777777" w:rsidR="00A22F7E" w:rsidRDefault="00A22F7E" w:rsidP="00233DD0">
            <w:pPr>
              <w:pStyle w:val="Default"/>
              <w:rPr>
                <w:u w:val="single"/>
              </w:rPr>
            </w:pPr>
            <w:r w:rsidRPr="00845B3B">
              <w:t>18 years 262 days (6832 days)</w:t>
            </w:r>
          </w:p>
        </w:tc>
      </w:tr>
    </w:tbl>
    <w:p w14:paraId="774686A8" w14:textId="77777777" w:rsidR="00A22F7E" w:rsidRDefault="00A22F7E" w:rsidP="00233DD0">
      <w:pPr>
        <w:pStyle w:val="Default"/>
        <w:rPr>
          <w:u w:val="single"/>
        </w:rPr>
      </w:pPr>
    </w:p>
    <w:p w14:paraId="67A8CFB1" w14:textId="77777777" w:rsidR="00A22F7E" w:rsidRPr="00845B3B" w:rsidRDefault="00A22F7E" w:rsidP="00233DD0">
      <w:pPr>
        <w:pStyle w:val="Default"/>
      </w:pPr>
      <w:r w:rsidRPr="00845B3B">
        <w:t xml:space="preserve">6832 / 100 x 80 = 5465.60 rounded up to 5466 (80% of membership claimed) </w:t>
      </w:r>
    </w:p>
    <w:p w14:paraId="5234B276" w14:textId="77777777" w:rsidR="00A22F7E" w:rsidRDefault="00A22F7E" w:rsidP="00233DD0">
      <w:pPr>
        <w:pStyle w:val="Default"/>
        <w:rPr>
          <w:u w:val="single"/>
        </w:rPr>
      </w:pPr>
    </w:p>
    <w:p w14:paraId="4AAF27B1" w14:textId="77777777" w:rsidR="00A22F7E" w:rsidRDefault="00A22F7E" w:rsidP="00233DD0">
      <w:pPr>
        <w:pStyle w:val="Default"/>
      </w:pPr>
      <w:r w:rsidRPr="00845B3B">
        <w:t xml:space="preserve">6832 – 5466 = 1366 (membership not included in partial retirement) </w:t>
      </w:r>
    </w:p>
    <w:p w14:paraId="3C928E70" w14:textId="77777777" w:rsidR="00A22F7E" w:rsidRDefault="00A22F7E" w:rsidP="00233DD0">
      <w:pPr>
        <w:pStyle w:val="Default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A22F7E" w14:paraId="04186754" w14:textId="77777777" w:rsidTr="00575BF9">
        <w:trPr>
          <w:trHeight w:val="340"/>
        </w:trPr>
        <w:tc>
          <w:tcPr>
            <w:tcW w:w="6096" w:type="dxa"/>
            <w:vAlign w:val="center"/>
          </w:tcPr>
          <w:p w14:paraId="5D6F300F" w14:textId="77777777" w:rsidR="00A22F7E" w:rsidRPr="00FF459A" w:rsidRDefault="00A22F7E" w:rsidP="00233DD0">
            <w:pPr>
              <w:pStyle w:val="Default"/>
              <w:rPr>
                <w:u w:val="single"/>
              </w:rPr>
            </w:pPr>
            <w:r w:rsidRPr="00FF459A">
              <w:rPr>
                <w:sz w:val="22"/>
                <w:szCs w:val="22"/>
              </w:rPr>
              <w:t>2015 calendar membership 01/04/2022 – 31/03/2024</w:t>
            </w:r>
          </w:p>
        </w:tc>
        <w:tc>
          <w:tcPr>
            <w:tcW w:w="3685" w:type="dxa"/>
            <w:vAlign w:val="center"/>
          </w:tcPr>
          <w:p w14:paraId="7187DC39" w14:textId="7C7EE3D1" w:rsidR="00A22F7E" w:rsidRDefault="00A22F7E" w:rsidP="00233DD0">
            <w:pPr>
              <w:pStyle w:val="Default"/>
              <w:rPr>
                <w:u w:val="single"/>
              </w:rPr>
            </w:pPr>
            <w:r w:rsidRPr="00845B3B">
              <w:t>2 years 000 days</w:t>
            </w:r>
            <w:r w:rsidR="005603EC">
              <w:t xml:space="preserve"> </w:t>
            </w:r>
            <w:r w:rsidRPr="00845B3B">
              <w:t>(730 days)</w:t>
            </w:r>
          </w:p>
        </w:tc>
      </w:tr>
    </w:tbl>
    <w:p w14:paraId="3740B54B" w14:textId="77777777" w:rsidR="00A22F7E" w:rsidRPr="00845B3B" w:rsidRDefault="00A22F7E" w:rsidP="00233DD0">
      <w:pPr>
        <w:pStyle w:val="Default"/>
      </w:pPr>
    </w:p>
    <w:p w14:paraId="4877C56E" w14:textId="77777777" w:rsidR="00A22F7E" w:rsidRDefault="00A22F7E" w:rsidP="00233DD0">
      <w:pPr>
        <w:pStyle w:val="Default"/>
      </w:pPr>
      <w:r w:rsidRPr="00845B3B">
        <w:t xml:space="preserve">730 + 1366 = 2096 (2015 and 20% 1995 membership not claimed) </w:t>
      </w:r>
    </w:p>
    <w:p w14:paraId="12650C31" w14:textId="77777777" w:rsidR="00A22F7E" w:rsidRPr="00760814" w:rsidRDefault="00A22F7E" w:rsidP="00233DD0">
      <w:pPr>
        <w:pStyle w:val="Default"/>
        <w:rPr>
          <w:b/>
          <w:bCs/>
        </w:rPr>
      </w:pPr>
    </w:p>
    <w:tbl>
      <w:tblPr>
        <w:tblStyle w:val="TableGrid"/>
        <w:tblW w:w="9747" w:type="dxa"/>
        <w:tblInd w:w="-113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786132" w14:paraId="50094D56" w14:textId="77777777" w:rsidTr="00BB1908">
        <w:trPr>
          <w:trHeight w:val="340"/>
        </w:trPr>
        <w:tc>
          <w:tcPr>
            <w:tcW w:w="6062" w:type="dxa"/>
            <w:vAlign w:val="center"/>
          </w:tcPr>
          <w:p w14:paraId="2BAC955E" w14:textId="77777777" w:rsidR="00786132" w:rsidRPr="00575BF9" w:rsidRDefault="00786132" w:rsidP="00233DD0">
            <w:pPr>
              <w:pStyle w:val="Default"/>
              <w:rPr>
                <w:u w:val="single"/>
              </w:rPr>
            </w:pPr>
            <w:r w:rsidRPr="00575BF9">
              <w:t>Total membership for the 1995 and 2015 Schemes</w:t>
            </w:r>
          </w:p>
        </w:tc>
        <w:tc>
          <w:tcPr>
            <w:tcW w:w="3685" w:type="dxa"/>
            <w:vAlign w:val="center"/>
          </w:tcPr>
          <w:p w14:paraId="16EAFD6F" w14:textId="77777777" w:rsidR="00786132" w:rsidRDefault="00786132" w:rsidP="00233DD0">
            <w:pPr>
              <w:pStyle w:val="Default"/>
              <w:rPr>
                <w:u w:val="single"/>
              </w:rPr>
            </w:pPr>
            <w:r w:rsidRPr="00845B3B">
              <w:t>20 years 262 days (7562 days)</w:t>
            </w:r>
          </w:p>
        </w:tc>
      </w:tr>
      <w:tr w:rsidR="00786132" w14:paraId="7E3764F0" w14:textId="77777777" w:rsidTr="00BB1908">
        <w:trPr>
          <w:trHeight w:val="340"/>
        </w:trPr>
        <w:tc>
          <w:tcPr>
            <w:tcW w:w="6062" w:type="dxa"/>
            <w:vAlign w:val="center"/>
          </w:tcPr>
          <w:p w14:paraId="0FE8B70F" w14:textId="53A0037D" w:rsidR="00786132" w:rsidRPr="00575BF9" w:rsidRDefault="00786132" w:rsidP="00233DD0">
            <w:pPr>
              <w:pStyle w:val="Default"/>
            </w:pPr>
            <w:r w:rsidRPr="00575BF9">
              <w:t>Actual pensionable earnings (01/04/2023–31/03/2024)</w:t>
            </w:r>
          </w:p>
        </w:tc>
        <w:tc>
          <w:tcPr>
            <w:tcW w:w="3685" w:type="dxa"/>
            <w:vAlign w:val="center"/>
          </w:tcPr>
          <w:p w14:paraId="6DC3739E" w14:textId="77777777" w:rsidR="00786132" w:rsidRPr="00845B3B" w:rsidRDefault="00786132" w:rsidP="00233DD0">
            <w:pPr>
              <w:pStyle w:val="Default"/>
            </w:pPr>
            <w:r w:rsidRPr="00845B3B">
              <w:t>£22,095.21</w:t>
            </w:r>
          </w:p>
        </w:tc>
      </w:tr>
    </w:tbl>
    <w:p w14:paraId="2E2844CC" w14:textId="77777777" w:rsidR="00786132" w:rsidRDefault="00786132" w:rsidP="00233DD0">
      <w:pPr>
        <w:pStyle w:val="Default"/>
        <w:rPr>
          <w:b/>
          <w:bCs/>
          <w:u w:val="single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786132" w:rsidRPr="00A94FD8" w14:paraId="5753AC99" w14:textId="77777777" w:rsidTr="00BB1908">
        <w:trPr>
          <w:trHeight w:val="103"/>
        </w:trPr>
        <w:tc>
          <w:tcPr>
            <w:tcW w:w="5353" w:type="dxa"/>
          </w:tcPr>
          <w:p w14:paraId="59E41874" w14:textId="77777777" w:rsidR="00786132" w:rsidRPr="00A94FD8" w:rsidRDefault="00786132" w:rsidP="00233DD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A94FD8">
              <w:rPr>
                <w:rFonts w:cs="Arial"/>
                <w:b/>
                <w:bCs/>
                <w:color w:val="000000"/>
              </w:rPr>
              <w:t xml:space="preserve">£22,095.21 x </w:t>
            </w:r>
            <w:r>
              <w:rPr>
                <w:rFonts w:cs="Arial"/>
                <w:b/>
                <w:bCs/>
                <w:color w:val="000000"/>
              </w:rPr>
              <w:t>(2096/7562)</w:t>
            </w:r>
            <w:r w:rsidRPr="00A94FD8">
              <w:rPr>
                <w:rFonts w:cs="Arial"/>
                <w:b/>
                <w:bCs/>
                <w:color w:val="000000"/>
              </w:rPr>
              <w:t xml:space="preserve"> = £</w:t>
            </w:r>
            <w:r>
              <w:rPr>
                <w:rFonts w:cs="Arial"/>
                <w:b/>
                <w:bCs/>
                <w:color w:val="000000"/>
              </w:rPr>
              <w:t>6,124.25 x 2</w:t>
            </w:r>
            <w:r w:rsidRPr="00A94FD8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14:paraId="1E8B0BE2" w14:textId="77777777" w:rsidR="00786132" w:rsidRPr="00A94FD8" w:rsidRDefault="00786132" w:rsidP="00233DD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= </w:t>
            </w:r>
            <w:r w:rsidRPr="00A94FD8">
              <w:rPr>
                <w:rFonts w:cs="Arial"/>
                <w:b/>
                <w:bCs/>
                <w:color w:val="000000"/>
              </w:rPr>
              <w:t>£</w:t>
            </w:r>
            <w:r>
              <w:rPr>
                <w:rFonts w:cs="Arial"/>
                <w:b/>
                <w:bCs/>
                <w:color w:val="000000"/>
              </w:rPr>
              <w:t>12,248.50 death in service LALS</w:t>
            </w:r>
          </w:p>
        </w:tc>
      </w:tr>
    </w:tbl>
    <w:p w14:paraId="6687B3DE" w14:textId="77777777" w:rsidR="00C97FA1" w:rsidRDefault="00C97FA1" w:rsidP="00233DD0">
      <w:pPr>
        <w:pStyle w:val="Default"/>
        <w:spacing w:line="276" w:lineRule="auto"/>
      </w:pPr>
    </w:p>
    <w:p w14:paraId="7963E589" w14:textId="77777777" w:rsidR="00ED043D" w:rsidRPr="00845B3B" w:rsidRDefault="00ED043D" w:rsidP="00233DD0">
      <w:pPr>
        <w:pStyle w:val="Default"/>
        <w:spacing w:line="276" w:lineRule="auto"/>
      </w:pPr>
    </w:p>
    <w:p w14:paraId="0E3D7F09" w14:textId="77777777" w:rsidR="00233DD0" w:rsidRDefault="00233DD0" w:rsidP="00233DD0">
      <w:pPr>
        <w:pStyle w:val="Heading3"/>
      </w:pPr>
    </w:p>
    <w:p w14:paraId="6D967BDE" w14:textId="031AEB24" w:rsidR="00C70B98" w:rsidRPr="00C70B98" w:rsidRDefault="00C70B98" w:rsidP="00233DD0">
      <w:pPr>
        <w:pStyle w:val="Heading3"/>
      </w:pPr>
      <w:r w:rsidRPr="00C70B98">
        <w:t>Calculation 3: Partial retirement</w:t>
      </w:r>
    </w:p>
    <w:p w14:paraId="411ADEB9" w14:textId="77777777" w:rsidR="00C70B98" w:rsidRDefault="00C70B98" w:rsidP="00233DD0">
      <w:pPr>
        <w:pStyle w:val="Default"/>
        <w:rPr>
          <w:b/>
          <w:bCs/>
          <w:u w:val="single"/>
        </w:rPr>
      </w:pPr>
    </w:p>
    <w:p w14:paraId="3EDF286A" w14:textId="77777777" w:rsidR="00C70B98" w:rsidRPr="007E0A9F" w:rsidRDefault="00C70B98" w:rsidP="00233DD0">
      <w:pPr>
        <w:pStyle w:val="Default"/>
        <w:numPr>
          <w:ilvl w:val="0"/>
          <w:numId w:val="13"/>
        </w:numPr>
      </w:pPr>
      <w:r w:rsidRPr="007E0A9F">
        <w:t>payable date 04/12/2023</w:t>
      </w:r>
    </w:p>
    <w:p w14:paraId="121E2FBF" w14:textId="77777777" w:rsidR="00C70B98" w:rsidRPr="007E0A9F" w:rsidRDefault="00C70B98" w:rsidP="00233DD0">
      <w:pPr>
        <w:pStyle w:val="Default"/>
        <w:numPr>
          <w:ilvl w:val="0"/>
          <w:numId w:val="13"/>
        </w:numPr>
      </w:pPr>
      <w:r w:rsidRPr="007E0A9F">
        <w:t xml:space="preserve">100% 1995 </w:t>
      </w:r>
      <w:r>
        <w:t>benefits</w:t>
      </w:r>
    </w:p>
    <w:p w14:paraId="2B1A5F92" w14:textId="77777777" w:rsidR="00C70B98" w:rsidRPr="00225E3D" w:rsidRDefault="00C70B98" w:rsidP="00233DD0">
      <w:pPr>
        <w:pStyle w:val="Default"/>
        <w:numPr>
          <w:ilvl w:val="0"/>
          <w:numId w:val="13"/>
        </w:numPr>
        <w:rPr>
          <w:b/>
          <w:bCs/>
          <w:u w:val="single"/>
        </w:rPr>
      </w:pPr>
      <w:r w:rsidRPr="007E0A9F">
        <w:t>50% 2015 benefits</w:t>
      </w:r>
    </w:p>
    <w:p w14:paraId="2DD12BD2" w14:textId="77777777" w:rsidR="00C70B98" w:rsidRDefault="00C70B98" w:rsidP="00233DD0">
      <w:pPr>
        <w:pStyle w:val="Default"/>
        <w:numPr>
          <w:ilvl w:val="0"/>
          <w:numId w:val="13"/>
        </w:numPr>
      </w:pPr>
      <w:r>
        <w:t>b</w:t>
      </w:r>
      <w:r w:rsidRPr="007E0A9F">
        <w:t xml:space="preserve">enefit </w:t>
      </w:r>
      <w:r>
        <w:t>s</w:t>
      </w:r>
      <w:r w:rsidRPr="007E0A9F">
        <w:t>tatement required at 31/03/2024</w:t>
      </w:r>
    </w:p>
    <w:p w14:paraId="4C8AF194" w14:textId="77777777" w:rsidR="00C70B98" w:rsidRDefault="00C70B98" w:rsidP="00233DD0">
      <w:pPr>
        <w:pStyle w:val="Default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C70B98" w14:paraId="792C7DDA" w14:textId="77777777" w:rsidTr="00BB1908">
        <w:trPr>
          <w:trHeight w:val="340"/>
        </w:trPr>
        <w:tc>
          <w:tcPr>
            <w:tcW w:w="6096" w:type="dxa"/>
            <w:vAlign w:val="center"/>
          </w:tcPr>
          <w:p w14:paraId="09628FE3" w14:textId="77777777" w:rsidR="00C70B98" w:rsidRDefault="00C70B98" w:rsidP="00233DD0">
            <w:pPr>
              <w:pStyle w:val="Default"/>
              <w:rPr>
                <w:u w:val="single"/>
              </w:rPr>
            </w:pPr>
            <w:r w:rsidRPr="006E4815">
              <w:rPr>
                <w:b/>
                <w:bCs/>
                <w:sz w:val="22"/>
                <w:szCs w:val="22"/>
              </w:rPr>
              <w:t>1995 reckonable membership at 31/03/2022</w:t>
            </w:r>
          </w:p>
        </w:tc>
        <w:tc>
          <w:tcPr>
            <w:tcW w:w="3685" w:type="dxa"/>
            <w:vAlign w:val="center"/>
          </w:tcPr>
          <w:p w14:paraId="3F429A76" w14:textId="34908945" w:rsidR="00C70B98" w:rsidRPr="007E0A9F" w:rsidRDefault="00C70B98" w:rsidP="00233DD0">
            <w:pPr>
              <w:pStyle w:val="Default"/>
            </w:pPr>
            <w:r w:rsidRPr="00845B3B">
              <w:t>18 years 262 days</w:t>
            </w:r>
            <w:r w:rsidR="00BB1908">
              <w:t xml:space="preserve"> </w:t>
            </w:r>
            <w:r w:rsidRPr="00845B3B">
              <w:t>(6832 days)</w:t>
            </w:r>
          </w:p>
        </w:tc>
      </w:tr>
      <w:tr w:rsidR="00C70B98" w14:paraId="3286A51E" w14:textId="77777777" w:rsidTr="00BB1908">
        <w:trPr>
          <w:trHeight w:val="340"/>
        </w:trPr>
        <w:tc>
          <w:tcPr>
            <w:tcW w:w="6096" w:type="dxa"/>
            <w:vAlign w:val="center"/>
          </w:tcPr>
          <w:p w14:paraId="3AE4FDFF" w14:textId="77777777" w:rsidR="00C70B98" w:rsidRPr="006E4815" w:rsidRDefault="00C70B98" w:rsidP="00233DD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0A9F">
              <w:rPr>
                <w:b/>
                <w:bCs/>
                <w:sz w:val="22"/>
                <w:szCs w:val="22"/>
              </w:rPr>
              <w:t>2015 calendar membership 01/04/2022 – 31/03/2024</w:t>
            </w:r>
          </w:p>
        </w:tc>
        <w:tc>
          <w:tcPr>
            <w:tcW w:w="3685" w:type="dxa"/>
            <w:vAlign w:val="center"/>
          </w:tcPr>
          <w:p w14:paraId="1D9D31A7" w14:textId="6AF56B15" w:rsidR="00C70B98" w:rsidRPr="00845B3B" w:rsidRDefault="00C70B98" w:rsidP="00233DD0">
            <w:pPr>
              <w:pStyle w:val="Default"/>
            </w:pPr>
            <w:r w:rsidRPr="00845B3B">
              <w:t>2 years 000 days</w:t>
            </w:r>
            <w:r w:rsidR="00BB1908">
              <w:t xml:space="preserve"> </w:t>
            </w:r>
            <w:r w:rsidRPr="00845B3B">
              <w:t>(730 days)</w:t>
            </w:r>
          </w:p>
        </w:tc>
      </w:tr>
    </w:tbl>
    <w:p w14:paraId="72793461" w14:textId="77777777" w:rsidR="00C70B98" w:rsidRDefault="00C70B98" w:rsidP="00233DD0">
      <w:pPr>
        <w:pStyle w:val="Default"/>
      </w:pPr>
    </w:p>
    <w:p w14:paraId="2EDB6E31" w14:textId="77777777" w:rsidR="00C70B98" w:rsidRDefault="00C70B98" w:rsidP="00233DD0">
      <w:pPr>
        <w:pStyle w:val="Default"/>
      </w:pPr>
      <w:r w:rsidRPr="00845B3B">
        <w:t>730 / 2 = 365 (50% of membership claimed)</w:t>
      </w:r>
    </w:p>
    <w:p w14:paraId="331F1881" w14:textId="77777777" w:rsidR="00C70B98" w:rsidRDefault="00C70B98" w:rsidP="00233DD0">
      <w:pPr>
        <w:pStyle w:val="Default"/>
      </w:pPr>
    </w:p>
    <w:p w14:paraId="4AFBEA60" w14:textId="77777777" w:rsidR="00C70B98" w:rsidRDefault="00C70B98" w:rsidP="00233DD0">
      <w:pPr>
        <w:pStyle w:val="Default"/>
      </w:pPr>
      <w:r w:rsidRPr="00845B3B">
        <w:t xml:space="preserve">730 – 365 = 365 (membership not included in partial retirement) </w:t>
      </w:r>
    </w:p>
    <w:p w14:paraId="3D5B32BA" w14:textId="77777777" w:rsidR="00C70B98" w:rsidRDefault="00C70B98" w:rsidP="00233DD0">
      <w:pPr>
        <w:pStyle w:val="Default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C70B98" w14:paraId="23EA67EF" w14:textId="77777777" w:rsidTr="00680765">
        <w:trPr>
          <w:trHeight w:val="340"/>
        </w:trPr>
        <w:tc>
          <w:tcPr>
            <w:tcW w:w="6238" w:type="dxa"/>
            <w:vAlign w:val="center"/>
          </w:tcPr>
          <w:p w14:paraId="6EB5D8D8" w14:textId="77777777" w:rsidR="00C70B98" w:rsidRDefault="00C70B98" w:rsidP="00233DD0">
            <w:pPr>
              <w:pStyle w:val="Default"/>
              <w:rPr>
                <w:u w:val="single"/>
              </w:rPr>
            </w:pPr>
            <w:r w:rsidRPr="007E0A9F">
              <w:rPr>
                <w:b/>
                <w:bCs/>
                <w:sz w:val="22"/>
                <w:szCs w:val="22"/>
              </w:rPr>
              <w:t>Total membership for the 1995 and 2015 Schemes</w:t>
            </w:r>
          </w:p>
        </w:tc>
        <w:tc>
          <w:tcPr>
            <w:tcW w:w="3543" w:type="dxa"/>
            <w:vAlign w:val="center"/>
          </w:tcPr>
          <w:p w14:paraId="07174CCF" w14:textId="3AB5DFD0" w:rsidR="00C70B98" w:rsidRPr="006E4815" w:rsidRDefault="00C70B98" w:rsidP="00233DD0">
            <w:pPr>
              <w:pStyle w:val="Default"/>
            </w:pPr>
            <w:r w:rsidRPr="00845B3B">
              <w:t>20 years 262 days</w:t>
            </w:r>
            <w:r w:rsidR="00680765">
              <w:t xml:space="preserve"> </w:t>
            </w:r>
            <w:r w:rsidRPr="00845B3B">
              <w:t>(7562 days)</w:t>
            </w:r>
          </w:p>
        </w:tc>
      </w:tr>
      <w:tr w:rsidR="00C70B98" w14:paraId="521B8F3D" w14:textId="77777777" w:rsidTr="00680765">
        <w:trPr>
          <w:trHeight w:val="340"/>
        </w:trPr>
        <w:tc>
          <w:tcPr>
            <w:tcW w:w="6238" w:type="dxa"/>
            <w:vAlign w:val="center"/>
          </w:tcPr>
          <w:p w14:paraId="72A20148" w14:textId="77777777" w:rsidR="00C70B98" w:rsidRPr="006E4815" w:rsidRDefault="00C70B98" w:rsidP="00233DD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0A9F">
              <w:rPr>
                <w:b/>
                <w:bCs/>
                <w:sz w:val="22"/>
                <w:szCs w:val="22"/>
              </w:rPr>
              <w:t>Actual Pensionable Earnings 01/04/2023 – 31/03/2024</w:t>
            </w:r>
          </w:p>
        </w:tc>
        <w:tc>
          <w:tcPr>
            <w:tcW w:w="3543" w:type="dxa"/>
            <w:vAlign w:val="center"/>
          </w:tcPr>
          <w:p w14:paraId="4C180F9B" w14:textId="77777777" w:rsidR="00C70B98" w:rsidRPr="00845B3B" w:rsidRDefault="00C70B98" w:rsidP="00233DD0">
            <w:pPr>
              <w:pStyle w:val="Default"/>
            </w:pPr>
            <w:r w:rsidRPr="00845B3B">
              <w:t>£22,095.21</w:t>
            </w:r>
          </w:p>
        </w:tc>
      </w:tr>
    </w:tbl>
    <w:p w14:paraId="06530083" w14:textId="77777777" w:rsidR="00C70B98" w:rsidRPr="00845B3B" w:rsidRDefault="00C70B98" w:rsidP="00233DD0">
      <w:pPr>
        <w:pStyle w:val="Default"/>
        <w:rPr>
          <w:u w:val="single"/>
        </w:rPr>
      </w:pPr>
    </w:p>
    <w:p w14:paraId="394763E7" w14:textId="77777777" w:rsidR="00C70B98" w:rsidRPr="00845B3B" w:rsidRDefault="00C70B98" w:rsidP="00233DD0">
      <w:pPr>
        <w:pStyle w:val="Default"/>
        <w:rPr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93"/>
      </w:tblGrid>
      <w:tr w:rsidR="00C70B98" w:rsidRPr="00246374" w14:paraId="25103516" w14:textId="77777777" w:rsidTr="000339DA">
        <w:trPr>
          <w:trHeight w:val="103"/>
        </w:trPr>
        <w:tc>
          <w:tcPr>
            <w:tcW w:w="5211" w:type="dxa"/>
          </w:tcPr>
          <w:p w14:paraId="02D0653F" w14:textId="77777777" w:rsidR="00C70B98" w:rsidRPr="005262ED" w:rsidRDefault="00C70B98" w:rsidP="00233DD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5262ED">
              <w:rPr>
                <w:rFonts w:cs="Arial"/>
                <w:b/>
                <w:bCs/>
                <w:color w:val="000000"/>
              </w:rPr>
              <w:t>£22,095.21 x 365 / 7562 = £1,066.48 x 2 =</w:t>
            </w:r>
          </w:p>
        </w:tc>
        <w:tc>
          <w:tcPr>
            <w:tcW w:w="3593" w:type="dxa"/>
          </w:tcPr>
          <w:p w14:paraId="0FC8CA93" w14:textId="77777777" w:rsidR="00C70B98" w:rsidRPr="005262ED" w:rsidRDefault="00C70B98" w:rsidP="00233DD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5262ED">
              <w:rPr>
                <w:rFonts w:cs="Arial"/>
                <w:b/>
                <w:bCs/>
                <w:color w:val="000000"/>
              </w:rPr>
              <w:t xml:space="preserve">£2,132.96 LALS </w:t>
            </w:r>
          </w:p>
        </w:tc>
      </w:tr>
    </w:tbl>
    <w:p w14:paraId="1FAB3A17" w14:textId="77777777" w:rsidR="00C97FA1" w:rsidRDefault="00C97FA1" w:rsidP="00233DD0"/>
    <w:p w14:paraId="0A5178CD" w14:textId="77777777" w:rsidR="00626B58" w:rsidRDefault="00626B58" w:rsidP="00233DD0"/>
    <w:p w14:paraId="34876065" w14:textId="77777777" w:rsidR="007972BC" w:rsidRDefault="007972BC" w:rsidP="00233DD0">
      <w:pPr>
        <w:rPr>
          <w:rFonts w:eastAsiaTheme="majorEastAsia" w:cstheme="majorBidi"/>
          <w:b/>
        </w:rPr>
      </w:pPr>
      <w:r>
        <w:br w:type="page"/>
      </w:r>
    </w:p>
    <w:p w14:paraId="7293FE88" w14:textId="57AA1F80" w:rsidR="00626B58" w:rsidRDefault="00626B58" w:rsidP="00233DD0">
      <w:pPr>
        <w:pStyle w:val="Heading3"/>
      </w:pPr>
      <w:r w:rsidRPr="00845B3B">
        <w:lastRenderedPageBreak/>
        <w:t xml:space="preserve">Calculation 4: Partial </w:t>
      </w:r>
      <w:r>
        <w:t>r</w:t>
      </w:r>
      <w:r w:rsidRPr="00845B3B">
        <w:t>etirement</w:t>
      </w:r>
      <w:r>
        <w:br/>
      </w:r>
    </w:p>
    <w:p w14:paraId="3298A44B" w14:textId="77777777" w:rsidR="00626B58" w:rsidRPr="007E0A9F" w:rsidRDefault="00626B58" w:rsidP="00233DD0">
      <w:pPr>
        <w:pStyle w:val="Default"/>
        <w:numPr>
          <w:ilvl w:val="0"/>
          <w:numId w:val="14"/>
        </w:numPr>
      </w:pPr>
      <w:r w:rsidRPr="007E0A9F">
        <w:t>payable date 04/12/2023</w:t>
      </w:r>
    </w:p>
    <w:p w14:paraId="24E3AB16" w14:textId="77777777" w:rsidR="00626B58" w:rsidRDefault="00626B58" w:rsidP="00233DD0">
      <w:pPr>
        <w:pStyle w:val="Default"/>
        <w:numPr>
          <w:ilvl w:val="0"/>
          <w:numId w:val="14"/>
        </w:numPr>
      </w:pPr>
      <w:r w:rsidRPr="007E0A9F">
        <w:t>100% 1995</w:t>
      </w:r>
    </w:p>
    <w:p w14:paraId="4D273CAA" w14:textId="77777777" w:rsidR="00626B58" w:rsidRPr="007E0A9F" w:rsidRDefault="00626B58" w:rsidP="00233DD0">
      <w:pPr>
        <w:pStyle w:val="Default"/>
        <w:numPr>
          <w:ilvl w:val="0"/>
          <w:numId w:val="14"/>
        </w:numPr>
      </w:pPr>
      <w:r>
        <w:t xml:space="preserve">100% </w:t>
      </w:r>
      <w:r w:rsidRPr="007E0A9F">
        <w:t>2015 benefits</w:t>
      </w:r>
    </w:p>
    <w:p w14:paraId="754F1F25" w14:textId="77777777" w:rsidR="00626B58" w:rsidRDefault="00626B58" w:rsidP="00233DD0">
      <w:pPr>
        <w:pStyle w:val="Default"/>
        <w:numPr>
          <w:ilvl w:val="0"/>
          <w:numId w:val="14"/>
        </w:numPr>
      </w:pPr>
      <w:r>
        <w:t>b</w:t>
      </w:r>
      <w:r w:rsidRPr="007E0A9F">
        <w:t xml:space="preserve">enefit </w:t>
      </w:r>
      <w:r>
        <w:t>s</w:t>
      </w:r>
      <w:r w:rsidRPr="007E0A9F">
        <w:t>tatement required at 31/03/2024</w:t>
      </w:r>
    </w:p>
    <w:p w14:paraId="776AC307" w14:textId="77777777" w:rsidR="00626B58" w:rsidRDefault="00626B58" w:rsidP="00233DD0">
      <w:pPr>
        <w:pStyle w:val="Default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626B58" w14:paraId="21AF6A1A" w14:textId="77777777" w:rsidTr="00804B08">
        <w:trPr>
          <w:trHeight w:val="340"/>
        </w:trPr>
        <w:tc>
          <w:tcPr>
            <w:tcW w:w="6238" w:type="dxa"/>
            <w:vAlign w:val="center"/>
          </w:tcPr>
          <w:p w14:paraId="55C8D5A8" w14:textId="77777777" w:rsidR="00626B58" w:rsidRPr="003D3FE8" w:rsidRDefault="00626B58" w:rsidP="00233DD0">
            <w:pPr>
              <w:pStyle w:val="Default"/>
              <w:rPr>
                <w:u w:val="single"/>
              </w:rPr>
            </w:pPr>
            <w:r w:rsidRPr="003D3FE8">
              <w:rPr>
                <w:sz w:val="22"/>
                <w:szCs w:val="22"/>
              </w:rPr>
              <w:t>1995 reckonable membership at 31/03/2022</w:t>
            </w:r>
          </w:p>
        </w:tc>
        <w:tc>
          <w:tcPr>
            <w:tcW w:w="3543" w:type="dxa"/>
            <w:vAlign w:val="center"/>
          </w:tcPr>
          <w:p w14:paraId="2B817D44" w14:textId="7822AFB7" w:rsidR="00626B58" w:rsidRPr="006E4815" w:rsidRDefault="00626B58" w:rsidP="00233DD0">
            <w:pPr>
              <w:pStyle w:val="Default"/>
            </w:pPr>
            <w:r w:rsidRPr="00845B3B">
              <w:t>18 years 262 days</w:t>
            </w:r>
            <w:r w:rsidR="00804B08">
              <w:t xml:space="preserve"> </w:t>
            </w:r>
            <w:r w:rsidRPr="00845B3B">
              <w:t>(6832 days)</w:t>
            </w:r>
          </w:p>
        </w:tc>
      </w:tr>
      <w:tr w:rsidR="00626B58" w14:paraId="33C48FD6" w14:textId="77777777" w:rsidTr="00804B08">
        <w:trPr>
          <w:trHeight w:val="340"/>
        </w:trPr>
        <w:tc>
          <w:tcPr>
            <w:tcW w:w="6238" w:type="dxa"/>
            <w:vAlign w:val="center"/>
          </w:tcPr>
          <w:p w14:paraId="61863D76" w14:textId="41657CF2" w:rsidR="00626B58" w:rsidRPr="003D3FE8" w:rsidRDefault="00626B58" w:rsidP="00233DD0">
            <w:pPr>
              <w:pStyle w:val="Default"/>
              <w:rPr>
                <w:sz w:val="22"/>
                <w:szCs w:val="22"/>
              </w:rPr>
            </w:pPr>
            <w:r w:rsidRPr="003D3FE8">
              <w:rPr>
                <w:sz w:val="22"/>
                <w:szCs w:val="22"/>
              </w:rPr>
              <w:t>2015 calendar membership 01/04/2022</w:t>
            </w:r>
            <w:r w:rsidR="00804B08">
              <w:rPr>
                <w:sz w:val="22"/>
                <w:szCs w:val="22"/>
              </w:rPr>
              <w:t xml:space="preserve"> </w:t>
            </w:r>
            <w:r w:rsidRPr="003D3FE8">
              <w:rPr>
                <w:sz w:val="22"/>
                <w:szCs w:val="22"/>
              </w:rPr>
              <w:t>– 31/03/2024</w:t>
            </w:r>
          </w:p>
        </w:tc>
        <w:tc>
          <w:tcPr>
            <w:tcW w:w="3543" w:type="dxa"/>
            <w:vAlign w:val="center"/>
          </w:tcPr>
          <w:p w14:paraId="30E09BC5" w14:textId="2CDAB9BB" w:rsidR="00626B58" w:rsidRPr="00845B3B" w:rsidRDefault="00626B58" w:rsidP="00233DD0">
            <w:pPr>
              <w:pStyle w:val="Default"/>
            </w:pPr>
            <w:r w:rsidRPr="00845B3B">
              <w:t>2 years 000 days</w:t>
            </w:r>
            <w:r w:rsidR="00804B08">
              <w:t xml:space="preserve"> </w:t>
            </w:r>
            <w:r w:rsidRPr="00845B3B">
              <w:t>(730 days)</w:t>
            </w:r>
          </w:p>
        </w:tc>
      </w:tr>
    </w:tbl>
    <w:p w14:paraId="44B646B0" w14:textId="77777777" w:rsidR="007972BC" w:rsidRDefault="007972BC" w:rsidP="00233DD0">
      <w:pPr>
        <w:pStyle w:val="Default"/>
      </w:pPr>
    </w:p>
    <w:p w14:paraId="16CED239" w14:textId="16BF51EA" w:rsidR="00626B58" w:rsidRDefault="00626B58" w:rsidP="00233DD0">
      <w:pPr>
        <w:pStyle w:val="Default"/>
      </w:pPr>
      <w:r w:rsidRPr="00845B3B">
        <w:t>730 - 612 = 118 (membership not included in partial retirement</w:t>
      </w:r>
      <w:r>
        <w:t>:</w:t>
      </w:r>
      <w:r w:rsidRPr="00845B3B">
        <w:t xml:space="preserve"> 04/12/2023 – 31/03/2024) </w:t>
      </w:r>
    </w:p>
    <w:p w14:paraId="1FC2AF1F" w14:textId="77777777" w:rsidR="007972BC" w:rsidRPr="00845B3B" w:rsidRDefault="007972BC" w:rsidP="00233DD0">
      <w:pPr>
        <w:pStyle w:val="Default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7972BC" w14:paraId="6DB2CB52" w14:textId="77777777" w:rsidTr="00804B08">
        <w:trPr>
          <w:trHeight w:val="340"/>
        </w:trPr>
        <w:tc>
          <w:tcPr>
            <w:tcW w:w="6238" w:type="dxa"/>
            <w:vAlign w:val="center"/>
          </w:tcPr>
          <w:p w14:paraId="0AC5024B" w14:textId="77777777" w:rsidR="007972BC" w:rsidRPr="003D3FE8" w:rsidRDefault="007972BC" w:rsidP="00233DD0">
            <w:pPr>
              <w:pStyle w:val="Default"/>
              <w:rPr>
                <w:u w:val="single"/>
              </w:rPr>
            </w:pPr>
            <w:r w:rsidRPr="003D3FE8">
              <w:t>Total membership for the 1995 and 2015 Schemes</w:t>
            </w:r>
          </w:p>
        </w:tc>
        <w:tc>
          <w:tcPr>
            <w:tcW w:w="3543" w:type="dxa"/>
            <w:vAlign w:val="center"/>
          </w:tcPr>
          <w:p w14:paraId="6849AE5B" w14:textId="02FEB8A7" w:rsidR="007972BC" w:rsidRPr="006E4815" w:rsidRDefault="007972BC" w:rsidP="00233DD0">
            <w:pPr>
              <w:pStyle w:val="Default"/>
            </w:pPr>
            <w:r w:rsidRPr="00845B3B">
              <w:t>20 years 262 days</w:t>
            </w:r>
            <w:r w:rsidR="00804B08">
              <w:t xml:space="preserve"> </w:t>
            </w:r>
            <w:r w:rsidRPr="00845B3B">
              <w:t>(7562 days)</w:t>
            </w:r>
          </w:p>
        </w:tc>
      </w:tr>
      <w:tr w:rsidR="007972BC" w14:paraId="052E8C46" w14:textId="77777777" w:rsidTr="00804B08">
        <w:trPr>
          <w:trHeight w:val="340"/>
        </w:trPr>
        <w:tc>
          <w:tcPr>
            <w:tcW w:w="6238" w:type="dxa"/>
            <w:vAlign w:val="center"/>
          </w:tcPr>
          <w:p w14:paraId="7F2F0910" w14:textId="5B96C08B" w:rsidR="007972BC" w:rsidRPr="003D3FE8" w:rsidRDefault="007972BC" w:rsidP="00233DD0">
            <w:pPr>
              <w:pStyle w:val="Default"/>
              <w:rPr>
                <w:sz w:val="22"/>
                <w:szCs w:val="22"/>
              </w:rPr>
            </w:pPr>
            <w:r w:rsidRPr="003D3FE8">
              <w:t>Actual pensionable earnings from 04/12/2023</w:t>
            </w:r>
            <w:r w:rsidR="00804B08">
              <w:t xml:space="preserve"> </w:t>
            </w:r>
            <w:r w:rsidRPr="003D3FE8">
              <w:t>–</w:t>
            </w:r>
            <w:r w:rsidR="009610C2">
              <w:t>3</w:t>
            </w:r>
            <w:r w:rsidRPr="003D3FE8">
              <w:t>1/03/2024</w:t>
            </w:r>
          </w:p>
        </w:tc>
        <w:tc>
          <w:tcPr>
            <w:tcW w:w="3543" w:type="dxa"/>
            <w:vAlign w:val="center"/>
          </w:tcPr>
          <w:p w14:paraId="4A7BA9D1" w14:textId="77777777" w:rsidR="007972BC" w:rsidRPr="00845B3B" w:rsidRDefault="007972BC" w:rsidP="00233DD0">
            <w:pPr>
              <w:pStyle w:val="Default"/>
            </w:pPr>
            <w:r w:rsidRPr="00845B3B">
              <w:t>£19,745.88 (uprated)</w:t>
            </w:r>
          </w:p>
        </w:tc>
      </w:tr>
    </w:tbl>
    <w:p w14:paraId="65C808A2" w14:textId="77777777" w:rsidR="007972BC" w:rsidRDefault="007972BC" w:rsidP="00233DD0">
      <w:pPr>
        <w:pStyle w:val="Default"/>
      </w:pPr>
    </w:p>
    <w:p w14:paraId="46001953" w14:textId="77777777" w:rsidR="007972BC" w:rsidRDefault="007972BC" w:rsidP="00233DD0">
      <w:pPr>
        <w:pStyle w:val="Default"/>
      </w:pPr>
      <w:r>
        <w:t>R</w:t>
      </w:r>
      <w:r w:rsidRPr="00845B3B">
        <w:t xml:space="preserve">efer to the </w:t>
      </w:r>
      <w:r>
        <w:t>p</w:t>
      </w:r>
      <w:r w:rsidRPr="00845B3B">
        <w:t xml:space="preserve">artial </w:t>
      </w:r>
      <w:r>
        <w:t>r</w:t>
      </w:r>
      <w:r w:rsidRPr="00845B3B">
        <w:t>etirement supplementary form:</w:t>
      </w:r>
    </w:p>
    <w:p w14:paraId="0CD86344" w14:textId="77777777" w:rsidR="007972BC" w:rsidRPr="007E0A9F" w:rsidRDefault="007972BC" w:rsidP="00233DD0">
      <w:pPr>
        <w:pStyle w:val="Default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7972BC" w14:paraId="53C20219" w14:textId="77777777" w:rsidTr="00804B08">
        <w:trPr>
          <w:trHeight w:val="340"/>
        </w:trPr>
        <w:tc>
          <w:tcPr>
            <w:tcW w:w="6238" w:type="dxa"/>
            <w:vAlign w:val="center"/>
          </w:tcPr>
          <w:p w14:paraId="6464E092" w14:textId="77777777" w:rsidR="007972BC" w:rsidRPr="009610C2" w:rsidRDefault="007972BC" w:rsidP="00233DD0">
            <w:pPr>
              <w:pStyle w:val="Default"/>
              <w:rPr>
                <w:u w:val="single"/>
              </w:rPr>
            </w:pPr>
            <w:r w:rsidRPr="009610C2">
              <w:t>Employer confirmed earnings from 01/04/2023 – 03/12/2023</w:t>
            </w:r>
          </w:p>
        </w:tc>
        <w:tc>
          <w:tcPr>
            <w:tcW w:w="3543" w:type="dxa"/>
            <w:vAlign w:val="center"/>
          </w:tcPr>
          <w:p w14:paraId="0FF5621F" w14:textId="32254A0E" w:rsidR="007972BC" w:rsidRPr="006E4815" w:rsidRDefault="007972BC" w:rsidP="00233DD0">
            <w:pPr>
              <w:pStyle w:val="Default"/>
            </w:pPr>
            <w:r w:rsidRPr="00845B3B">
              <w:t>20 years 262 days</w:t>
            </w:r>
            <w:r w:rsidR="00804B08">
              <w:t xml:space="preserve"> </w:t>
            </w:r>
            <w:r w:rsidRPr="00845B3B">
              <w:t>(7562 days)</w:t>
            </w:r>
          </w:p>
        </w:tc>
      </w:tr>
      <w:tr w:rsidR="007972BC" w14:paraId="107DDADD" w14:textId="77777777" w:rsidTr="00804B08">
        <w:trPr>
          <w:trHeight w:val="340"/>
        </w:trPr>
        <w:tc>
          <w:tcPr>
            <w:tcW w:w="6238" w:type="dxa"/>
            <w:vAlign w:val="center"/>
          </w:tcPr>
          <w:p w14:paraId="54D753D2" w14:textId="77777777" w:rsidR="007972BC" w:rsidRPr="009610C2" w:rsidRDefault="007972BC" w:rsidP="00233DD0">
            <w:pPr>
              <w:pStyle w:val="Default"/>
            </w:pPr>
            <w:r w:rsidRPr="009610C2">
              <w:t>2023/2024 Pensionable earnings</w:t>
            </w:r>
          </w:p>
        </w:tc>
        <w:tc>
          <w:tcPr>
            <w:tcW w:w="3543" w:type="dxa"/>
            <w:vAlign w:val="center"/>
          </w:tcPr>
          <w:p w14:paraId="63B777DA" w14:textId="77777777" w:rsidR="007972BC" w:rsidRPr="00845B3B" w:rsidRDefault="007972BC" w:rsidP="00233DD0">
            <w:pPr>
              <w:pStyle w:val="Default"/>
            </w:pPr>
            <w:r w:rsidRPr="00845B3B">
              <w:t>£19,745.88 (uprated)</w:t>
            </w:r>
          </w:p>
        </w:tc>
      </w:tr>
    </w:tbl>
    <w:p w14:paraId="4741FCA5" w14:textId="77777777" w:rsidR="007972BC" w:rsidRDefault="007972BC" w:rsidP="00233DD0">
      <w:pPr>
        <w:pStyle w:val="Default"/>
        <w:rPr>
          <w:b/>
          <w:bCs/>
        </w:rPr>
      </w:pPr>
    </w:p>
    <w:p w14:paraId="49860DCC" w14:textId="77777777" w:rsidR="007972BC" w:rsidRDefault="007972BC" w:rsidP="00233DD0">
      <w:pPr>
        <w:pStyle w:val="Default"/>
        <w:rPr>
          <w:b/>
          <w:bCs/>
          <w:u w:val="single"/>
        </w:rPr>
      </w:pPr>
    </w:p>
    <w:p w14:paraId="36CC2C5E" w14:textId="77777777" w:rsidR="007972BC" w:rsidRPr="00845B3B" w:rsidRDefault="007972BC" w:rsidP="00233DD0">
      <w:pPr>
        <w:pStyle w:val="Default"/>
      </w:pPr>
      <w:r w:rsidRPr="00845B3B">
        <w:t>£22,095.21 - £15,711.61 = £6,383.60 / 118 x 365 = £19,745.88 (earnings from 04/12/2023 – 31/03/2024</w:t>
      </w:r>
      <w:r>
        <w:t xml:space="preserve">, </w:t>
      </w:r>
      <w:r w:rsidRPr="00845B3B">
        <w:t xml:space="preserve">uprated to 365 days) </w:t>
      </w:r>
    </w:p>
    <w:p w14:paraId="51CEE325" w14:textId="77777777" w:rsidR="007972BC" w:rsidRDefault="007972BC" w:rsidP="00233DD0">
      <w:pPr>
        <w:pStyle w:val="Default"/>
        <w:rPr>
          <w:b/>
          <w:bCs/>
        </w:rPr>
      </w:pPr>
    </w:p>
    <w:p w14:paraId="08ECE9D9" w14:textId="77777777" w:rsidR="007972BC" w:rsidRDefault="007972BC" w:rsidP="00233DD0">
      <w:pPr>
        <w:pStyle w:val="Default"/>
        <w:rPr>
          <w:b/>
          <w:bCs/>
        </w:rPr>
      </w:pPr>
      <w:r w:rsidRPr="00C042A9">
        <w:rPr>
          <w:b/>
          <w:bCs/>
        </w:rPr>
        <w:t>£19,745.88 x 118 / 7562 = £308.12 x</w:t>
      </w:r>
      <w:r>
        <w:rPr>
          <w:b/>
          <w:bCs/>
        </w:rPr>
        <w:t xml:space="preserve"> </w:t>
      </w:r>
      <w:r w:rsidRPr="00C042A9">
        <w:rPr>
          <w:b/>
          <w:bCs/>
        </w:rPr>
        <w:t>2</w:t>
      </w:r>
      <w:r>
        <w:rPr>
          <w:b/>
          <w:bCs/>
        </w:rPr>
        <w:t xml:space="preserve"> </w:t>
      </w:r>
      <w:r w:rsidRPr="00C042A9">
        <w:rPr>
          <w:b/>
          <w:bCs/>
        </w:rPr>
        <w:t>= £616.24 LALS</w:t>
      </w:r>
    </w:p>
    <w:p w14:paraId="03D3D06D" w14:textId="77777777" w:rsidR="007972BC" w:rsidRDefault="007972BC" w:rsidP="00233DD0">
      <w:pPr>
        <w:pStyle w:val="Default"/>
        <w:rPr>
          <w:b/>
          <w:bCs/>
        </w:rPr>
      </w:pPr>
    </w:p>
    <w:p w14:paraId="43404972" w14:textId="77777777" w:rsidR="00ED043D" w:rsidRPr="007E0A9F" w:rsidRDefault="00ED043D" w:rsidP="00233DD0">
      <w:pPr>
        <w:pStyle w:val="Default"/>
      </w:pPr>
      <w:r>
        <w:t>Calculation four</w:t>
      </w:r>
      <w:r w:rsidRPr="007E0A9F">
        <w:t xml:space="preserve"> only applies if</w:t>
      </w:r>
      <w:r>
        <w:t>, in this scenario, t</w:t>
      </w:r>
      <w:r w:rsidRPr="007E0A9F">
        <w:t>he partial retirement payable date and benefit statement year-end date fall within the same financial year.</w:t>
      </w:r>
    </w:p>
    <w:p w14:paraId="144E7D2C" w14:textId="77777777" w:rsidR="00ED043D" w:rsidRDefault="00ED043D" w:rsidP="00233DD0">
      <w:pPr>
        <w:pStyle w:val="Default"/>
        <w:rPr>
          <w:b/>
          <w:bCs/>
          <w:u w:val="single"/>
        </w:rPr>
      </w:pPr>
    </w:p>
    <w:p w14:paraId="2224C3E6" w14:textId="77777777" w:rsidR="00ED043D" w:rsidRPr="007E0A9F" w:rsidRDefault="00ED043D" w:rsidP="00233DD0">
      <w:pPr>
        <w:pStyle w:val="Default"/>
      </w:pPr>
      <w:r w:rsidRPr="007E0A9F">
        <w:t>Important points to consider</w:t>
      </w:r>
      <w:r>
        <w:t>:</w:t>
      </w:r>
      <w:r w:rsidRPr="007E0A9F">
        <w:t xml:space="preserve"> </w:t>
      </w:r>
    </w:p>
    <w:p w14:paraId="777C09E5" w14:textId="77777777" w:rsidR="00ED043D" w:rsidRPr="00845B3B" w:rsidRDefault="00ED043D" w:rsidP="00233DD0">
      <w:pPr>
        <w:pStyle w:val="Default"/>
        <w:rPr>
          <w:u w:val="single"/>
        </w:rPr>
      </w:pPr>
    </w:p>
    <w:p w14:paraId="6C9490FF" w14:textId="77777777" w:rsidR="00ED043D" w:rsidRPr="00845B3B" w:rsidRDefault="00ED043D" w:rsidP="00233DD0">
      <w:pPr>
        <w:pStyle w:val="Default"/>
        <w:numPr>
          <w:ilvl w:val="0"/>
          <w:numId w:val="15"/>
        </w:numPr>
        <w:spacing w:after="50"/>
        <w:ind w:left="360"/>
      </w:pPr>
      <w:r>
        <w:t>i</w:t>
      </w:r>
      <w:r w:rsidRPr="00845B3B">
        <w:t>f you are projecting membership for</w:t>
      </w:r>
      <w:r>
        <w:t xml:space="preserve"> the</w:t>
      </w:r>
      <w:r w:rsidRPr="00845B3B">
        <w:t xml:space="preserve"> 2015 scheme this will also need to be completed when calculating the LALS </w:t>
      </w:r>
    </w:p>
    <w:p w14:paraId="1A8B7BC1" w14:textId="77777777" w:rsidR="00ED043D" w:rsidRPr="00845B3B" w:rsidRDefault="00ED043D" w:rsidP="00233DD0">
      <w:pPr>
        <w:pStyle w:val="Default"/>
        <w:numPr>
          <w:ilvl w:val="0"/>
          <w:numId w:val="15"/>
        </w:numPr>
        <w:spacing w:after="50"/>
        <w:ind w:left="360"/>
      </w:pPr>
      <w:r>
        <w:t>c</w:t>
      </w:r>
      <w:r w:rsidRPr="00845B3B">
        <w:t xml:space="preserve">heck for disallowed days that fall before and after the </w:t>
      </w:r>
      <w:r>
        <w:t>p</w:t>
      </w:r>
      <w:r w:rsidRPr="00845B3B">
        <w:t xml:space="preserve">artial </w:t>
      </w:r>
      <w:r>
        <w:t>r</w:t>
      </w:r>
      <w:r w:rsidRPr="00845B3B">
        <w:t xml:space="preserve">etirement event </w:t>
      </w:r>
    </w:p>
    <w:p w14:paraId="74174AFD" w14:textId="77777777" w:rsidR="00ED043D" w:rsidRPr="00845B3B" w:rsidRDefault="00ED043D" w:rsidP="00233DD0">
      <w:pPr>
        <w:pStyle w:val="Default"/>
        <w:numPr>
          <w:ilvl w:val="0"/>
          <w:numId w:val="15"/>
        </w:numPr>
        <w:spacing w:after="50"/>
        <w:ind w:left="360"/>
      </w:pPr>
      <w:r w:rsidRPr="00845B3B">
        <w:t>LALS is calculated from actual pay and not whole-time equivalent pay</w:t>
      </w:r>
    </w:p>
    <w:p w14:paraId="3CA4CEBC" w14:textId="77777777" w:rsidR="00ED043D" w:rsidRPr="00845B3B" w:rsidRDefault="00ED043D" w:rsidP="00233DD0">
      <w:pPr>
        <w:pStyle w:val="Default"/>
        <w:numPr>
          <w:ilvl w:val="0"/>
          <w:numId w:val="15"/>
        </w:numPr>
        <w:spacing w:after="50"/>
        <w:ind w:left="360"/>
      </w:pPr>
      <w:r>
        <w:t>p</w:t>
      </w:r>
      <w:r w:rsidRPr="00845B3B">
        <w:t xml:space="preserve">ay should be for a period of 365 days </w:t>
      </w:r>
    </w:p>
    <w:p w14:paraId="199BE1D5" w14:textId="77777777" w:rsidR="00ED043D" w:rsidRPr="00845B3B" w:rsidRDefault="00ED043D" w:rsidP="00233DD0">
      <w:pPr>
        <w:pStyle w:val="Default"/>
        <w:numPr>
          <w:ilvl w:val="0"/>
          <w:numId w:val="15"/>
        </w:numPr>
        <w:ind w:left="360"/>
        <w:rPr>
          <w:b/>
          <w:bCs/>
          <w:u w:val="single"/>
        </w:rPr>
      </w:pPr>
      <w:r>
        <w:t>f</w:t>
      </w:r>
      <w:r w:rsidRPr="00845B3B">
        <w:t>or calculating the service for the LALS</w:t>
      </w:r>
      <w:r>
        <w:t>,</w:t>
      </w:r>
      <w:r w:rsidRPr="00845B3B">
        <w:t xml:space="preserve"> 1995/2008 is based on reckonable </w:t>
      </w:r>
      <w:r>
        <w:t>membership. F</w:t>
      </w:r>
      <w:r w:rsidRPr="00845B3B">
        <w:t>or the 2015 Scheme</w:t>
      </w:r>
      <w:r>
        <w:t>,</w:t>
      </w:r>
      <w:r w:rsidRPr="00845B3B">
        <w:t xml:space="preserve"> this is based on calendar length </w:t>
      </w:r>
      <w:r>
        <w:t>membership</w:t>
      </w:r>
    </w:p>
    <w:p w14:paraId="5487EEE6" w14:textId="77777777" w:rsidR="007972BC" w:rsidRDefault="007972BC" w:rsidP="00233DD0"/>
    <w:p w14:paraId="4D3DD9CD" w14:textId="77777777" w:rsidR="007972BC" w:rsidRDefault="007972BC" w:rsidP="00233DD0"/>
    <w:p w14:paraId="297F612A" w14:textId="77777777" w:rsidR="007972BC" w:rsidRDefault="007972BC" w:rsidP="00233DD0"/>
    <w:p w14:paraId="4C92D64F" w14:textId="77777777" w:rsidR="007972BC" w:rsidRDefault="007972BC" w:rsidP="00C97FA1">
      <w:pPr>
        <w:sectPr w:rsidR="007972BC" w:rsidSect="003B374A">
          <w:headerReference w:type="default" r:id="rId13"/>
          <w:footerReference w:type="default" r:id="rId14"/>
          <w:footerReference w:type="first" r:id="rId15"/>
          <w:pgSz w:w="11900" w:h="16840"/>
          <w:pgMar w:top="1134" w:right="1134" w:bottom="1077" w:left="1134" w:header="283" w:footer="57" w:gutter="0"/>
          <w:cols w:space="708"/>
          <w:docGrid w:linePitch="326"/>
        </w:sectPr>
      </w:pPr>
    </w:p>
    <w:p w14:paraId="72C1B739" w14:textId="13924793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CCAD0D2" w14:textId="77777777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3EB8BC2" w14:textId="2115A896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1F2D4825" w14:textId="361B85E3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A660CC1" w14:textId="77777777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60CB487E" w14:textId="1E675980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7ABA46F7" w14:textId="1046B353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059CE57D" w14:textId="2EBD9C2C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67AC0888" w14:textId="77777777" w:rsidR="007D3393" w:rsidRDefault="007D3393" w:rsidP="007D3393">
      <w:pPr>
        <w:textAlignment w:val="baseline"/>
        <w:rPr>
          <w:rFonts w:cs="Arial"/>
          <w:b/>
          <w:bCs/>
          <w:color w:val="FFFFFF" w:themeColor="background1"/>
        </w:rPr>
      </w:pPr>
    </w:p>
    <w:p w14:paraId="483D9305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4E898041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7BD07C30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143B6E24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7890E7CF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0173025F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7D3940B6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45D82186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615A2964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2D4B0F10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5A095082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05BD587A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04A3B004" w14:textId="77777777" w:rsidR="007D3393" w:rsidRPr="00CE41E1" w:rsidRDefault="007D3393" w:rsidP="007D3393">
      <w:pPr>
        <w:textAlignment w:val="baseline"/>
        <w:rPr>
          <w:rFonts w:cs="Arial"/>
          <w:b/>
          <w:bCs/>
        </w:rPr>
      </w:pPr>
    </w:p>
    <w:p w14:paraId="4F3985F0" w14:textId="77777777" w:rsidR="00350939" w:rsidRPr="00CE41E1" w:rsidRDefault="00350939" w:rsidP="00290526">
      <w:pPr>
        <w:spacing w:after="240" w:line="276" w:lineRule="auto"/>
        <w:textAlignment w:val="baseline"/>
        <w:rPr>
          <w:rFonts w:cs="Arial"/>
          <w:b/>
          <w:bCs/>
          <w:sz w:val="32"/>
          <w:szCs w:val="32"/>
        </w:rPr>
      </w:pPr>
      <w:bookmarkStart w:id="0" w:name="_Hlk163484771"/>
      <w:r w:rsidRPr="00CE41E1">
        <w:rPr>
          <w:rFonts w:cs="Arial"/>
          <w:b/>
          <w:bCs/>
          <w:sz w:val="32"/>
          <w:szCs w:val="32"/>
        </w:rPr>
        <w:t>How we use your information</w:t>
      </w:r>
    </w:p>
    <w:bookmarkEnd w:id="0"/>
    <w:p w14:paraId="4BAE172B" w14:textId="73BC4B33" w:rsidR="007D3393" w:rsidRPr="00CE41E1" w:rsidRDefault="00350939" w:rsidP="00290526">
      <w:pPr>
        <w:spacing w:line="276" w:lineRule="auto"/>
        <w:textAlignment w:val="baseline"/>
        <w:rPr>
          <w:rFonts w:cs="Arial"/>
          <w:sz w:val="28"/>
          <w:szCs w:val="28"/>
        </w:rPr>
      </w:pPr>
      <w:r w:rsidRPr="00CE41E1">
        <w:rPr>
          <w:rFonts w:cs="Arial"/>
          <w:sz w:val="28"/>
          <w:szCs w:val="28"/>
          <w:lang w:val="en-US"/>
        </w:rPr>
        <w:t xml:space="preserve">For more information about how the NHSBSA processes your personal data, see our </w:t>
      </w:r>
      <w:r w:rsidR="00774215" w:rsidRPr="00CE41E1">
        <w:rPr>
          <w:rFonts w:cs="Arial"/>
          <w:sz w:val="28"/>
          <w:szCs w:val="28"/>
          <w:lang w:val="en-US"/>
        </w:rPr>
        <w:t>p</w:t>
      </w:r>
      <w:r w:rsidRPr="00CE41E1">
        <w:rPr>
          <w:rFonts w:cs="Arial"/>
          <w:sz w:val="28"/>
          <w:szCs w:val="28"/>
          <w:lang w:val="en-US"/>
        </w:rPr>
        <w:t xml:space="preserve">rivacy </w:t>
      </w:r>
      <w:r w:rsidR="00774215" w:rsidRPr="00CE41E1">
        <w:rPr>
          <w:rFonts w:cs="Arial"/>
          <w:sz w:val="28"/>
          <w:szCs w:val="28"/>
          <w:lang w:val="en-US"/>
        </w:rPr>
        <w:t>n</w:t>
      </w:r>
      <w:r w:rsidRPr="00CE41E1">
        <w:rPr>
          <w:rFonts w:cs="Arial"/>
          <w:sz w:val="28"/>
          <w:szCs w:val="28"/>
          <w:lang w:val="en-US"/>
        </w:rPr>
        <w:t xml:space="preserve">otice - </w:t>
      </w:r>
      <w:hyperlink r:id="rId16" w:history="1">
        <w:r w:rsidRPr="00CE41E1">
          <w:rPr>
            <w:rStyle w:val="Hyperlink"/>
            <w:rFonts w:cs="Arial"/>
            <w:color w:val="auto"/>
            <w:sz w:val="28"/>
            <w:szCs w:val="28"/>
            <w:lang w:val="en-US"/>
          </w:rPr>
          <w:t>www.nhsbsa.nhs.uk/our-policies/privacy/nhs-pensions-privacy-notice</w:t>
        </w:r>
      </w:hyperlink>
    </w:p>
    <w:p w14:paraId="36FB06FA" w14:textId="154A9CBB" w:rsidR="00FE0C28" w:rsidRPr="00CE41E1" w:rsidRDefault="00FE0C28" w:rsidP="00290526">
      <w:pPr>
        <w:spacing w:line="276" w:lineRule="auto"/>
        <w:textAlignment w:val="baseline"/>
        <w:rPr>
          <w:rFonts w:cs="Arial"/>
          <w:sz w:val="28"/>
          <w:szCs w:val="28"/>
        </w:rPr>
      </w:pPr>
    </w:p>
    <w:p w14:paraId="69DC0D35" w14:textId="3E6E7C3B" w:rsidR="00FE0C28" w:rsidRPr="00CE41E1" w:rsidRDefault="00FE0C28" w:rsidP="00290526">
      <w:pPr>
        <w:spacing w:line="276" w:lineRule="auto"/>
        <w:textAlignment w:val="baseline"/>
        <w:rPr>
          <w:rFonts w:cs="Arial"/>
          <w:b/>
          <w:bCs/>
        </w:rPr>
      </w:pPr>
    </w:p>
    <w:p w14:paraId="7E5C3256" w14:textId="651C4067" w:rsidR="00FE0C28" w:rsidRPr="00CE41E1" w:rsidRDefault="00FE0C28" w:rsidP="00C469FD">
      <w:pPr>
        <w:textAlignment w:val="baseline"/>
        <w:rPr>
          <w:rFonts w:cs="Arial"/>
          <w:b/>
          <w:bCs/>
          <w:sz w:val="52"/>
          <w:szCs w:val="52"/>
        </w:rPr>
      </w:pPr>
      <w:r w:rsidRPr="00CE41E1">
        <w:rPr>
          <w:rFonts w:cs="Arial"/>
          <w:b/>
          <w:bCs/>
          <w:sz w:val="52"/>
          <w:szCs w:val="52"/>
        </w:rPr>
        <w:t>NHS Pensions</w:t>
      </w:r>
    </w:p>
    <w:p w14:paraId="62B5F269" w14:textId="07DF8BBC" w:rsidR="007D3393" w:rsidRDefault="007D3393" w:rsidP="00C469FD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r w:rsidRPr="007D3393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87BEF8D" wp14:editId="1720D8F5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210300" cy="695325"/>
                <wp:effectExtent l="0" t="0" r="0" b="9525"/>
                <wp:wrapNone/>
                <wp:docPr id="3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C2E17" id="Rectangle 2" o:spid="_x0000_s1026" alt="&quot;&quot;" style="position:absolute;margin-left:437.8pt;margin-top:7.45pt;width:489pt;height:54.75pt;z-index:-2516582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" fillcolor="black [3213]" stroked="f" strokeweight="2pt">
                <w10:wrap anchorx="margin"/>
              </v:rect>
            </w:pict>
          </mc:Fallback>
        </mc:AlternateContent>
      </w:r>
    </w:p>
    <w:p w14:paraId="1760934E" w14:textId="77726630" w:rsidR="00CE41E1" w:rsidRPr="00CE41E1" w:rsidRDefault="00CE41E1" w:rsidP="00CE41E1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r w:rsidRPr="00CE41E1">
        <w:rPr>
          <w:rFonts w:cs="Arial"/>
          <w:b/>
          <w:bCs/>
          <w:color w:val="FFFFFF" w:themeColor="background1"/>
          <w:sz w:val="32"/>
          <w:szCs w:val="32"/>
        </w:rPr>
        <w:t>Guidance for calculating LALS for partial retirement pensioners who die in pensionable employment</w:t>
      </w:r>
    </w:p>
    <w:p w14:paraId="1633E64F" w14:textId="14F1B2AF" w:rsidR="007D3393" w:rsidRDefault="006B2E4F" w:rsidP="00C469FD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r>
        <w:rPr>
          <w:rFonts w:cs="Arial"/>
          <w:b/>
          <w:bCs/>
          <w:color w:val="FFFFFF" w:themeColor="background1"/>
          <w:sz w:val="32"/>
          <w:szCs w:val="32"/>
        </w:rPr>
        <w:tab/>
      </w:r>
      <w:r>
        <w:rPr>
          <w:rFonts w:cs="Arial"/>
          <w:b/>
          <w:bCs/>
          <w:color w:val="FFFFFF" w:themeColor="background1"/>
          <w:sz w:val="32"/>
          <w:szCs w:val="32"/>
        </w:rPr>
        <w:tab/>
        <w:t xml:space="preserve">             </w:t>
      </w:r>
    </w:p>
    <w:p w14:paraId="700D3345" w14:textId="77777777" w:rsidR="007D3393" w:rsidRDefault="007D3393" w:rsidP="00C469FD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2BAB9AFD" w14:textId="77777777" w:rsidR="007D3393" w:rsidRPr="00CE41E1" w:rsidRDefault="007D3393" w:rsidP="00C469FD">
      <w:pPr>
        <w:textAlignment w:val="baseline"/>
        <w:rPr>
          <w:rFonts w:cs="Arial"/>
          <w:b/>
          <w:bCs/>
          <w:sz w:val="32"/>
          <w:szCs w:val="32"/>
        </w:rPr>
      </w:pPr>
    </w:p>
    <w:p w14:paraId="4C295D4B" w14:textId="7A876781" w:rsidR="00FE0C28" w:rsidRPr="00350939" w:rsidRDefault="00D6671D" w:rsidP="00C469FD">
      <w:pPr>
        <w:textAlignment w:val="baseline"/>
        <w:rPr>
          <w:rFonts w:ascii="Roboto" w:hAnsi="Roboto"/>
          <w:color w:val="FFFFFF" w:themeColor="background1"/>
          <w:spacing w:val="3"/>
          <w:sz w:val="28"/>
          <w:szCs w:val="28"/>
          <w:u w:val="single"/>
        </w:rPr>
      </w:pPr>
      <w:hyperlink r:id="rId17" w:history="1">
        <w:r w:rsidRPr="00CE41E1">
          <w:rPr>
            <w:rStyle w:val="Hyperlink"/>
            <w:rFonts w:cs="Arial"/>
            <w:color w:val="auto"/>
            <w:sz w:val="28"/>
            <w:szCs w:val="28"/>
          </w:rPr>
          <w:t>www.nhsbsa.nhs.uk/nhs-pensions</w:t>
        </w:r>
      </w:hyperlink>
      <w:r>
        <w:rPr>
          <w:rFonts w:cs="Arial"/>
          <w:color w:val="FFFFFF" w:themeColor="background1"/>
          <w:sz w:val="28"/>
          <w:szCs w:val="28"/>
          <w:u w:val="single"/>
        </w:rPr>
        <w:t xml:space="preserve"> </w:t>
      </w:r>
    </w:p>
    <w:sectPr w:rsidR="00FE0C28" w:rsidRPr="00350939" w:rsidSect="003B374A"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75D4" w14:textId="77777777" w:rsidR="00C820DF" w:rsidRDefault="00C820DF" w:rsidP="00D023EC">
      <w:r>
        <w:separator/>
      </w:r>
    </w:p>
  </w:endnote>
  <w:endnote w:type="continuationSeparator" w:id="0">
    <w:p w14:paraId="675A7950" w14:textId="77777777" w:rsidR="00C820DF" w:rsidRDefault="00C820DF" w:rsidP="00D023EC">
      <w:r>
        <w:continuationSeparator/>
      </w:r>
    </w:p>
  </w:endnote>
  <w:endnote w:type="continuationNotice" w:id="1">
    <w:p w14:paraId="5DC412A7" w14:textId="77777777" w:rsidR="00C820DF" w:rsidRDefault="00C82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08080" w:themeColor="background1" w:themeShade="80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Default="00CE1F66" w:rsidP="00F77C8F">
        <w:pPr>
          <w:pStyle w:val="Footer"/>
          <w:jc w:val="right"/>
          <w:rPr>
            <w:rFonts w:cs="Arial"/>
            <w:color w:val="808080" w:themeColor="background1" w:themeShade="80"/>
            <w:sz w:val="18"/>
            <w:szCs w:val="18"/>
          </w:rPr>
        </w:pPr>
        <w:r>
          <w:rPr>
            <w:rFonts w:cs="Arial"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996247C" wp14:editId="58C07FEA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DE4A8F" id="Straight Connector 9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24F72D6B" w14:textId="30F3B17A" w:rsidR="00CE1F66" w:rsidRPr="00197F72" w:rsidRDefault="004157C8" w:rsidP="00CE41E1">
        <w:pPr>
          <w:pStyle w:val="Footer"/>
          <w:jc w:val="right"/>
          <w:rPr>
            <w:rFonts w:cs="Arial"/>
            <w:noProof/>
            <w:color w:val="808080" w:themeColor="background1" w:themeShade="80"/>
            <w:sz w:val="18"/>
            <w:szCs w:val="18"/>
          </w:rPr>
        </w:pPr>
        <w:r>
          <w:rPr>
            <w:rFonts w:cs="Arial"/>
            <w:sz w:val="18"/>
            <w:szCs w:val="18"/>
          </w:rPr>
          <w:t>NHS Pensions-</w:t>
        </w:r>
        <w:r w:rsidRPr="004157C8">
          <w:rPr>
            <w:rFonts w:cs="Arial"/>
            <w:sz w:val="18"/>
            <w:szCs w:val="18"/>
          </w:rPr>
          <w:t>Guidance for calculating LALS for partial retirement pensioners who die in pensionable emp</w:t>
        </w:r>
        <w:r w:rsidR="00AD339D">
          <w:rPr>
            <w:rFonts w:cs="Arial"/>
            <w:sz w:val="18"/>
            <w:szCs w:val="18"/>
          </w:rPr>
          <w:t>loyment</w:t>
        </w:r>
        <w:r w:rsidR="00042FEE">
          <w:rPr>
            <w:rFonts w:cs="Arial"/>
            <w:sz w:val="18"/>
            <w:szCs w:val="18"/>
          </w:rPr>
          <w:t>-</w:t>
        </w:r>
        <w:r w:rsidR="00AD339D">
          <w:rPr>
            <w:rFonts w:cs="Arial"/>
            <w:sz w:val="18"/>
            <w:szCs w:val="18"/>
          </w:rPr>
          <w:t>20250603</w:t>
        </w:r>
        <w:r w:rsidR="00042FEE">
          <w:rPr>
            <w:rFonts w:cs="Arial"/>
            <w:sz w:val="18"/>
            <w:szCs w:val="18"/>
          </w:rPr>
          <w:t>-</w:t>
        </w:r>
        <w:r w:rsidR="00BD241B" w:rsidRPr="00975B04">
          <w:rPr>
            <w:rFonts w:cs="Arial"/>
            <w:sz w:val="18"/>
            <w:szCs w:val="18"/>
          </w:rPr>
          <w:t>(V</w:t>
        </w:r>
        <w:r w:rsidR="004D32B8">
          <w:rPr>
            <w:rFonts w:cs="Arial"/>
            <w:sz w:val="18"/>
            <w:szCs w:val="18"/>
          </w:rPr>
          <w:t>1</w:t>
        </w:r>
        <w:r w:rsidR="00BD241B" w:rsidRPr="00975B04">
          <w:rPr>
            <w:rFonts w:cs="Arial"/>
            <w:sz w:val="18"/>
            <w:szCs w:val="18"/>
          </w:rPr>
          <w:t>)</w:t>
        </w:r>
        <w:r w:rsidR="00BD241B" w:rsidRPr="00975B04">
          <w:rPr>
            <w:sz w:val="18"/>
            <w:szCs w:val="18"/>
          </w:rPr>
          <w:t xml:space="preserve"> </w:t>
        </w:r>
        <w:r w:rsidR="00CE1F66" w:rsidRPr="00197F72">
          <w:rPr>
            <w:rFonts w:cs="Arial"/>
            <w:sz w:val="18"/>
            <w:szCs w:val="18"/>
          </w:rPr>
          <w:fldChar w:fldCharType="begin"/>
        </w:r>
        <w:r w:rsidR="00CE1F66" w:rsidRPr="00197F72">
          <w:rPr>
            <w:rFonts w:cs="Arial"/>
            <w:sz w:val="18"/>
            <w:szCs w:val="18"/>
          </w:rPr>
          <w:instrText xml:space="preserve"> PAGE   \* MERGEFORMAT </w:instrText>
        </w:r>
        <w:r w:rsidR="00CE1F66" w:rsidRPr="00197F72">
          <w:rPr>
            <w:rFonts w:cs="Arial"/>
            <w:sz w:val="18"/>
            <w:szCs w:val="18"/>
          </w:rPr>
          <w:fldChar w:fldCharType="separate"/>
        </w:r>
        <w:r w:rsidR="00CE1F66" w:rsidRPr="00197F72">
          <w:rPr>
            <w:rFonts w:cs="Arial"/>
            <w:sz w:val="18"/>
            <w:szCs w:val="18"/>
          </w:rPr>
          <w:t>1</w:t>
        </w:r>
        <w:r w:rsidR="00CE1F66" w:rsidRPr="00197F7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29AA7AD" w14:textId="77777777" w:rsidR="00437B3C" w:rsidRPr="00CE1F66" w:rsidRDefault="00437B3C" w:rsidP="00CE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08080" w:themeColor="background1" w:themeShade="80"/>
        <w:sz w:val="18"/>
        <w:szCs w:val="18"/>
      </w:rPr>
      <w:id w:val="-160942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82480" w14:textId="2E633489" w:rsidR="005E1D02" w:rsidRDefault="005E1D02">
        <w:pPr>
          <w:pStyle w:val="Footer"/>
          <w:jc w:val="right"/>
          <w:rPr>
            <w:rFonts w:cs="Arial"/>
            <w:color w:val="808080" w:themeColor="background1" w:themeShade="80"/>
            <w:sz w:val="18"/>
            <w:szCs w:val="18"/>
          </w:rPr>
        </w:pPr>
        <w:r>
          <w:rPr>
            <w:rFonts w:cs="Arial"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D47021B" wp14:editId="6BF81F14">
                  <wp:simplePos x="0" y="0"/>
                  <wp:positionH relativeFrom="column">
                    <wp:posOffset>-21796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7" name="Straight Connector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747383F" id="Straight Connector 7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    </w:pict>
            </mc:Fallback>
          </mc:AlternateContent>
        </w:r>
      </w:p>
      <w:p w14:paraId="460484E7" w14:textId="6E09FA3F" w:rsidR="00437B3C" w:rsidRPr="00CE2144" w:rsidRDefault="00197F72" w:rsidP="00197F72">
        <w:pPr>
          <w:pStyle w:val="Footer"/>
          <w:jc w:val="right"/>
          <w:rPr>
            <w:rFonts w:cs="Arial"/>
            <w:color w:val="808080" w:themeColor="background1" w:themeShade="80"/>
            <w:sz w:val="18"/>
            <w:szCs w:val="18"/>
          </w:rPr>
        </w:pPr>
        <w:r>
          <w:rPr>
            <w:rFonts w:cs="Arial"/>
            <w:sz w:val="18"/>
            <w:szCs w:val="18"/>
          </w:rPr>
          <w:t xml:space="preserve">              </w:t>
        </w:r>
        <w:r w:rsidR="00124222" w:rsidRPr="00124222">
          <w:rPr>
            <w:rFonts w:cs="Arial"/>
            <w:sz w:val="18"/>
            <w:szCs w:val="18"/>
          </w:rPr>
          <w:t xml:space="preserve">                                                                               </w:t>
        </w:r>
        <w:r>
          <w:rPr>
            <w:rFonts w:cs="Arial"/>
            <w:color w:val="A6A6A6" w:themeColor="background1" w:themeShade="A6"/>
            <w:sz w:val="18"/>
            <w:szCs w:val="18"/>
          </w:rPr>
          <w:t>F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>actsheet</w:t>
        </w:r>
        <w:r>
          <w:rPr>
            <w:rFonts w:cs="Arial"/>
            <w:color w:val="A6A6A6" w:themeColor="background1" w:themeShade="A6"/>
            <w:sz w:val="18"/>
            <w:szCs w:val="18"/>
          </w:rPr>
          <w:t xml:space="preserve"> name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 xml:space="preserve"> </w:t>
        </w:r>
        <w:r>
          <w:rPr>
            <w:rFonts w:cs="Arial"/>
            <w:color w:val="A6A6A6" w:themeColor="background1" w:themeShade="A6"/>
            <w:sz w:val="18"/>
            <w:szCs w:val="18"/>
          </w:rPr>
          <w:t>- Date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 xml:space="preserve"> (V</w:t>
        </w:r>
        <w:r>
          <w:rPr>
            <w:rFonts w:cs="Arial"/>
            <w:color w:val="A6A6A6" w:themeColor="background1" w:themeShade="A6"/>
            <w:sz w:val="18"/>
            <w:szCs w:val="18"/>
          </w:rPr>
          <w:t>1</w:t>
        </w:r>
        <w:r w:rsidR="00437B3C" w:rsidRPr="005209BC">
          <w:rPr>
            <w:rFonts w:cs="Arial"/>
            <w:color w:val="A6A6A6" w:themeColor="background1" w:themeShade="A6"/>
            <w:sz w:val="18"/>
            <w:szCs w:val="18"/>
          </w:rPr>
          <w:t>)</w:t>
        </w:r>
        <w:r w:rsidR="00437B3C" w:rsidRPr="00CE2144">
          <w:rPr>
            <w:color w:val="808080" w:themeColor="background1" w:themeShade="80"/>
            <w:sz w:val="18"/>
            <w:szCs w:val="18"/>
          </w:rPr>
          <w:t xml:space="preserve"> </w:t>
        </w:r>
        <w:r w:rsidR="00813180">
          <w:rPr>
            <w:color w:val="808080" w:themeColor="background1" w:themeShade="80"/>
            <w:sz w:val="18"/>
            <w:szCs w:val="18"/>
          </w:rPr>
          <w:t xml:space="preserve"> </w:t>
        </w:r>
        <w:r w:rsidR="00813180" w:rsidRPr="00197F72">
          <w:rPr>
            <w:sz w:val="18"/>
            <w:szCs w:val="18"/>
          </w:rPr>
          <w:t xml:space="preserve">   </w:t>
        </w:r>
        <w:r w:rsidR="00437B3C" w:rsidRPr="00197F72">
          <w:rPr>
            <w:rFonts w:cs="Arial"/>
            <w:sz w:val="18"/>
            <w:szCs w:val="18"/>
          </w:rPr>
          <w:fldChar w:fldCharType="begin"/>
        </w:r>
        <w:r w:rsidR="00437B3C" w:rsidRPr="00197F72">
          <w:rPr>
            <w:rFonts w:cs="Arial"/>
            <w:sz w:val="18"/>
            <w:szCs w:val="18"/>
          </w:rPr>
          <w:instrText xml:space="preserve"> PAGE   \* MERGEFORMAT </w:instrText>
        </w:r>
        <w:r w:rsidR="00437B3C" w:rsidRPr="00197F72">
          <w:rPr>
            <w:rFonts w:cs="Arial"/>
            <w:sz w:val="18"/>
            <w:szCs w:val="18"/>
          </w:rPr>
          <w:fldChar w:fldCharType="separate"/>
        </w:r>
        <w:r w:rsidR="00437B3C" w:rsidRPr="00197F72">
          <w:rPr>
            <w:rFonts w:cs="Arial"/>
            <w:noProof/>
            <w:sz w:val="18"/>
            <w:szCs w:val="18"/>
          </w:rPr>
          <w:t>2</w:t>
        </w:r>
        <w:r w:rsidR="00437B3C" w:rsidRPr="00197F7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682B" w14:textId="77777777" w:rsidR="00C820DF" w:rsidRDefault="00C820DF" w:rsidP="00D023EC">
      <w:r>
        <w:separator/>
      </w:r>
    </w:p>
  </w:footnote>
  <w:footnote w:type="continuationSeparator" w:id="0">
    <w:p w14:paraId="1DF39204" w14:textId="77777777" w:rsidR="00C820DF" w:rsidRDefault="00C820DF" w:rsidP="00D023EC">
      <w:r>
        <w:continuationSeparator/>
      </w:r>
    </w:p>
  </w:footnote>
  <w:footnote w:type="continuationNotice" w:id="1">
    <w:p w14:paraId="314B6C7B" w14:textId="77777777" w:rsidR="00C820DF" w:rsidRDefault="00C82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C5278"/>
    <w:multiLevelType w:val="hybridMultilevel"/>
    <w:tmpl w:val="324C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A642C"/>
    <w:multiLevelType w:val="hybridMultilevel"/>
    <w:tmpl w:val="6F82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D10"/>
    <w:multiLevelType w:val="hybridMultilevel"/>
    <w:tmpl w:val="E4EA6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5822B3"/>
    <w:multiLevelType w:val="hybridMultilevel"/>
    <w:tmpl w:val="68C00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14E30"/>
    <w:multiLevelType w:val="hybridMultilevel"/>
    <w:tmpl w:val="EC88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8430">
    <w:abstractNumId w:val="6"/>
  </w:num>
  <w:num w:numId="2" w16cid:durableId="1277449050">
    <w:abstractNumId w:val="12"/>
  </w:num>
  <w:num w:numId="3" w16cid:durableId="406804780">
    <w:abstractNumId w:val="7"/>
  </w:num>
  <w:num w:numId="4" w16cid:durableId="514464793">
    <w:abstractNumId w:val="11"/>
  </w:num>
  <w:num w:numId="5" w16cid:durableId="417019885">
    <w:abstractNumId w:val="2"/>
  </w:num>
  <w:num w:numId="6" w16cid:durableId="1795634554">
    <w:abstractNumId w:val="13"/>
  </w:num>
  <w:num w:numId="7" w16cid:durableId="2086681520">
    <w:abstractNumId w:val="0"/>
  </w:num>
  <w:num w:numId="8" w16cid:durableId="263807197">
    <w:abstractNumId w:val="1"/>
  </w:num>
  <w:num w:numId="9" w16cid:durableId="1644433188">
    <w:abstractNumId w:val="10"/>
  </w:num>
  <w:num w:numId="10" w16cid:durableId="1173569333">
    <w:abstractNumId w:val="3"/>
  </w:num>
  <w:num w:numId="11" w16cid:durableId="581380306">
    <w:abstractNumId w:val="8"/>
  </w:num>
  <w:num w:numId="12" w16cid:durableId="2081249257">
    <w:abstractNumId w:val="4"/>
  </w:num>
  <w:num w:numId="13" w16cid:durableId="719474030">
    <w:abstractNumId w:val="9"/>
  </w:num>
  <w:num w:numId="14" w16cid:durableId="303775497">
    <w:abstractNumId w:val="5"/>
  </w:num>
  <w:num w:numId="15" w16cid:durableId="1460606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14BE4"/>
    <w:rsid w:val="00027EE8"/>
    <w:rsid w:val="0003418B"/>
    <w:rsid w:val="00042FEE"/>
    <w:rsid w:val="00046CF7"/>
    <w:rsid w:val="00052FEC"/>
    <w:rsid w:val="000602DB"/>
    <w:rsid w:val="00061888"/>
    <w:rsid w:val="00061FB8"/>
    <w:rsid w:val="000723FC"/>
    <w:rsid w:val="00080904"/>
    <w:rsid w:val="000B4E09"/>
    <w:rsid w:val="000B7A05"/>
    <w:rsid w:val="000C69E6"/>
    <w:rsid w:val="000D6CD7"/>
    <w:rsid w:val="000F3973"/>
    <w:rsid w:val="00102BB9"/>
    <w:rsid w:val="00124222"/>
    <w:rsid w:val="00131002"/>
    <w:rsid w:val="00136D79"/>
    <w:rsid w:val="00152427"/>
    <w:rsid w:val="001558AF"/>
    <w:rsid w:val="001622E0"/>
    <w:rsid w:val="001673AE"/>
    <w:rsid w:val="00177141"/>
    <w:rsid w:val="00197F72"/>
    <w:rsid w:val="001A4A5B"/>
    <w:rsid w:val="001B228D"/>
    <w:rsid w:val="001D3D76"/>
    <w:rsid w:val="001D4AA7"/>
    <w:rsid w:val="001E0412"/>
    <w:rsid w:val="001E1A50"/>
    <w:rsid w:val="001F2FBF"/>
    <w:rsid w:val="002127EA"/>
    <w:rsid w:val="002131AA"/>
    <w:rsid w:val="00220B66"/>
    <w:rsid w:val="00227738"/>
    <w:rsid w:val="00233DD0"/>
    <w:rsid w:val="002344A6"/>
    <w:rsid w:val="00234755"/>
    <w:rsid w:val="00237716"/>
    <w:rsid w:val="00240A81"/>
    <w:rsid w:val="00263A68"/>
    <w:rsid w:val="002730B9"/>
    <w:rsid w:val="00284DD3"/>
    <w:rsid w:val="00286587"/>
    <w:rsid w:val="00290526"/>
    <w:rsid w:val="00291983"/>
    <w:rsid w:val="002B1FDF"/>
    <w:rsid w:val="002B533D"/>
    <w:rsid w:val="002B5692"/>
    <w:rsid w:val="002B622A"/>
    <w:rsid w:val="002E101F"/>
    <w:rsid w:val="002E62E8"/>
    <w:rsid w:val="002E6C6B"/>
    <w:rsid w:val="002F34A1"/>
    <w:rsid w:val="003060A2"/>
    <w:rsid w:val="00341C52"/>
    <w:rsid w:val="00350100"/>
    <w:rsid w:val="00350939"/>
    <w:rsid w:val="0035784D"/>
    <w:rsid w:val="0038677B"/>
    <w:rsid w:val="00386F12"/>
    <w:rsid w:val="00391EE2"/>
    <w:rsid w:val="003A49D5"/>
    <w:rsid w:val="003A6B98"/>
    <w:rsid w:val="003B374A"/>
    <w:rsid w:val="003D3FE8"/>
    <w:rsid w:val="003E0777"/>
    <w:rsid w:val="003E16EC"/>
    <w:rsid w:val="003E7045"/>
    <w:rsid w:val="003F13AC"/>
    <w:rsid w:val="003F4851"/>
    <w:rsid w:val="004035A4"/>
    <w:rsid w:val="00406ED9"/>
    <w:rsid w:val="004074DA"/>
    <w:rsid w:val="004102C1"/>
    <w:rsid w:val="004157C8"/>
    <w:rsid w:val="00421222"/>
    <w:rsid w:val="00421EAA"/>
    <w:rsid w:val="004340D4"/>
    <w:rsid w:val="00437B3C"/>
    <w:rsid w:val="00443C26"/>
    <w:rsid w:val="00461519"/>
    <w:rsid w:val="00461A27"/>
    <w:rsid w:val="00465FAE"/>
    <w:rsid w:val="00472CB2"/>
    <w:rsid w:val="00474227"/>
    <w:rsid w:val="00483E43"/>
    <w:rsid w:val="004C5C72"/>
    <w:rsid w:val="004D1566"/>
    <w:rsid w:val="004D32B8"/>
    <w:rsid w:val="004D486D"/>
    <w:rsid w:val="004D653F"/>
    <w:rsid w:val="004E4751"/>
    <w:rsid w:val="004F4291"/>
    <w:rsid w:val="004F7882"/>
    <w:rsid w:val="0050055F"/>
    <w:rsid w:val="00500FA9"/>
    <w:rsid w:val="00505F40"/>
    <w:rsid w:val="00511284"/>
    <w:rsid w:val="005112C3"/>
    <w:rsid w:val="005209BC"/>
    <w:rsid w:val="00526AE4"/>
    <w:rsid w:val="00527F40"/>
    <w:rsid w:val="00546272"/>
    <w:rsid w:val="00555AC0"/>
    <w:rsid w:val="005603EC"/>
    <w:rsid w:val="00575BF9"/>
    <w:rsid w:val="00580C9D"/>
    <w:rsid w:val="0058499C"/>
    <w:rsid w:val="005856C3"/>
    <w:rsid w:val="0059241C"/>
    <w:rsid w:val="005939AB"/>
    <w:rsid w:val="005A2462"/>
    <w:rsid w:val="005B5DF7"/>
    <w:rsid w:val="005E1D02"/>
    <w:rsid w:val="005E1EC6"/>
    <w:rsid w:val="005E56E2"/>
    <w:rsid w:val="005F16AA"/>
    <w:rsid w:val="006016EB"/>
    <w:rsid w:val="00607236"/>
    <w:rsid w:val="006212A1"/>
    <w:rsid w:val="00622EE8"/>
    <w:rsid w:val="00626B58"/>
    <w:rsid w:val="00627A65"/>
    <w:rsid w:val="00632440"/>
    <w:rsid w:val="0063459D"/>
    <w:rsid w:val="00636FB9"/>
    <w:rsid w:val="006725BC"/>
    <w:rsid w:val="00680598"/>
    <w:rsid w:val="00680765"/>
    <w:rsid w:val="006A38DD"/>
    <w:rsid w:val="006A4779"/>
    <w:rsid w:val="006A7CEF"/>
    <w:rsid w:val="006B2E4F"/>
    <w:rsid w:val="006D1015"/>
    <w:rsid w:val="006D75B6"/>
    <w:rsid w:val="006E66FC"/>
    <w:rsid w:val="006F2CDB"/>
    <w:rsid w:val="0070180D"/>
    <w:rsid w:val="00707697"/>
    <w:rsid w:val="00745534"/>
    <w:rsid w:val="007561AB"/>
    <w:rsid w:val="00764412"/>
    <w:rsid w:val="00766257"/>
    <w:rsid w:val="00774215"/>
    <w:rsid w:val="007756F3"/>
    <w:rsid w:val="00780D14"/>
    <w:rsid w:val="00786132"/>
    <w:rsid w:val="007972BC"/>
    <w:rsid w:val="007A2E5D"/>
    <w:rsid w:val="007A3565"/>
    <w:rsid w:val="007A700D"/>
    <w:rsid w:val="007A7958"/>
    <w:rsid w:val="007D3393"/>
    <w:rsid w:val="007D3FE0"/>
    <w:rsid w:val="007D54A9"/>
    <w:rsid w:val="007E54B4"/>
    <w:rsid w:val="007E7348"/>
    <w:rsid w:val="007E77A0"/>
    <w:rsid w:val="00804B08"/>
    <w:rsid w:val="00806E49"/>
    <w:rsid w:val="00807CD8"/>
    <w:rsid w:val="00813180"/>
    <w:rsid w:val="008221CC"/>
    <w:rsid w:val="00826385"/>
    <w:rsid w:val="00827E80"/>
    <w:rsid w:val="00850307"/>
    <w:rsid w:val="00860AE7"/>
    <w:rsid w:val="008626E4"/>
    <w:rsid w:val="00862954"/>
    <w:rsid w:val="00893173"/>
    <w:rsid w:val="008A4F37"/>
    <w:rsid w:val="008A6CBF"/>
    <w:rsid w:val="008D1990"/>
    <w:rsid w:val="008D30C5"/>
    <w:rsid w:val="008E75D0"/>
    <w:rsid w:val="00901BBA"/>
    <w:rsid w:val="00910691"/>
    <w:rsid w:val="009239F7"/>
    <w:rsid w:val="00927214"/>
    <w:rsid w:val="00933DE2"/>
    <w:rsid w:val="00935379"/>
    <w:rsid w:val="0095070F"/>
    <w:rsid w:val="009610C2"/>
    <w:rsid w:val="009619F4"/>
    <w:rsid w:val="00964A9F"/>
    <w:rsid w:val="00975B04"/>
    <w:rsid w:val="00982437"/>
    <w:rsid w:val="0099425B"/>
    <w:rsid w:val="009966B6"/>
    <w:rsid w:val="009A1EEE"/>
    <w:rsid w:val="009B1A5A"/>
    <w:rsid w:val="009B3E31"/>
    <w:rsid w:val="009C2FF1"/>
    <w:rsid w:val="009D0309"/>
    <w:rsid w:val="009D0665"/>
    <w:rsid w:val="009D3035"/>
    <w:rsid w:val="009D36DD"/>
    <w:rsid w:val="009E2B80"/>
    <w:rsid w:val="009F1AC1"/>
    <w:rsid w:val="00A22D8F"/>
    <w:rsid w:val="00A22F7E"/>
    <w:rsid w:val="00A2796B"/>
    <w:rsid w:val="00A310C3"/>
    <w:rsid w:val="00A35F91"/>
    <w:rsid w:val="00A51ACF"/>
    <w:rsid w:val="00A67106"/>
    <w:rsid w:val="00A71C66"/>
    <w:rsid w:val="00A929CD"/>
    <w:rsid w:val="00AA3D41"/>
    <w:rsid w:val="00AB424F"/>
    <w:rsid w:val="00AB6DD2"/>
    <w:rsid w:val="00AD1B42"/>
    <w:rsid w:val="00AD339D"/>
    <w:rsid w:val="00AD7A3C"/>
    <w:rsid w:val="00AF5EC2"/>
    <w:rsid w:val="00B00215"/>
    <w:rsid w:val="00B043F5"/>
    <w:rsid w:val="00B22F24"/>
    <w:rsid w:val="00B24953"/>
    <w:rsid w:val="00B42240"/>
    <w:rsid w:val="00B67C44"/>
    <w:rsid w:val="00B76958"/>
    <w:rsid w:val="00B84129"/>
    <w:rsid w:val="00BB1908"/>
    <w:rsid w:val="00BD1E24"/>
    <w:rsid w:val="00BD241B"/>
    <w:rsid w:val="00BE734C"/>
    <w:rsid w:val="00BF1A55"/>
    <w:rsid w:val="00C013A4"/>
    <w:rsid w:val="00C018AC"/>
    <w:rsid w:val="00C019BD"/>
    <w:rsid w:val="00C06015"/>
    <w:rsid w:val="00C126FD"/>
    <w:rsid w:val="00C151BB"/>
    <w:rsid w:val="00C15435"/>
    <w:rsid w:val="00C33941"/>
    <w:rsid w:val="00C37895"/>
    <w:rsid w:val="00C46460"/>
    <w:rsid w:val="00C469FD"/>
    <w:rsid w:val="00C65736"/>
    <w:rsid w:val="00C66B75"/>
    <w:rsid w:val="00C70B98"/>
    <w:rsid w:val="00C820DF"/>
    <w:rsid w:val="00C84CA3"/>
    <w:rsid w:val="00C97FA1"/>
    <w:rsid w:val="00CA097B"/>
    <w:rsid w:val="00CB5320"/>
    <w:rsid w:val="00CD244F"/>
    <w:rsid w:val="00CD321E"/>
    <w:rsid w:val="00CD4D9B"/>
    <w:rsid w:val="00CD5A2D"/>
    <w:rsid w:val="00CE1F66"/>
    <w:rsid w:val="00CE2144"/>
    <w:rsid w:val="00CE39DE"/>
    <w:rsid w:val="00CE41E1"/>
    <w:rsid w:val="00CE516C"/>
    <w:rsid w:val="00CF4F77"/>
    <w:rsid w:val="00CF6062"/>
    <w:rsid w:val="00D023EC"/>
    <w:rsid w:val="00D06521"/>
    <w:rsid w:val="00D105F4"/>
    <w:rsid w:val="00D236E9"/>
    <w:rsid w:val="00D26DC9"/>
    <w:rsid w:val="00D30799"/>
    <w:rsid w:val="00D3584F"/>
    <w:rsid w:val="00D36932"/>
    <w:rsid w:val="00D42241"/>
    <w:rsid w:val="00D46C02"/>
    <w:rsid w:val="00D53B17"/>
    <w:rsid w:val="00D6671D"/>
    <w:rsid w:val="00D71197"/>
    <w:rsid w:val="00D90868"/>
    <w:rsid w:val="00D94DCE"/>
    <w:rsid w:val="00DA2BBD"/>
    <w:rsid w:val="00DB36B7"/>
    <w:rsid w:val="00DD6403"/>
    <w:rsid w:val="00DF0559"/>
    <w:rsid w:val="00DF4633"/>
    <w:rsid w:val="00DF59EE"/>
    <w:rsid w:val="00E17602"/>
    <w:rsid w:val="00E21177"/>
    <w:rsid w:val="00E23569"/>
    <w:rsid w:val="00E30D4B"/>
    <w:rsid w:val="00E418D8"/>
    <w:rsid w:val="00E42CF2"/>
    <w:rsid w:val="00E538A5"/>
    <w:rsid w:val="00E602DA"/>
    <w:rsid w:val="00E63945"/>
    <w:rsid w:val="00E71FFB"/>
    <w:rsid w:val="00E744F6"/>
    <w:rsid w:val="00E804EC"/>
    <w:rsid w:val="00E8074B"/>
    <w:rsid w:val="00E85294"/>
    <w:rsid w:val="00E90976"/>
    <w:rsid w:val="00E967CC"/>
    <w:rsid w:val="00EC1A28"/>
    <w:rsid w:val="00EC6742"/>
    <w:rsid w:val="00ED043D"/>
    <w:rsid w:val="00EF3CAA"/>
    <w:rsid w:val="00F25892"/>
    <w:rsid w:val="00F25DDF"/>
    <w:rsid w:val="00F31F0B"/>
    <w:rsid w:val="00F344A3"/>
    <w:rsid w:val="00F52206"/>
    <w:rsid w:val="00F65DFB"/>
    <w:rsid w:val="00F7392E"/>
    <w:rsid w:val="00F77C8F"/>
    <w:rsid w:val="00F80AAF"/>
    <w:rsid w:val="00F80D2E"/>
    <w:rsid w:val="00F91878"/>
    <w:rsid w:val="00FA593B"/>
    <w:rsid w:val="00FB364E"/>
    <w:rsid w:val="00FB48A3"/>
    <w:rsid w:val="00FB7299"/>
    <w:rsid w:val="00FC29EF"/>
    <w:rsid w:val="00FC5091"/>
    <w:rsid w:val="00FD2E19"/>
    <w:rsid w:val="00FE06E7"/>
    <w:rsid w:val="00FE0C28"/>
    <w:rsid w:val="00FF459A"/>
    <w:rsid w:val="00FF6886"/>
    <w:rsid w:val="572706EF"/>
    <w:rsid w:val="7FA9B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33BAD32F-1389-42DA-AB70-E83DC493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5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FEE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FEE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A50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3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FEE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semiHidden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042FEE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E1A50"/>
    <w:rPr>
      <w:rFonts w:ascii="Arial" w:eastAsiaTheme="majorEastAsia" w:hAnsi="Arial" w:cstheme="majorBidi"/>
      <w:b/>
      <w:sz w:val="24"/>
      <w:szCs w:val="24"/>
      <w:lang w:eastAsia="en-US"/>
    </w:rPr>
  </w:style>
  <w:style w:type="paragraph" w:customStyle="1" w:styleId="Default">
    <w:name w:val="Default"/>
    <w:rsid w:val="0050055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/member-hub/partial-retirement" TargetMode="External"/><Relationship Id="rId17" Type="http://schemas.openxmlformats.org/officeDocument/2006/relationships/hyperlink" Target="http://www.nhsbsa.nhs.uk/nhs-pens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bsa.nhs.uk/our-policies/privacy/nhs-pensions-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e4106-cd7d-483e-b9ea-54a8c446956c" xsi:nil="true"/>
    <lcf76f155ced4ddcb4097134ff3c332f xmlns="9c395806-f6fc-4c4c-8f7e-33fb8178ea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A9E4A-BDCA-4668-9822-625EA575BD5B}">
  <ds:schemaRefs>
    <ds:schemaRef ds:uri="9c395806-f6fc-4c4c-8f7e-33fb8178eadb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eede4106-cd7d-483e-b9ea-54a8c446956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53D2F-F145-44C5-8CD0-FF5F0061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957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Pensions Memo (V3) 10/2016</vt:lpstr>
    </vt:vector>
  </TitlesOfParts>
  <Company>CDS</Company>
  <LinksUpToDate>false</LinksUpToDate>
  <CharactersWithSpaces>6551</CharactersWithSpaces>
  <SharedDoc>false</SharedDoc>
  <HLinks>
    <vt:vector size="12" baseType="variant"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http://www.nhsbsa.nhs.uk/nhs-pensions</vt:lpwstr>
      </vt:variant>
      <vt:variant>
        <vt:lpwstr/>
      </vt:variant>
      <vt:variant>
        <vt:i4>1114204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http://www.nhsbsa.nhs.uk/our-policies/privacy/nhs-pensions-privacy-notice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cp:lastModifiedBy>Holly Cleveland</cp:lastModifiedBy>
  <cp:revision>42</cp:revision>
  <cp:lastPrinted>2013-06-26T07:38:00Z</cp:lastPrinted>
  <dcterms:created xsi:type="dcterms:W3CDTF">2025-01-10T10:54:00Z</dcterms:created>
  <dcterms:modified xsi:type="dcterms:W3CDTF">2025-06-03T13:46:00Z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SIP_Label_f52d287b-af50-4fcf-9040-106ecb50d969_Enabled">
    <vt:lpwstr>true</vt:lpwstr>
  </property>
  <property fmtid="{D5CDD505-2E9C-101B-9397-08002B2CF9AE}" pid="10" name="MSIP_Label_f52d287b-af50-4fcf-9040-106ecb50d969_SetDate">
    <vt:lpwstr>2024-12-05T14:00:41Z</vt:lpwstr>
  </property>
  <property fmtid="{D5CDD505-2E9C-101B-9397-08002B2CF9AE}" pid="11" name="MSIP_Label_f52d287b-af50-4fcf-9040-106ecb50d969_Method">
    <vt:lpwstr>Standard</vt:lpwstr>
  </property>
  <property fmtid="{D5CDD505-2E9C-101B-9397-08002B2CF9AE}" pid="12" name="MSIP_Label_f52d287b-af50-4fcf-9040-106ecb50d969_Name">
    <vt:lpwstr>f52d287b-af50-4fcf-9040-106ecb50d969</vt:lpwstr>
  </property>
  <property fmtid="{D5CDD505-2E9C-101B-9397-08002B2CF9AE}" pid="13" name="MSIP_Label_f52d287b-af50-4fcf-9040-106ecb50d969_SiteId">
    <vt:lpwstr>cf6d0482-86b1-4f88-8c0c-3b4de4cb402c</vt:lpwstr>
  </property>
  <property fmtid="{D5CDD505-2E9C-101B-9397-08002B2CF9AE}" pid="14" name="MSIP_Label_f52d287b-af50-4fcf-9040-106ecb50d969_ActionId">
    <vt:lpwstr>d6f07093-6f1d-4ec6-afc0-02ed058ca76c</vt:lpwstr>
  </property>
  <property fmtid="{D5CDD505-2E9C-101B-9397-08002B2CF9AE}" pid="15" name="MSIP_Label_f52d287b-af50-4fcf-9040-106ecb50d969_ContentBits">
    <vt:lpwstr>0</vt:lpwstr>
  </property>
  <property fmtid="{D5CDD505-2E9C-101B-9397-08002B2CF9AE}" pid="16" name="MediaServiceImageTags">
    <vt:lpwstr/>
  </property>
  <property fmtid="{D5CDD505-2E9C-101B-9397-08002B2CF9AE}" pid="17" name="o3a3c54fcb954df5bc9a110c60848d6a">
    <vt:lpwstr/>
  </property>
  <property fmtid="{D5CDD505-2E9C-101B-9397-08002B2CF9AE}" pid="18" name="MHCategory">
    <vt:lpwstr/>
  </property>
  <property fmtid="{D5CDD505-2E9C-101B-9397-08002B2CF9AE}" pid="19" name="IntranetCategory">
    <vt:lpwstr/>
  </property>
  <property fmtid="{D5CDD505-2E9C-101B-9397-08002B2CF9AE}" pid="20" name="MHArea">
    <vt:lpwstr>2;#NHS Pensions|39649027-c677-47a7-a78d-4cdb9cec5687</vt:lpwstr>
  </property>
</Properties>
</file>