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304A5" w14:textId="010A38E7" w:rsidR="00B72132" w:rsidRPr="008B094C" w:rsidRDefault="004A67C1" w:rsidP="78A87E7A">
      <w:pPr>
        <w:pStyle w:val="Heading2-numbered"/>
        <w:numPr>
          <w:ilvl w:val="0"/>
          <w:numId w:val="0"/>
        </w:numPr>
        <w:sectPr w:rsidR="00B72132" w:rsidRPr="008B094C" w:rsidSect="00651042">
          <w:headerReference w:type="default" r:id="rId11"/>
          <w:headerReference w:type="first" r:id="rId12"/>
          <w:footerReference w:type="first" r:id="rId13"/>
          <w:pgSz w:w="11906" w:h="16838"/>
          <w:pgMar w:top="2268" w:right="1021" w:bottom="1021" w:left="1021" w:header="454" w:footer="556" w:gutter="0"/>
          <w:cols w:space="708"/>
          <w:titlePg/>
          <w:docGrid w:linePitch="360"/>
        </w:sectPr>
      </w:pPr>
      <w:r>
        <w:t xml:space="preserve"> </w:t>
      </w:r>
    </w:p>
    <w:p w14:paraId="70F5E323" w14:textId="1F9BE830" w:rsidR="00F126B3" w:rsidRDefault="00A64F08" w:rsidP="00C9254E">
      <w:pPr>
        <w:pStyle w:val="Heading1"/>
      </w:pPr>
      <w:bookmarkStart w:id="0" w:name="_Toc142043216"/>
      <w:bookmarkStart w:id="1" w:name="_Toc200023009"/>
      <w:bookmarkStart w:id="2" w:name="_Toc200961300"/>
      <w:bookmarkStart w:id="3" w:name="_Toc205207906"/>
      <w:bookmarkEnd w:id="0"/>
      <w:r>
        <w:rPr>
          <w:rStyle w:val="contentcontrolboundarysink"/>
          <w:rFonts w:ascii="Calibri" w:hAnsi="Calibri" w:cs="Calibri"/>
          <w:b w:val="0"/>
          <w:bCs w:val="0"/>
          <w:color w:val="000000"/>
          <w:szCs w:val="80"/>
          <w:shd w:val="clear" w:color="auto" w:fill="FFFFFF"/>
        </w:rPr>
        <w:t>​​</w:t>
      </w:r>
      <w:r w:rsidRPr="00A64F08">
        <w:t xml:space="preserve">Community Pharmacy Advanced Service Specification: NHS </w:t>
      </w:r>
      <w:r w:rsidR="00777EBE">
        <w:t>New Medicine Service</w:t>
      </w:r>
      <w:r>
        <w:rPr>
          <w:rStyle w:val="contentcontrolboundarysink"/>
          <w:rFonts w:ascii="Calibri" w:hAnsi="Calibri" w:cs="Calibri"/>
          <w:b w:val="0"/>
          <w:bCs w:val="0"/>
          <w:color w:val="000000"/>
          <w:szCs w:val="80"/>
          <w:shd w:val="clear" w:color="auto" w:fill="FFFFFF"/>
        </w:rPr>
        <w:t>​</w:t>
      </w:r>
      <w:bookmarkEnd w:id="1"/>
      <w:bookmarkEnd w:id="2"/>
      <w:bookmarkEnd w:id="3"/>
      <w:r>
        <w:rPr>
          <w:rStyle w:val="eop"/>
          <w:b w:val="0"/>
          <w:bCs w:val="0"/>
          <w:szCs w:val="80"/>
          <w:shd w:val="clear" w:color="auto" w:fill="FFFFFF"/>
        </w:rPr>
        <w:t> </w:t>
      </w:r>
      <w:r w:rsidR="00B72132">
        <w:t xml:space="preserve"> </w:t>
      </w:r>
    </w:p>
    <w:p w14:paraId="56346CDF" w14:textId="4DF41035" w:rsidR="001B4652" w:rsidRPr="001B4652" w:rsidRDefault="001B4652" w:rsidP="001B4652">
      <w:r w:rsidRPr="00A703DD">
        <w:rPr>
          <w:rStyle w:val="normaltextrun"/>
          <w:rFonts w:cs="Arial"/>
          <w:color w:val="221F1F"/>
          <w:shd w:val="clear" w:color="auto" w:fill="FFFFFF"/>
        </w:rPr>
        <w:t>Versio</w:t>
      </w:r>
      <w:r w:rsidR="00C9254E" w:rsidRPr="00A703DD">
        <w:rPr>
          <w:rStyle w:val="normaltextrun"/>
          <w:rFonts w:cs="Arial"/>
          <w:color w:val="221F1F"/>
          <w:shd w:val="clear" w:color="auto" w:fill="FFFFFF"/>
        </w:rPr>
        <w:t>n 2.0</w:t>
      </w:r>
      <w:r w:rsidRPr="00A703DD">
        <w:rPr>
          <w:rStyle w:val="normaltextrun"/>
          <w:rFonts w:cs="Arial"/>
          <w:color w:val="221F1F"/>
          <w:shd w:val="clear" w:color="auto" w:fill="FFFFFF"/>
        </w:rPr>
        <w:t>,</w:t>
      </w:r>
      <w:r w:rsidR="00C9254E" w:rsidRPr="00A703DD">
        <w:rPr>
          <w:rStyle w:val="normaltextrun"/>
          <w:rFonts w:cs="Arial"/>
          <w:color w:val="221F1F"/>
          <w:shd w:val="clear" w:color="auto" w:fill="FFFFFF"/>
        </w:rPr>
        <w:t xml:space="preserve"> August</w:t>
      </w:r>
      <w:r w:rsidRPr="00A703DD">
        <w:rPr>
          <w:rStyle w:val="normaltextrun"/>
          <w:rFonts w:cs="Arial"/>
          <w:color w:val="221F1F"/>
          <w:shd w:val="clear" w:color="auto" w:fill="FFFFFF"/>
        </w:rPr>
        <w:t xml:space="preserve"> 2025</w:t>
      </w:r>
      <w:r>
        <w:rPr>
          <w:rStyle w:val="eop"/>
          <w:color w:val="221F1F"/>
          <w:shd w:val="clear" w:color="auto" w:fill="FFFFFF"/>
        </w:rPr>
        <w:t> </w:t>
      </w:r>
    </w:p>
    <w:p w14:paraId="2417B492" w14:textId="77777777" w:rsidR="007375BC" w:rsidRPr="007375BC" w:rsidRDefault="007375BC" w:rsidP="007375BC">
      <w:r w:rsidRPr="0053542E">
        <w:rPr>
          <w:noProof/>
        </w:rPr>
        <w:drawing>
          <wp:inline distT="0" distB="0" distL="0" distR="0" wp14:anchorId="37759055" wp14:editId="252C2E14">
            <wp:extent cx="6263300" cy="3552825"/>
            <wp:effectExtent l="0" t="0" r="4445" b="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5115" cy="3553855"/>
                    </a:xfrm>
                    <a:prstGeom prst="rect">
                      <a:avLst/>
                    </a:prstGeom>
                  </pic:spPr>
                </pic:pic>
              </a:graphicData>
            </a:graphic>
          </wp:inline>
        </w:drawing>
      </w:r>
    </w:p>
    <w:p w14:paraId="3C770C72" w14:textId="77777777" w:rsidR="007375BC" w:rsidRPr="007375BC" w:rsidRDefault="007375BC" w:rsidP="007375BC">
      <w:pPr>
        <w:sectPr w:rsidR="007375BC" w:rsidRPr="007375BC" w:rsidSect="00651042">
          <w:footerReference w:type="default" r:id="rId15"/>
          <w:type w:val="continuous"/>
          <w:pgSz w:w="11906" w:h="16838"/>
          <w:pgMar w:top="1021" w:right="1021" w:bottom="1021" w:left="1021" w:header="454" w:footer="556" w:gutter="0"/>
          <w:cols w:space="708"/>
          <w:titlePg/>
          <w:docGrid w:linePitch="360"/>
        </w:sectPr>
      </w:pPr>
    </w:p>
    <w:p w14:paraId="3E254F3A" w14:textId="77777777" w:rsidR="00A64F08" w:rsidRPr="001C588F" w:rsidRDefault="00447E51" w:rsidP="00A64F08">
      <w:pPr>
        <w:pStyle w:val="TOCHeading"/>
        <w:spacing w:after="360"/>
        <w:rPr>
          <w:color w:val="005EB8"/>
        </w:rPr>
      </w:pPr>
      <w:r w:rsidRPr="001C588F">
        <w:rPr>
          <w:color w:val="005EB8"/>
        </w:rPr>
        <w:lastRenderedPageBreak/>
        <w:t>Contents</w:t>
      </w:r>
    </w:p>
    <w:sdt>
      <w:sdtPr>
        <w:rPr>
          <w:rFonts w:eastAsia="Arial" w:cs="Arial"/>
          <w:b/>
          <w:bCs/>
          <w:noProof w:val="0"/>
          <w:color w:val="000000"/>
          <w:sz w:val="24"/>
        </w:rPr>
        <w:id w:val="1854302868"/>
        <w:docPartObj>
          <w:docPartGallery w:val="Table of Contents"/>
          <w:docPartUnique/>
        </w:docPartObj>
      </w:sdtPr>
      <w:sdtEndPr>
        <w:rPr>
          <w:rFonts w:eastAsia="Times New Roman" w:cs="Times New Roman"/>
          <w:b w:val="0"/>
          <w:bCs w:val="0"/>
        </w:rPr>
      </w:sdtEndPr>
      <w:sdtContent>
        <w:p w14:paraId="34F23518" w14:textId="4B97A013" w:rsidR="00D330BF" w:rsidRDefault="00FF6C25">
          <w:pPr>
            <w:pStyle w:val="TOC1"/>
            <w:rPr>
              <w:rFonts w:asciiTheme="minorHAnsi" w:eastAsiaTheme="minorEastAsia" w:hAnsiTheme="minorHAnsi" w:cstheme="minorBidi"/>
              <w:color w:val="auto"/>
              <w:kern w:val="2"/>
              <w:sz w:val="24"/>
              <w:lang w:eastAsia="en-GB"/>
              <w14:ligatures w14:val="standardContextual"/>
            </w:rPr>
          </w:pPr>
          <w:r w:rsidRPr="00975A11">
            <w:rPr>
              <w:rFonts w:cs="Arial"/>
              <w:noProof w:val="0"/>
              <w:sz w:val="24"/>
            </w:rPr>
            <w:fldChar w:fldCharType="begin"/>
          </w:r>
          <w:r w:rsidRPr="00975A11">
            <w:rPr>
              <w:rFonts w:cs="Arial"/>
              <w:sz w:val="24"/>
            </w:rPr>
            <w:instrText xml:space="preserve"> TOC \o "1-3" \h \z \u </w:instrText>
          </w:r>
          <w:r w:rsidRPr="00975A11">
            <w:rPr>
              <w:rFonts w:cs="Arial"/>
              <w:noProof w:val="0"/>
              <w:sz w:val="24"/>
            </w:rPr>
            <w:fldChar w:fldCharType="separate"/>
          </w:r>
          <w:hyperlink w:anchor="_Toc205207906" w:history="1">
            <w:r w:rsidR="00D330BF" w:rsidRPr="00AE1BB0">
              <w:rPr>
                <w:rStyle w:val="Hyperlink"/>
                <w:rFonts w:ascii="Calibri" w:hAnsi="Calibri" w:cs="Calibri"/>
                <w:shd w:val="clear" w:color="auto" w:fill="FFFFFF"/>
              </w:rPr>
              <w:t>​​</w:t>
            </w:r>
            <w:r w:rsidR="00D330BF" w:rsidRPr="00AE1BB0">
              <w:rPr>
                <w:rStyle w:val="Hyperlink"/>
              </w:rPr>
              <w:t>Community Pharmacy Advanced Service Specification: NHS New Medicine Service</w:t>
            </w:r>
            <w:r w:rsidR="00D330BF" w:rsidRPr="00AE1BB0">
              <w:rPr>
                <w:rStyle w:val="Hyperlink"/>
                <w:rFonts w:ascii="Calibri" w:hAnsi="Calibri" w:cs="Calibri"/>
                <w:shd w:val="clear" w:color="auto" w:fill="FFFFFF"/>
              </w:rPr>
              <w:t>​</w:t>
            </w:r>
            <w:r w:rsidR="00D330BF">
              <w:rPr>
                <w:webHidden/>
              </w:rPr>
              <w:tab/>
            </w:r>
            <w:r w:rsidR="00D330BF">
              <w:rPr>
                <w:webHidden/>
              </w:rPr>
              <w:fldChar w:fldCharType="begin"/>
            </w:r>
            <w:r w:rsidR="00D330BF">
              <w:rPr>
                <w:webHidden/>
              </w:rPr>
              <w:instrText xml:space="preserve"> PAGEREF _Toc205207906 \h </w:instrText>
            </w:r>
            <w:r w:rsidR="00D330BF">
              <w:rPr>
                <w:webHidden/>
              </w:rPr>
            </w:r>
            <w:r w:rsidR="00D330BF">
              <w:rPr>
                <w:webHidden/>
              </w:rPr>
              <w:fldChar w:fldCharType="separate"/>
            </w:r>
            <w:r w:rsidR="00D330BF">
              <w:rPr>
                <w:webHidden/>
              </w:rPr>
              <w:t>1</w:t>
            </w:r>
            <w:r w:rsidR="00D330BF">
              <w:rPr>
                <w:webHidden/>
              </w:rPr>
              <w:fldChar w:fldCharType="end"/>
            </w:r>
          </w:hyperlink>
        </w:p>
        <w:p w14:paraId="4AEBA09A" w14:textId="6E8F9F0A" w:rsidR="00D330BF" w:rsidRDefault="00D330BF">
          <w:pPr>
            <w:pStyle w:val="TOC1"/>
            <w:rPr>
              <w:rFonts w:asciiTheme="minorHAnsi" w:eastAsiaTheme="minorEastAsia" w:hAnsiTheme="minorHAnsi" w:cstheme="minorBidi"/>
              <w:color w:val="auto"/>
              <w:kern w:val="2"/>
              <w:sz w:val="24"/>
              <w:lang w:eastAsia="en-GB"/>
              <w14:ligatures w14:val="standardContextual"/>
            </w:rPr>
          </w:pPr>
          <w:hyperlink w:anchor="_Toc205207907" w:history="1">
            <w:r w:rsidRPr="00AE1BB0">
              <w:rPr>
                <w:rStyle w:val="Hyperlink"/>
              </w:rPr>
              <w:t>1. Service background</w:t>
            </w:r>
            <w:r>
              <w:rPr>
                <w:webHidden/>
              </w:rPr>
              <w:tab/>
            </w:r>
            <w:r>
              <w:rPr>
                <w:webHidden/>
              </w:rPr>
              <w:fldChar w:fldCharType="begin"/>
            </w:r>
            <w:r>
              <w:rPr>
                <w:webHidden/>
              </w:rPr>
              <w:instrText xml:space="preserve"> PAGEREF _Toc205207907 \h </w:instrText>
            </w:r>
            <w:r>
              <w:rPr>
                <w:webHidden/>
              </w:rPr>
            </w:r>
            <w:r>
              <w:rPr>
                <w:webHidden/>
              </w:rPr>
              <w:fldChar w:fldCharType="separate"/>
            </w:r>
            <w:r>
              <w:rPr>
                <w:webHidden/>
              </w:rPr>
              <w:t>2</w:t>
            </w:r>
            <w:r>
              <w:rPr>
                <w:webHidden/>
              </w:rPr>
              <w:fldChar w:fldCharType="end"/>
            </w:r>
          </w:hyperlink>
        </w:p>
        <w:p w14:paraId="4C7D0757" w14:textId="0C0AB92B" w:rsidR="00D330BF" w:rsidRDefault="00D330BF">
          <w:pPr>
            <w:pStyle w:val="TOC1"/>
            <w:rPr>
              <w:rFonts w:asciiTheme="minorHAnsi" w:eastAsiaTheme="minorEastAsia" w:hAnsiTheme="minorHAnsi" w:cstheme="minorBidi"/>
              <w:color w:val="auto"/>
              <w:kern w:val="2"/>
              <w:sz w:val="24"/>
              <w:lang w:eastAsia="en-GB"/>
              <w14:ligatures w14:val="standardContextual"/>
            </w:rPr>
          </w:pPr>
          <w:hyperlink w:anchor="_Toc205207908" w:history="1">
            <w:r w:rsidRPr="00AE1BB0">
              <w:rPr>
                <w:rStyle w:val="Hyperlink"/>
              </w:rPr>
              <w:t>2. Service objectives</w:t>
            </w:r>
            <w:r>
              <w:rPr>
                <w:webHidden/>
              </w:rPr>
              <w:tab/>
            </w:r>
            <w:r>
              <w:rPr>
                <w:webHidden/>
              </w:rPr>
              <w:fldChar w:fldCharType="begin"/>
            </w:r>
            <w:r>
              <w:rPr>
                <w:webHidden/>
              </w:rPr>
              <w:instrText xml:space="preserve"> PAGEREF _Toc205207908 \h </w:instrText>
            </w:r>
            <w:r>
              <w:rPr>
                <w:webHidden/>
              </w:rPr>
            </w:r>
            <w:r>
              <w:rPr>
                <w:webHidden/>
              </w:rPr>
              <w:fldChar w:fldCharType="separate"/>
            </w:r>
            <w:r>
              <w:rPr>
                <w:webHidden/>
              </w:rPr>
              <w:t>3</w:t>
            </w:r>
            <w:r>
              <w:rPr>
                <w:webHidden/>
              </w:rPr>
              <w:fldChar w:fldCharType="end"/>
            </w:r>
          </w:hyperlink>
        </w:p>
        <w:p w14:paraId="738F74D0" w14:textId="2F6C1848" w:rsidR="00D330BF" w:rsidRDefault="00D330BF">
          <w:pPr>
            <w:pStyle w:val="TOC1"/>
            <w:rPr>
              <w:rFonts w:asciiTheme="minorHAnsi" w:eastAsiaTheme="minorEastAsia" w:hAnsiTheme="minorHAnsi" w:cstheme="minorBidi"/>
              <w:color w:val="auto"/>
              <w:kern w:val="2"/>
              <w:sz w:val="24"/>
              <w:lang w:eastAsia="en-GB"/>
              <w14:ligatures w14:val="standardContextual"/>
            </w:rPr>
          </w:pPr>
          <w:hyperlink w:anchor="_Toc205207909" w:history="1">
            <w:r w:rsidRPr="00AE1BB0">
              <w:rPr>
                <w:rStyle w:val="Hyperlink"/>
              </w:rPr>
              <w:t>3. Requirements for service provision</w:t>
            </w:r>
            <w:r>
              <w:rPr>
                <w:webHidden/>
              </w:rPr>
              <w:tab/>
            </w:r>
            <w:r>
              <w:rPr>
                <w:webHidden/>
              </w:rPr>
              <w:fldChar w:fldCharType="begin"/>
            </w:r>
            <w:r>
              <w:rPr>
                <w:webHidden/>
              </w:rPr>
              <w:instrText xml:space="preserve"> PAGEREF _Toc205207909 \h </w:instrText>
            </w:r>
            <w:r>
              <w:rPr>
                <w:webHidden/>
              </w:rPr>
            </w:r>
            <w:r>
              <w:rPr>
                <w:webHidden/>
              </w:rPr>
              <w:fldChar w:fldCharType="separate"/>
            </w:r>
            <w:r>
              <w:rPr>
                <w:webHidden/>
              </w:rPr>
              <w:t>4</w:t>
            </w:r>
            <w:r>
              <w:rPr>
                <w:webHidden/>
              </w:rPr>
              <w:fldChar w:fldCharType="end"/>
            </w:r>
          </w:hyperlink>
        </w:p>
        <w:p w14:paraId="61813217" w14:textId="6278E683" w:rsidR="00D330BF" w:rsidRDefault="00D330BF">
          <w:pPr>
            <w:pStyle w:val="TOC3"/>
            <w:tabs>
              <w:tab w:val="right" w:pos="10600"/>
            </w:tabs>
            <w:rPr>
              <w:noProof/>
              <w:color w:val="auto"/>
              <w:kern w:val="2"/>
              <w:szCs w:val="24"/>
              <w:lang w:val="en-GB" w:eastAsia="en-GB"/>
              <w14:ligatures w14:val="standardContextual"/>
            </w:rPr>
          </w:pPr>
          <w:hyperlink w:anchor="_Toc205207910" w:history="1">
            <w:r w:rsidRPr="00AE1BB0">
              <w:rPr>
                <w:rStyle w:val="Hyperlink"/>
                <w:noProof/>
              </w:rPr>
              <w:t>Premises Requirements</w:t>
            </w:r>
            <w:r>
              <w:rPr>
                <w:noProof/>
                <w:webHidden/>
              </w:rPr>
              <w:tab/>
            </w:r>
            <w:r>
              <w:rPr>
                <w:noProof/>
                <w:webHidden/>
              </w:rPr>
              <w:fldChar w:fldCharType="begin"/>
            </w:r>
            <w:r>
              <w:rPr>
                <w:noProof/>
                <w:webHidden/>
              </w:rPr>
              <w:instrText xml:space="preserve"> PAGEREF _Toc205207910 \h </w:instrText>
            </w:r>
            <w:r>
              <w:rPr>
                <w:noProof/>
                <w:webHidden/>
              </w:rPr>
            </w:r>
            <w:r>
              <w:rPr>
                <w:noProof/>
                <w:webHidden/>
              </w:rPr>
              <w:fldChar w:fldCharType="separate"/>
            </w:r>
            <w:r>
              <w:rPr>
                <w:noProof/>
                <w:webHidden/>
              </w:rPr>
              <w:t>4</w:t>
            </w:r>
            <w:r>
              <w:rPr>
                <w:noProof/>
                <w:webHidden/>
              </w:rPr>
              <w:fldChar w:fldCharType="end"/>
            </w:r>
          </w:hyperlink>
        </w:p>
        <w:p w14:paraId="346B972A" w14:textId="7608E591" w:rsidR="00D330BF" w:rsidRDefault="00D330BF">
          <w:pPr>
            <w:pStyle w:val="TOC3"/>
            <w:tabs>
              <w:tab w:val="right" w:pos="10600"/>
            </w:tabs>
            <w:rPr>
              <w:noProof/>
              <w:color w:val="auto"/>
              <w:kern w:val="2"/>
              <w:szCs w:val="24"/>
              <w:lang w:val="en-GB" w:eastAsia="en-GB"/>
              <w14:ligatures w14:val="standardContextual"/>
            </w:rPr>
          </w:pPr>
          <w:hyperlink w:anchor="_Toc205207911" w:history="1">
            <w:r w:rsidRPr="00AE1BB0">
              <w:rPr>
                <w:rStyle w:val="Hyperlink"/>
                <w:noProof/>
              </w:rPr>
              <w:t>Sub-contracting</w:t>
            </w:r>
            <w:r>
              <w:rPr>
                <w:noProof/>
                <w:webHidden/>
              </w:rPr>
              <w:tab/>
            </w:r>
            <w:r>
              <w:rPr>
                <w:noProof/>
                <w:webHidden/>
              </w:rPr>
              <w:fldChar w:fldCharType="begin"/>
            </w:r>
            <w:r>
              <w:rPr>
                <w:noProof/>
                <w:webHidden/>
              </w:rPr>
              <w:instrText xml:space="preserve"> PAGEREF _Toc205207911 \h </w:instrText>
            </w:r>
            <w:r>
              <w:rPr>
                <w:noProof/>
                <w:webHidden/>
              </w:rPr>
            </w:r>
            <w:r>
              <w:rPr>
                <w:noProof/>
                <w:webHidden/>
              </w:rPr>
              <w:fldChar w:fldCharType="separate"/>
            </w:r>
            <w:r>
              <w:rPr>
                <w:noProof/>
                <w:webHidden/>
              </w:rPr>
              <w:t>5</w:t>
            </w:r>
            <w:r>
              <w:rPr>
                <w:noProof/>
                <w:webHidden/>
              </w:rPr>
              <w:fldChar w:fldCharType="end"/>
            </w:r>
          </w:hyperlink>
        </w:p>
        <w:p w14:paraId="1E92F4EF" w14:textId="3840FF61" w:rsidR="00D330BF" w:rsidRDefault="00D330BF">
          <w:pPr>
            <w:pStyle w:val="TOC1"/>
            <w:rPr>
              <w:rFonts w:asciiTheme="minorHAnsi" w:eastAsiaTheme="minorEastAsia" w:hAnsiTheme="minorHAnsi" w:cstheme="minorBidi"/>
              <w:color w:val="auto"/>
              <w:kern w:val="2"/>
              <w:sz w:val="24"/>
              <w:lang w:eastAsia="en-GB"/>
              <w14:ligatures w14:val="standardContextual"/>
            </w:rPr>
          </w:pPr>
          <w:hyperlink w:anchor="_Toc205207912" w:history="1">
            <w:r w:rsidRPr="00AE1BB0">
              <w:rPr>
                <w:rStyle w:val="Hyperlink"/>
              </w:rPr>
              <w:t>4. Training</w:t>
            </w:r>
            <w:r>
              <w:rPr>
                <w:webHidden/>
              </w:rPr>
              <w:tab/>
            </w:r>
            <w:r>
              <w:rPr>
                <w:webHidden/>
              </w:rPr>
              <w:fldChar w:fldCharType="begin"/>
            </w:r>
            <w:r>
              <w:rPr>
                <w:webHidden/>
              </w:rPr>
              <w:instrText xml:space="preserve"> PAGEREF _Toc205207912 \h </w:instrText>
            </w:r>
            <w:r>
              <w:rPr>
                <w:webHidden/>
              </w:rPr>
            </w:r>
            <w:r>
              <w:rPr>
                <w:webHidden/>
              </w:rPr>
              <w:fldChar w:fldCharType="separate"/>
            </w:r>
            <w:r>
              <w:rPr>
                <w:webHidden/>
              </w:rPr>
              <w:t>6</w:t>
            </w:r>
            <w:r>
              <w:rPr>
                <w:webHidden/>
              </w:rPr>
              <w:fldChar w:fldCharType="end"/>
            </w:r>
          </w:hyperlink>
        </w:p>
        <w:p w14:paraId="06CB4407" w14:textId="6B6AB12C" w:rsidR="00D330BF" w:rsidRDefault="00D330BF">
          <w:pPr>
            <w:pStyle w:val="TOC1"/>
            <w:rPr>
              <w:rFonts w:asciiTheme="minorHAnsi" w:eastAsiaTheme="minorEastAsia" w:hAnsiTheme="minorHAnsi" w:cstheme="minorBidi"/>
              <w:color w:val="auto"/>
              <w:kern w:val="2"/>
              <w:sz w:val="24"/>
              <w:lang w:eastAsia="en-GB"/>
              <w14:ligatures w14:val="standardContextual"/>
            </w:rPr>
          </w:pPr>
          <w:hyperlink w:anchor="_Toc205207913" w:history="1">
            <w:r w:rsidRPr="00AE1BB0">
              <w:rPr>
                <w:rStyle w:val="Hyperlink"/>
              </w:rPr>
              <w:t>5. Service description</w:t>
            </w:r>
            <w:r>
              <w:rPr>
                <w:webHidden/>
              </w:rPr>
              <w:tab/>
            </w:r>
            <w:r>
              <w:rPr>
                <w:webHidden/>
              </w:rPr>
              <w:fldChar w:fldCharType="begin"/>
            </w:r>
            <w:r>
              <w:rPr>
                <w:webHidden/>
              </w:rPr>
              <w:instrText xml:space="preserve"> PAGEREF _Toc205207913 \h </w:instrText>
            </w:r>
            <w:r>
              <w:rPr>
                <w:webHidden/>
              </w:rPr>
            </w:r>
            <w:r>
              <w:rPr>
                <w:webHidden/>
              </w:rPr>
              <w:fldChar w:fldCharType="separate"/>
            </w:r>
            <w:r>
              <w:rPr>
                <w:webHidden/>
              </w:rPr>
              <w:t>6</w:t>
            </w:r>
            <w:r>
              <w:rPr>
                <w:webHidden/>
              </w:rPr>
              <w:fldChar w:fldCharType="end"/>
            </w:r>
          </w:hyperlink>
        </w:p>
        <w:p w14:paraId="3EFD73CB" w14:textId="7F3ACD66" w:rsidR="00D330BF" w:rsidRDefault="00D330BF">
          <w:pPr>
            <w:pStyle w:val="TOC3"/>
            <w:tabs>
              <w:tab w:val="right" w:pos="10600"/>
            </w:tabs>
            <w:rPr>
              <w:noProof/>
              <w:color w:val="auto"/>
              <w:kern w:val="2"/>
              <w:szCs w:val="24"/>
              <w:lang w:val="en-GB" w:eastAsia="en-GB"/>
              <w14:ligatures w14:val="standardContextual"/>
            </w:rPr>
          </w:pPr>
          <w:hyperlink w:anchor="_Toc205207914" w:history="1">
            <w:r w:rsidRPr="00AE1BB0">
              <w:rPr>
                <w:rStyle w:val="Hyperlink"/>
                <w:noProof/>
                <w:spacing w:val="-3"/>
              </w:rPr>
              <w:t>Eligible conditions</w:t>
            </w:r>
            <w:r>
              <w:rPr>
                <w:noProof/>
                <w:webHidden/>
              </w:rPr>
              <w:tab/>
            </w:r>
            <w:r>
              <w:rPr>
                <w:noProof/>
                <w:webHidden/>
              </w:rPr>
              <w:fldChar w:fldCharType="begin"/>
            </w:r>
            <w:r>
              <w:rPr>
                <w:noProof/>
                <w:webHidden/>
              </w:rPr>
              <w:instrText xml:space="preserve"> PAGEREF _Toc205207914 \h </w:instrText>
            </w:r>
            <w:r>
              <w:rPr>
                <w:noProof/>
                <w:webHidden/>
              </w:rPr>
            </w:r>
            <w:r>
              <w:rPr>
                <w:noProof/>
                <w:webHidden/>
              </w:rPr>
              <w:fldChar w:fldCharType="separate"/>
            </w:r>
            <w:r>
              <w:rPr>
                <w:noProof/>
                <w:webHidden/>
              </w:rPr>
              <w:t>7</w:t>
            </w:r>
            <w:r>
              <w:rPr>
                <w:noProof/>
                <w:webHidden/>
              </w:rPr>
              <w:fldChar w:fldCharType="end"/>
            </w:r>
          </w:hyperlink>
        </w:p>
        <w:p w14:paraId="1C5015E1" w14:textId="664A4BA8" w:rsidR="00D330BF" w:rsidRDefault="00D330BF">
          <w:pPr>
            <w:pStyle w:val="TOC3"/>
            <w:tabs>
              <w:tab w:val="right" w:pos="10600"/>
            </w:tabs>
            <w:rPr>
              <w:noProof/>
              <w:color w:val="auto"/>
              <w:kern w:val="2"/>
              <w:szCs w:val="24"/>
              <w:lang w:val="en-GB" w:eastAsia="en-GB"/>
              <w14:ligatures w14:val="standardContextual"/>
            </w:rPr>
          </w:pPr>
          <w:hyperlink w:anchor="_Toc205207915" w:history="1">
            <w:r w:rsidRPr="00AE1BB0">
              <w:rPr>
                <w:rStyle w:val="Hyperlink"/>
                <w:noProof/>
              </w:rPr>
              <w:t>Patient engagement stage</w:t>
            </w:r>
            <w:r>
              <w:rPr>
                <w:noProof/>
                <w:webHidden/>
              </w:rPr>
              <w:tab/>
            </w:r>
            <w:r>
              <w:rPr>
                <w:noProof/>
                <w:webHidden/>
              </w:rPr>
              <w:fldChar w:fldCharType="begin"/>
            </w:r>
            <w:r>
              <w:rPr>
                <w:noProof/>
                <w:webHidden/>
              </w:rPr>
              <w:instrText xml:space="preserve"> PAGEREF _Toc205207915 \h </w:instrText>
            </w:r>
            <w:r>
              <w:rPr>
                <w:noProof/>
                <w:webHidden/>
              </w:rPr>
            </w:r>
            <w:r>
              <w:rPr>
                <w:noProof/>
                <w:webHidden/>
              </w:rPr>
              <w:fldChar w:fldCharType="separate"/>
            </w:r>
            <w:r>
              <w:rPr>
                <w:noProof/>
                <w:webHidden/>
              </w:rPr>
              <w:t>8</w:t>
            </w:r>
            <w:r>
              <w:rPr>
                <w:noProof/>
                <w:webHidden/>
              </w:rPr>
              <w:fldChar w:fldCharType="end"/>
            </w:r>
          </w:hyperlink>
        </w:p>
        <w:p w14:paraId="47641821" w14:textId="3DBB54FC" w:rsidR="00D330BF" w:rsidRDefault="00D330BF">
          <w:pPr>
            <w:pStyle w:val="TOC3"/>
            <w:tabs>
              <w:tab w:val="right" w:pos="10600"/>
            </w:tabs>
            <w:rPr>
              <w:noProof/>
              <w:color w:val="auto"/>
              <w:kern w:val="2"/>
              <w:szCs w:val="24"/>
              <w:lang w:val="en-GB" w:eastAsia="en-GB"/>
              <w14:ligatures w14:val="standardContextual"/>
            </w:rPr>
          </w:pPr>
          <w:hyperlink w:anchor="_Toc205207916" w:history="1">
            <w:r w:rsidRPr="00AE1BB0">
              <w:rPr>
                <w:rStyle w:val="Hyperlink"/>
                <w:noProof/>
              </w:rPr>
              <w:t>Intervention consultation</w:t>
            </w:r>
            <w:r>
              <w:rPr>
                <w:noProof/>
                <w:webHidden/>
              </w:rPr>
              <w:tab/>
            </w:r>
            <w:r>
              <w:rPr>
                <w:noProof/>
                <w:webHidden/>
              </w:rPr>
              <w:fldChar w:fldCharType="begin"/>
            </w:r>
            <w:r>
              <w:rPr>
                <w:noProof/>
                <w:webHidden/>
              </w:rPr>
              <w:instrText xml:space="preserve"> PAGEREF _Toc205207916 \h </w:instrText>
            </w:r>
            <w:r>
              <w:rPr>
                <w:noProof/>
                <w:webHidden/>
              </w:rPr>
            </w:r>
            <w:r>
              <w:rPr>
                <w:noProof/>
                <w:webHidden/>
              </w:rPr>
              <w:fldChar w:fldCharType="separate"/>
            </w:r>
            <w:r>
              <w:rPr>
                <w:noProof/>
                <w:webHidden/>
              </w:rPr>
              <w:t>9</w:t>
            </w:r>
            <w:r>
              <w:rPr>
                <w:noProof/>
                <w:webHidden/>
              </w:rPr>
              <w:fldChar w:fldCharType="end"/>
            </w:r>
          </w:hyperlink>
        </w:p>
        <w:p w14:paraId="65FE7716" w14:textId="6DDAA7AE" w:rsidR="00D330BF" w:rsidRDefault="00D330BF">
          <w:pPr>
            <w:pStyle w:val="TOC3"/>
            <w:tabs>
              <w:tab w:val="right" w:pos="10600"/>
            </w:tabs>
            <w:rPr>
              <w:noProof/>
              <w:color w:val="auto"/>
              <w:kern w:val="2"/>
              <w:szCs w:val="24"/>
              <w:lang w:val="en-GB" w:eastAsia="en-GB"/>
              <w14:ligatures w14:val="standardContextual"/>
            </w:rPr>
          </w:pPr>
          <w:hyperlink w:anchor="_Toc205207917" w:history="1">
            <w:r w:rsidRPr="00AE1BB0">
              <w:rPr>
                <w:rStyle w:val="Hyperlink"/>
                <w:noProof/>
              </w:rPr>
              <w:t>Follow-up consultation</w:t>
            </w:r>
            <w:r>
              <w:rPr>
                <w:noProof/>
                <w:webHidden/>
              </w:rPr>
              <w:tab/>
            </w:r>
            <w:r>
              <w:rPr>
                <w:noProof/>
                <w:webHidden/>
              </w:rPr>
              <w:fldChar w:fldCharType="begin"/>
            </w:r>
            <w:r>
              <w:rPr>
                <w:noProof/>
                <w:webHidden/>
              </w:rPr>
              <w:instrText xml:space="preserve"> PAGEREF _Toc205207917 \h </w:instrText>
            </w:r>
            <w:r>
              <w:rPr>
                <w:noProof/>
                <w:webHidden/>
              </w:rPr>
            </w:r>
            <w:r>
              <w:rPr>
                <w:noProof/>
                <w:webHidden/>
              </w:rPr>
              <w:fldChar w:fldCharType="separate"/>
            </w:r>
            <w:r>
              <w:rPr>
                <w:noProof/>
                <w:webHidden/>
              </w:rPr>
              <w:t>10</w:t>
            </w:r>
            <w:r>
              <w:rPr>
                <w:noProof/>
                <w:webHidden/>
              </w:rPr>
              <w:fldChar w:fldCharType="end"/>
            </w:r>
          </w:hyperlink>
        </w:p>
        <w:p w14:paraId="6E2B83AC" w14:textId="0CAB53BD" w:rsidR="00D330BF" w:rsidRDefault="00D330BF">
          <w:pPr>
            <w:pStyle w:val="TOC1"/>
            <w:rPr>
              <w:rFonts w:asciiTheme="minorHAnsi" w:eastAsiaTheme="minorEastAsia" w:hAnsiTheme="minorHAnsi" w:cstheme="minorBidi"/>
              <w:color w:val="auto"/>
              <w:kern w:val="2"/>
              <w:sz w:val="24"/>
              <w:lang w:eastAsia="en-GB"/>
              <w14:ligatures w14:val="standardContextual"/>
            </w:rPr>
          </w:pPr>
          <w:hyperlink w:anchor="_Toc205207918" w:history="1">
            <w:r w:rsidRPr="00AE1BB0">
              <w:rPr>
                <w:rStyle w:val="Hyperlink"/>
              </w:rPr>
              <w:t>6. Data and information management</w:t>
            </w:r>
            <w:r>
              <w:rPr>
                <w:webHidden/>
              </w:rPr>
              <w:tab/>
            </w:r>
            <w:r>
              <w:rPr>
                <w:webHidden/>
              </w:rPr>
              <w:fldChar w:fldCharType="begin"/>
            </w:r>
            <w:r>
              <w:rPr>
                <w:webHidden/>
              </w:rPr>
              <w:instrText xml:space="preserve"> PAGEREF _Toc205207918 \h </w:instrText>
            </w:r>
            <w:r>
              <w:rPr>
                <w:webHidden/>
              </w:rPr>
            </w:r>
            <w:r>
              <w:rPr>
                <w:webHidden/>
              </w:rPr>
              <w:fldChar w:fldCharType="separate"/>
            </w:r>
            <w:r>
              <w:rPr>
                <w:webHidden/>
              </w:rPr>
              <w:t>11</w:t>
            </w:r>
            <w:r>
              <w:rPr>
                <w:webHidden/>
              </w:rPr>
              <w:fldChar w:fldCharType="end"/>
            </w:r>
          </w:hyperlink>
        </w:p>
        <w:p w14:paraId="166740EB" w14:textId="6AF071A9" w:rsidR="00D330BF" w:rsidRDefault="00D330BF">
          <w:pPr>
            <w:pStyle w:val="TOC1"/>
            <w:rPr>
              <w:rFonts w:asciiTheme="minorHAnsi" w:eastAsiaTheme="minorEastAsia" w:hAnsiTheme="minorHAnsi" w:cstheme="minorBidi"/>
              <w:color w:val="auto"/>
              <w:kern w:val="2"/>
              <w:sz w:val="24"/>
              <w:lang w:eastAsia="en-GB"/>
              <w14:ligatures w14:val="standardContextual"/>
            </w:rPr>
          </w:pPr>
          <w:hyperlink w:anchor="_Toc205207919" w:history="1">
            <w:r w:rsidRPr="00AE1BB0">
              <w:rPr>
                <w:rStyle w:val="Hyperlink"/>
              </w:rPr>
              <w:t>7. Payment arrangements</w:t>
            </w:r>
            <w:r>
              <w:rPr>
                <w:webHidden/>
              </w:rPr>
              <w:tab/>
            </w:r>
            <w:r>
              <w:rPr>
                <w:webHidden/>
              </w:rPr>
              <w:fldChar w:fldCharType="begin"/>
            </w:r>
            <w:r>
              <w:rPr>
                <w:webHidden/>
              </w:rPr>
              <w:instrText xml:space="preserve"> PAGEREF _Toc205207919 \h </w:instrText>
            </w:r>
            <w:r>
              <w:rPr>
                <w:webHidden/>
              </w:rPr>
            </w:r>
            <w:r>
              <w:rPr>
                <w:webHidden/>
              </w:rPr>
              <w:fldChar w:fldCharType="separate"/>
            </w:r>
            <w:r>
              <w:rPr>
                <w:webHidden/>
              </w:rPr>
              <w:t>12</w:t>
            </w:r>
            <w:r>
              <w:rPr>
                <w:webHidden/>
              </w:rPr>
              <w:fldChar w:fldCharType="end"/>
            </w:r>
          </w:hyperlink>
        </w:p>
        <w:p w14:paraId="12322C59" w14:textId="70CE6861" w:rsidR="00D330BF" w:rsidRDefault="00D330BF">
          <w:pPr>
            <w:pStyle w:val="TOC1"/>
            <w:rPr>
              <w:rFonts w:asciiTheme="minorHAnsi" w:eastAsiaTheme="minorEastAsia" w:hAnsiTheme="minorHAnsi" w:cstheme="minorBidi"/>
              <w:color w:val="auto"/>
              <w:kern w:val="2"/>
              <w:sz w:val="24"/>
              <w:lang w:eastAsia="en-GB"/>
              <w14:ligatures w14:val="standardContextual"/>
            </w:rPr>
          </w:pPr>
          <w:hyperlink w:anchor="_Toc205207920" w:history="1">
            <w:r w:rsidRPr="00AE1BB0">
              <w:rPr>
                <w:rStyle w:val="Hyperlink"/>
              </w:rPr>
              <w:t>8. Post payment verification (PPV)</w:t>
            </w:r>
            <w:r>
              <w:rPr>
                <w:webHidden/>
              </w:rPr>
              <w:tab/>
            </w:r>
            <w:r>
              <w:rPr>
                <w:webHidden/>
              </w:rPr>
              <w:fldChar w:fldCharType="begin"/>
            </w:r>
            <w:r>
              <w:rPr>
                <w:webHidden/>
              </w:rPr>
              <w:instrText xml:space="preserve"> PAGEREF _Toc205207920 \h </w:instrText>
            </w:r>
            <w:r>
              <w:rPr>
                <w:webHidden/>
              </w:rPr>
            </w:r>
            <w:r>
              <w:rPr>
                <w:webHidden/>
              </w:rPr>
              <w:fldChar w:fldCharType="separate"/>
            </w:r>
            <w:r>
              <w:rPr>
                <w:webHidden/>
              </w:rPr>
              <w:t>12</w:t>
            </w:r>
            <w:r>
              <w:rPr>
                <w:webHidden/>
              </w:rPr>
              <w:fldChar w:fldCharType="end"/>
            </w:r>
          </w:hyperlink>
        </w:p>
        <w:p w14:paraId="29DC15EB" w14:textId="1583224A" w:rsidR="00D330BF" w:rsidRDefault="00D330BF">
          <w:pPr>
            <w:pStyle w:val="TOC2"/>
            <w:rPr>
              <w:rFonts w:asciiTheme="minorHAnsi" w:eastAsiaTheme="minorEastAsia" w:hAnsiTheme="minorHAnsi" w:cstheme="minorBidi"/>
              <w:color w:val="auto"/>
              <w:kern w:val="2"/>
              <w:sz w:val="24"/>
              <w:lang w:eastAsia="en-GB"/>
              <w14:ligatures w14:val="standardContextual"/>
            </w:rPr>
          </w:pPr>
          <w:hyperlink w:anchor="_Toc205207921" w:history="1">
            <w:r w:rsidRPr="00AE1BB0">
              <w:rPr>
                <w:rStyle w:val="Hyperlink"/>
              </w:rPr>
              <w:t>Annex A: Record keeping requirements</w:t>
            </w:r>
            <w:r>
              <w:rPr>
                <w:webHidden/>
              </w:rPr>
              <w:tab/>
            </w:r>
            <w:r>
              <w:rPr>
                <w:webHidden/>
              </w:rPr>
              <w:fldChar w:fldCharType="begin"/>
            </w:r>
            <w:r>
              <w:rPr>
                <w:webHidden/>
              </w:rPr>
              <w:instrText xml:space="preserve"> PAGEREF _Toc205207921 \h </w:instrText>
            </w:r>
            <w:r>
              <w:rPr>
                <w:webHidden/>
              </w:rPr>
            </w:r>
            <w:r>
              <w:rPr>
                <w:webHidden/>
              </w:rPr>
              <w:fldChar w:fldCharType="separate"/>
            </w:r>
            <w:r>
              <w:rPr>
                <w:webHidden/>
              </w:rPr>
              <w:t>14</w:t>
            </w:r>
            <w:r>
              <w:rPr>
                <w:webHidden/>
              </w:rPr>
              <w:fldChar w:fldCharType="end"/>
            </w:r>
          </w:hyperlink>
        </w:p>
        <w:p w14:paraId="7B41AC10" w14:textId="0D2F4A92" w:rsidR="00D330BF" w:rsidRDefault="00D330BF">
          <w:pPr>
            <w:pStyle w:val="TOC2"/>
            <w:rPr>
              <w:rFonts w:asciiTheme="minorHAnsi" w:eastAsiaTheme="minorEastAsia" w:hAnsiTheme="minorHAnsi" w:cstheme="minorBidi"/>
              <w:color w:val="auto"/>
              <w:kern w:val="2"/>
              <w:sz w:val="24"/>
              <w:lang w:eastAsia="en-GB"/>
              <w14:ligatures w14:val="standardContextual"/>
            </w:rPr>
          </w:pPr>
          <w:hyperlink w:anchor="_Toc205207922" w:history="1">
            <w:r w:rsidRPr="00AE1BB0">
              <w:rPr>
                <w:rStyle w:val="Hyperlink"/>
              </w:rPr>
              <w:t>Annex B: NHSBSA API dataset for monitoring and evaluation</w:t>
            </w:r>
            <w:r>
              <w:rPr>
                <w:webHidden/>
              </w:rPr>
              <w:tab/>
            </w:r>
            <w:r>
              <w:rPr>
                <w:webHidden/>
              </w:rPr>
              <w:fldChar w:fldCharType="begin"/>
            </w:r>
            <w:r>
              <w:rPr>
                <w:webHidden/>
              </w:rPr>
              <w:instrText xml:space="preserve"> PAGEREF _Toc205207922 \h </w:instrText>
            </w:r>
            <w:r>
              <w:rPr>
                <w:webHidden/>
              </w:rPr>
            </w:r>
            <w:r>
              <w:rPr>
                <w:webHidden/>
              </w:rPr>
              <w:fldChar w:fldCharType="separate"/>
            </w:r>
            <w:r>
              <w:rPr>
                <w:webHidden/>
              </w:rPr>
              <w:t>18</w:t>
            </w:r>
            <w:r>
              <w:rPr>
                <w:webHidden/>
              </w:rPr>
              <w:fldChar w:fldCharType="end"/>
            </w:r>
          </w:hyperlink>
        </w:p>
        <w:p w14:paraId="18FC7385" w14:textId="2172DDE5" w:rsidR="00FF6C25" w:rsidRPr="006D721C" w:rsidRDefault="00FF6C25" w:rsidP="00FF6C25">
          <w:pPr>
            <w:ind w:left="567" w:hanging="567"/>
          </w:pPr>
          <w:r w:rsidRPr="00975A11">
            <w:rPr>
              <w:rFonts w:cs="Arial"/>
              <w:b/>
              <w:bCs/>
              <w:noProof/>
            </w:rPr>
            <w:fldChar w:fldCharType="end"/>
          </w:r>
        </w:p>
      </w:sdtContent>
    </w:sdt>
    <w:p w14:paraId="27E87E26" w14:textId="77777777" w:rsidR="00FF6C25" w:rsidRPr="006D721C" w:rsidRDefault="00FF6C25" w:rsidP="00FF6C25">
      <w:pPr>
        <w:sectPr w:rsidR="00FF6C25" w:rsidRPr="006D721C" w:rsidSect="00FF6C25">
          <w:footerReference w:type="default" r:id="rId16"/>
          <w:pgSz w:w="11910" w:h="16840"/>
          <w:pgMar w:top="1600" w:right="700" w:bottom="980" w:left="600" w:header="0" w:footer="799" w:gutter="0"/>
          <w:pgNumType w:start="1"/>
          <w:cols w:space="720"/>
        </w:sectPr>
      </w:pPr>
    </w:p>
    <w:p w14:paraId="1D3C4090" w14:textId="77777777" w:rsidR="00FF6C25" w:rsidRPr="001C588F" w:rsidRDefault="00FF6C25" w:rsidP="00A64F08">
      <w:pPr>
        <w:pStyle w:val="Heading1Numbered"/>
      </w:pPr>
      <w:bookmarkStart w:id="4" w:name="_Toc205207907"/>
      <w:r w:rsidRPr="001C588F">
        <w:lastRenderedPageBreak/>
        <w:t>Service background</w:t>
      </w:r>
      <w:bookmarkEnd w:id="4"/>
    </w:p>
    <w:p w14:paraId="521C6C8F" w14:textId="3073F5DB" w:rsidR="00DD2705" w:rsidRDefault="00DD2705" w:rsidP="00DD2705">
      <w:pPr>
        <w:pStyle w:val="BodyText21"/>
        <w:rPr>
          <w:spacing w:val="-3"/>
        </w:rPr>
      </w:pPr>
      <w:r w:rsidRPr="00DD2705">
        <w:rPr>
          <w:spacing w:val="-3"/>
        </w:rPr>
        <w:t xml:space="preserve">Prescribed medicines are one of the most common interventions in healthcare. The optimal use of appropriately prescribed medicines is vital to the self-management of most </w:t>
      </w:r>
      <w:r>
        <w:rPr>
          <w:spacing w:val="-3"/>
        </w:rPr>
        <w:t>long</w:t>
      </w:r>
      <w:r w:rsidR="001A3D77">
        <w:rPr>
          <w:spacing w:val="-3"/>
        </w:rPr>
        <w:t>-term conditions (</w:t>
      </w:r>
      <w:r w:rsidRPr="00DD2705">
        <w:rPr>
          <w:spacing w:val="-3"/>
        </w:rPr>
        <w:t>LTCs</w:t>
      </w:r>
      <w:r w:rsidR="001A3D77">
        <w:rPr>
          <w:spacing w:val="-3"/>
        </w:rPr>
        <w:t>)</w:t>
      </w:r>
      <w:r w:rsidRPr="00DD2705">
        <w:rPr>
          <w:spacing w:val="-3"/>
        </w:rPr>
        <w:t>, but reviews conducted across different disease states and different countries are consistent in estimating that between 30 and 50 per cent of prescribed medicines are not taken as recommended. This represents a failure to translate the technological benefits of new medicines into health gain for individuals. Sub-optimal medicines use can lead to inadequate management of the LTC and a cost to the patient, the NHS and society</w:t>
      </w:r>
      <w:r w:rsidR="001A3D77">
        <w:rPr>
          <w:spacing w:val="-3"/>
        </w:rPr>
        <w:t>.</w:t>
      </w:r>
    </w:p>
    <w:p w14:paraId="61DB90AB" w14:textId="742A8C34" w:rsidR="00A94E7E" w:rsidRDefault="00A94E7E" w:rsidP="00DD2705">
      <w:pPr>
        <w:pStyle w:val="BodyText21"/>
        <w:rPr>
          <w:spacing w:val="-3"/>
        </w:rPr>
      </w:pPr>
      <w:r w:rsidRPr="00A94E7E">
        <w:rPr>
          <w:spacing w:val="-3"/>
        </w:rPr>
        <w:t>Non-adherence is often a hidden problem, unidentified by patients and unrecognised by prescribers. People make decisions about the medicines they are prescribed and whether they are going to take them very soon after being prescribed the new medicine.</w:t>
      </w:r>
    </w:p>
    <w:p w14:paraId="7E5F43FF" w14:textId="615543B6" w:rsidR="0052427B" w:rsidRDefault="005135C1" w:rsidP="005135C1">
      <w:pPr>
        <w:pStyle w:val="BodyText21"/>
        <w:rPr>
          <w:spacing w:val="-3"/>
        </w:rPr>
      </w:pPr>
      <w:r w:rsidRPr="005135C1">
        <w:rPr>
          <w:spacing w:val="-3"/>
        </w:rPr>
        <w:t xml:space="preserve">The New Medicine Service (NMS) is an advanced service included within the Community Pharmacy Contractual Framework (CPCF) </w:t>
      </w:r>
      <w:r w:rsidR="007C773B">
        <w:rPr>
          <w:spacing w:val="-3"/>
        </w:rPr>
        <w:t>that</w:t>
      </w:r>
      <w:r w:rsidR="007C773B" w:rsidRPr="005135C1">
        <w:rPr>
          <w:spacing w:val="-3"/>
        </w:rPr>
        <w:t xml:space="preserve"> </w:t>
      </w:r>
      <w:r w:rsidRPr="005135C1">
        <w:rPr>
          <w:spacing w:val="-3"/>
        </w:rPr>
        <w:t xml:space="preserve">commenced in October 2011. </w:t>
      </w:r>
      <w:r w:rsidR="00923F81">
        <w:rPr>
          <w:spacing w:val="-3"/>
        </w:rPr>
        <w:t xml:space="preserve">The service was expanded from October 2021 in line with </w:t>
      </w:r>
      <w:r w:rsidR="00923F81" w:rsidRPr="00F16E04">
        <w:t xml:space="preserve">the </w:t>
      </w:r>
      <w:hyperlink r:id="rId17" w:history="1">
        <w:r w:rsidR="00923F81" w:rsidRPr="007709EC">
          <w:rPr>
            <w:rStyle w:val="Hyperlink"/>
          </w:rPr>
          <w:t>CPCF 2019-2024</w:t>
        </w:r>
      </w:hyperlink>
      <w:r w:rsidR="00923F81" w:rsidRPr="00F16E04">
        <w:t xml:space="preserve"> commitment to “</w:t>
      </w:r>
      <w:r w:rsidR="00923F81" w:rsidRPr="00233FFB">
        <w:rPr>
          <w:i/>
          <w:iCs/>
        </w:rPr>
        <w:t>Discuss and agree any expansion of the New Medicine Service to other therapeutic areas.</w:t>
      </w:r>
      <w:r w:rsidR="00923F81">
        <w:rPr>
          <w:i/>
          <w:iCs/>
        </w:rPr>
        <w:t>”</w:t>
      </w:r>
    </w:p>
    <w:p w14:paraId="1D960AE4" w14:textId="00E8D499" w:rsidR="0052427B" w:rsidRDefault="005135C1" w:rsidP="008901EC">
      <w:pPr>
        <w:pStyle w:val="BodyText21"/>
        <w:rPr>
          <w:spacing w:val="-3"/>
        </w:rPr>
      </w:pPr>
      <w:r w:rsidRPr="005135C1">
        <w:rPr>
          <w:spacing w:val="-3"/>
        </w:rPr>
        <w:t xml:space="preserve">Through the NMS, community pharmacists provide support to patients and carers, helping them manage newly prescribed medicines for </w:t>
      </w:r>
      <w:r w:rsidR="00F164B2">
        <w:rPr>
          <w:spacing w:val="-3"/>
        </w:rPr>
        <w:t>eligible condition(s)</w:t>
      </w:r>
      <w:r w:rsidRPr="005135C1">
        <w:rPr>
          <w:spacing w:val="-3"/>
        </w:rPr>
        <w:t xml:space="preserve">, and supporting patients to make shared decisions about their care. </w:t>
      </w:r>
    </w:p>
    <w:p w14:paraId="31DB18C7" w14:textId="07F21B7D" w:rsidR="005135C1" w:rsidRPr="005135C1" w:rsidRDefault="005135C1" w:rsidP="00E97F39">
      <w:pPr>
        <w:pStyle w:val="BodyText21"/>
        <w:rPr>
          <w:spacing w:val="-3"/>
        </w:rPr>
      </w:pPr>
      <w:r w:rsidRPr="005135C1">
        <w:rPr>
          <w:spacing w:val="-3"/>
        </w:rPr>
        <w:t xml:space="preserve">This service also provides an opportunity to promote lifestyle changes or other non-pharmacological interventions to enhance wellbeing in people with </w:t>
      </w:r>
      <w:r w:rsidR="001416C9">
        <w:rPr>
          <w:spacing w:val="-3"/>
        </w:rPr>
        <w:t>LTCs</w:t>
      </w:r>
      <w:r w:rsidRPr="005135C1">
        <w:rPr>
          <w:spacing w:val="-3"/>
        </w:rPr>
        <w:t>.</w:t>
      </w:r>
    </w:p>
    <w:p w14:paraId="1F2B4D98" w14:textId="7918FC67" w:rsidR="00FF6C25" w:rsidRPr="00622C82" w:rsidRDefault="005135C1" w:rsidP="005135C1">
      <w:pPr>
        <w:pStyle w:val="BodyText21"/>
        <w:rPr>
          <w:spacing w:val="-3"/>
        </w:rPr>
      </w:pPr>
      <w:r w:rsidRPr="005135C1">
        <w:rPr>
          <w:spacing w:val="-3"/>
        </w:rPr>
        <w:t>The NMS is an evidence-based intervention, with research</w:t>
      </w:r>
      <w:r w:rsidR="002D162C">
        <w:rPr>
          <w:rStyle w:val="FootnoteReference"/>
          <w:spacing w:val="-3"/>
        </w:rPr>
        <w:footnoteReference w:id="2"/>
      </w:r>
      <w:r w:rsidRPr="005135C1">
        <w:rPr>
          <w:spacing w:val="-3"/>
        </w:rPr>
        <w:t xml:space="preserve"> showing that pharmacists can successfully intervene when a medicine is newly prescribed, with repeated follow up in the short term, to increase effective medicine taking for the treatment of </w:t>
      </w:r>
      <w:r w:rsidR="00AA5B5E" w:rsidRPr="005135C1">
        <w:rPr>
          <w:spacing w:val="-3"/>
        </w:rPr>
        <w:t>an</w:t>
      </w:r>
      <w:r w:rsidRPr="005135C1">
        <w:rPr>
          <w:spacing w:val="-3"/>
        </w:rPr>
        <w:t xml:space="preserve"> </w:t>
      </w:r>
      <w:r w:rsidR="00CF59E5">
        <w:rPr>
          <w:spacing w:val="-3"/>
        </w:rPr>
        <w:t>LTC</w:t>
      </w:r>
      <w:r w:rsidRPr="005135C1">
        <w:rPr>
          <w:spacing w:val="-3"/>
        </w:rPr>
        <w:t xml:space="preserve">. The NMS demonstrates an increase in patient adherence </w:t>
      </w:r>
      <w:r w:rsidR="00505281">
        <w:rPr>
          <w:spacing w:val="-3"/>
        </w:rPr>
        <w:t xml:space="preserve">to their </w:t>
      </w:r>
      <w:r w:rsidR="00505281" w:rsidRPr="005135C1">
        <w:rPr>
          <w:spacing w:val="-3"/>
        </w:rPr>
        <w:t xml:space="preserve">medicine </w:t>
      </w:r>
      <w:r w:rsidRPr="005135C1">
        <w:rPr>
          <w:spacing w:val="-3"/>
        </w:rPr>
        <w:t>compared with normal practice, which translates into increased health gain at reduced overall cost</w:t>
      </w:r>
      <w:r w:rsidR="00CF59E5">
        <w:rPr>
          <w:spacing w:val="-3"/>
        </w:rPr>
        <w:t>.</w:t>
      </w:r>
      <w:r w:rsidR="00B119FB">
        <w:rPr>
          <w:rStyle w:val="FootnoteReference"/>
          <w:spacing w:val="-3"/>
        </w:rPr>
        <w:footnoteReference w:id="3"/>
      </w:r>
    </w:p>
    <w:p w14:paraId="5B4C8946" w14:textId="77777777" w:rsidR="00FF6C25" w:rsidRPr="00A64F08" w:rsidRDefault="00FF6C25" w:rsidP="00A64F08">
      <w:pPr>
        <w:pStyle w:val="Heading1Numbered"/>
      </w:pPr>
      <w:bookmarkStart w:id="5" w:name="_Toc205207908"/>
      <w:r w:rsidRPr="00A64F08">
        <w:lastRenderedPageBreak/>
        <w:t>Service objectives</w:t>
      </w:r>
      <w:bookmarkEnd w:id="5"/>
    </w:p>
    <w:p w14:paraId="18AA8780" w14:textId="66EAF4BD" w:rsidR="00A27670" w:rsidRDefault="00A27670" w:rsidP="00A27670">
      <w:pPr>
        <w:pStyle w:val="BodyText21"/>
      </w:pPr>
      <w:r>
        <w:t>This service provides support to people who are newly prescribed a medicine to manage an</w:t>
      </w:r>
      <w:r w:rsidR="00EE0E5E">
        <w:t xml:space="preserve"> eligible condition </w:t>
      </w:r>
      <w:r w:rsidR="00EE0E5E" w:rsidRPr="0051233A">
        <w:t>(see</w:t>
      </w:r>
      <w:r w:rsidR="0051233A">
        <w:t xml:space="preserve"> </w:t>
      </w:r>
      <w:r w:rsidR="005B40D5" w:rsidRPr="0051233A">
        <w:rPr>
          <w:b/>
          <w:bCs/>
        </w:rPr>
        <w:t>Section 5: Service Des</w:t>
      </w:r>
      <w:r w:rsidR="002E2FBA" w:rsidRPr="0051233A">
        <w:rPr>
          <w:b/>
          <w:bCs/>
        </w:rPr>
        <w:t>cription</w:t>
      </w:r>
      <w:r w:rsidR="00EE0E5E" w:rsidRPr="002710B6">
        <w:t>)</w:t>
      </w:r>
      <w:r w:rsidRPr="002710B6">
        <w:t>,</w:t>
      </w:r>
      <w:r>
        <w:t xml:space="preserve"> which will help them to appropriately improve their medication adherence and self-manage their </w:t>
      </w:r>
      <w:r w:rsidR="006B0027">
        <w:t>diagnosed condition</w:t>
      </w:r>
      <w:r>
        <w:t>.</w:t>
      </w:r>
    </w:p>
    <w:p w14:paraId="2072FB35" w14:textId="191DFC6A" w:rsidR="00EC64FA" w:rsidRDefault="00EC64FA" w:rsidP="00E97F39">
      <w:pPr>
        <w:pStyle w:val="BodyText21"/>
      </w:pPr>
      <w:r>
        <w:t xml:space="preserve">The aims </w:t>
      </w:r>
      <w:r w:rsidR="00EF7F11">
        <w:t xml:space="preserve">and intended outcomes </w:t>
      </w:r>
      <w:r>
        <w:t>of the service are to:</w:t>
      </w:r>
    </w:p>
    <w:p w14:paraId="27793D5F" w14:textId="3E00EE0A" w:rsidR="00EC64FA" w:rsidRDefault="00EC64FA" w:rsidP="00DF0825">
      <w:pPr>
        <w:pStyle w:val="BodyText211"/>
        <w:numPr>
          <w:ilvl w:val="5"/>
          <w:numId w:val="8"/>
        </w:numPr>
        <w:ind w:left="1985" w:hanging="742"/>
      </w:pPr>
      <w:r>
        <w:t xml:space="preserve">help patients and carers manage newly prescribed medicines, supporting patients to make shared decisions about their </w:t>
      </w:r>
      <w:r w:rsidR="00EF7F11">
        <w:t>diagnosed condition</w:t>
      </w:r>
    </w:p>
    <w:p w14:paraId="3AB1881A" w14:textId="3F0E16C0" w:rsidR="00EC64FA" w:rsidRDefault="00EC64FA" w:rsidP="00DF0825">
      <w:pPr>
        <w:pStyle w:val="BodyText211"/>
        <w:numPr>
          <w:ilvl w:val="5"/>
          <w:numId w:val="8"/>
        </w:numPr>
        <w:ind w:left="1985" w:hanging="742"/>
      </w:pPr>
      <w:r>
        <w:t xml:space="preserve">increase patient adherence to treatment and consequently reduce medicines wastage </w:t>
      </w:r>
    </w:p>
    <w:p w14:paraId="09112731" w14:textId="384D2945" w:rsidR="00EC64FA" w:rsidRDefault="00EC64FA" w:rsidP="00DF0825">
      <w:pPr>
        <w:pStyle w:val="BodyText211"/>
        <w:numPr>
          <w:ilvl w:val="5"/>
          <w:numId w:val="8"/>
        </w:numPr>
        <w:ind w:left="1985" w:hanging="742"/>
      </w:pPr>
      <w:r>
        <w:t>supplement and reinforce information provided by the prescriber, Primary Care Network (PCN) clinical pharmacist and</w:t>
      </w:r>
      <w:r w:rsidR="00EF7F11">
        <w:t>/or</w:t>
      </w:r>
      <w:r>
        <w:t xml:space="preserve"> GP practice staff to help patients make informed choices about their care</w:t>
      </w:r>
    </w:p>
    <w:p w14:paraId="0E834744" w14:textId="5AEE91B2" w:rsidR="00EC64FA" w:rsidRDefault="00EC64FA" w:rsidP="00DF0825">
      <w:pPr>
        <w:pStyle w:val="BodyText211"/>
        <w:numPr>
          <w:ilvl w:val="5"/>
          <w:numId w:val="8"/>
        </w:numPr>
        <w:ind w:left="1985" w:hanging="742"/>
      </w:pPr>
      <w:r>
        <w:t>enable the early identification of issues with newly prescribed medicines (e.g. adverse drug reactions or medicines usage problems) and support patients to resolve them or highlight to the prescriber</w:t>
      </w:r>
    </w:p>
    <w:p w14:paraId="69BBC3D9" w14:textId="575D6583" w:rsidR="00C15804" w:rsidRPr="00C15804" w:rsidRDefault="00C15804" w:rsidP="00DF0825">
      <w:pPr>
        <w:pStyle w:val="ListParagraph"/>
        <w:numPr>
          <w:ilvl w:val="5"/>
          <w:numId w:val="8"/>
        </w:numPr>
        <w:ind w:left="1985" w:hanging="742"/>
        <w:rPr>
          <w:rFonts w:eastAsiaTheme="minorHAnsi" w:cstheme="minorBidi"/>
          <w:color w:val="231F20"/>
        </w:rPr>
      </w:pPr>
      <w:r w:rsidRPr="00C15804">
        <w:rPr>
          <w:rFonts w:eastAsiaTheme="minorHAnsi" w:cstheme="minorBidi"/>
          <w:color w:val="231F20"/>
        </w:rPr>
        <w:t>improve pharmacovigilance, reduce avoidable medicines-related hospital admissions and improve quality of life for patients through increased adherence to treatment</w:t>
      </w:r>
    </w:p>
    <w:p w14:paraId="1C709684" w14:textId="0177AE71" w:rsidR="00C15804" w:rsidRDefault="00C15804" w:rsidP="00DF0825">
      <w:pPr>
        <w:pStyle w:val="BodyText211"/>
        <w:numPr>
          <w:ilvl w:val="5"/>
          <w:numId w:val="8"/>
        </w:numPr>
        <w:ind w:left="1985" w:hanging="742"/>
      </w:pPr>
      <w:r>
        <w:t>promote and support self-management of LTCs, and increase access to advice, improving medicines adherence and knowledge of potential side-effects</w:t>
      </w:r>
    </w:p>
    <w:p w14:paraId="233B780E" w14:textId="1B32AE70" w:rsidR="00EC64FA" w:rsidRDefault="00EC64FA" w:rsidP="00DF0825">
      <w:pPr>
        <w:pStyle w:val="BodyText211"/>
        <w:numPr>
          <w:ilvl w:val="5"/>
          <w:numId w:val="8"/>
        </w:numPr>
        <w:ind w:left="1985" w:hanging="742"/>
      </w:pPr>
      <w:r>
        <w:t>link the use of newly prescribed medicines to lifestyle changes or other non-pharmacological interventions to promote wellbeing and promote health in people with LTCs</w:t>
      </w:r>
    </w:p>
    <w:p w14:paraId="5FA114A7" w14:textId="77777777" w:rsidR="006669DA" w:rsidRDefault="006669DA" w:rsidP="00DF0825">
      <w:pPr>
        <w:pStyle w:val="BodyText211"/>
        <w:numPr>
          <w:ilvl w:val="5"/>
          <w:numId w:val="8"/>
        </w:numPr>
        <w:ind w:left="1985" w:hanging="742"/>
      </w:pPr>
      <w:r>
        <w:t>promote multidisciplinary working with the patient’s GP practice and other health professionals involved in the patient’s care</w:t>
      </w:r>
    </w:p>
    <w:p w14:paraId="6DD46281" w14:textId="79262343" w:rsidR="00916934" w:rsidRDefault="00585AF8" w:rsidP="00DF0825">
      <w:pPr>
        <w:pStyle w:val="BodyText211"/>
        <w:numPr>
          <w:ilvl w:val="5"/>
          <w:numId w:val="8"/>
        </w:numPr>
        <w:ind w:left="1985" w:hanging="742"/>
      </w:pPr>
      <w:r>
        <w:t>support integration of community pharmacy with LTC services from other healthcare providers and provide appropriate signposting and referral to these services</w:t>
      </w:r>
    </w:p>
    <w:p w14:paraId="50210DD9" w14:textId="77777777" w:rsidR="00FF6C25" w:rsidRPr="00A64F08" w:rsidRDefault="00FF6C25" w:rsidP="00A64F08">
      <w:pPr>
        <w:pStyle w:val="Heading1Numbered"/>
      </w:pPr>
      <w:bookmarkStart w:id="6" w:name="_Toc205207909"/>
      <w:r w:rsidRPr="00A64F08">
        <w:lastRenderedPageBreak/>
        <w:t>Requirements for service provision</w:t>
      </w:r>
      <w:bookmarkEnd w:id="6"/>
    </w:p>
    <w:p w14:paraId="533D9D30" w14:textId="77777777" w:rsidR="009075F3" w:rsidRPr="009075F3" w:rsidRDefault="009075F3" w:rsidP="00E97F39">
      <w:pPr>
        <w:pStyle w:val="BodyText21"/>
      </w:pPr>
      <w:r w:rsidRPr="009075F3">
        <w:t>Prior to provision of the service, the pharmacy contractor must:</w:t>
      </w:r>
    </w:p>
    <w:p w14:paraId="7DC4292E" w14:textId="77777777" w:rsidR="009075F3" w:rsidRPr="009075F3" w:rsidRDefault="009075F3" w:rsidP="00DF0825">
      <w:pPr>
        <w:pStyle w:val="BodyText211"/>
        <w:numPr>
          <w:ilvl w:val="5"/>
          <w:numId w:val="8"/>
        </w:numPr>
        <w:ind w:left="1418" w:hanging="567"/>
      </w:pPr>
      <w:r w:rsidRPr="009075F3">
        <w:t>Be satisfactorily complying with their obligations under Schedule 4 of the NHS (Pharmaceutical and Local Pharmaceutical Services) Regulations (Terms of Service of NHS pharmacists) in respect of the provision of Essential services and an acceptable system of clinical governance.</w:t>
      </w:r>
    </w:p>
    <w:p w14:paraId="3BB89BCA" w14:textId="56B7B2E7" w:rsidR="00E767C8" w:rsidRPr="006D0AD1" w:rsidRDefault="00E767C8" w:rsidP="00DF0825">
      <w:pPr>
        <w:pStyle w:val="BodyText211"/>
        <w:numPr>
          <w:ilvl w:val="5"/>
          <w:numId w:val="8"/>
        </w:numPr>
        <w:ind w:left="1418" w:hanging="567"/>
      </w:pPr>
      <w:r w:rsidRPr="006D0AD1">
        <w:t>Notify their local</w:t>
      </w:r>
      <w:r w:rsidR="00512EA2" w:rsidRPr="006D0AD1">
        <w:t xml:space="preserve"> ICB</w:t>
      </w:r>
      <w:r w:rsidRPr="006D0AD1">
        <w:t xml:space="preserve"> </w:t>
      </w:r>
      <w:hyperlink r:id="rId18" w:history="1">
        <w:r w:rsidR="00A81B06" w:rsidRPr="006D0AD1">
          <w:rPr>
            <w:rStyle w:val="Hyperlink"/>
            <w:rFonts w:ascii="Arial" w:hAnsi="Arial"/>
          </w:rPr>
          <w:t>pharmacy contract team</w:t>
        </w:r>
      </w:hyperlink>
      <w:r w:rsidR="00F86532">
        <w:t xml:space="preserve"> </w:t>
      </w:r>
      <w:r w:rsidR="006D0AD1" w:rsidRPr="006D0AD1">
        <w:t xml:space="preserve">that they intend to provide the service by completion of the </w:t>
      </w:r>
      <w:r w:rsidR="005519F2" w:rsidRPr="005519F2">
        <w:t xml:space="preserve">NMS Pharmacy </w:t>
      </w:r>
      <w:r w:rsidR="005519F2">
        <w:t>Contractor</w:t>
      </w:r>
      <w:r w:rsidR="005519F2" w:rsidRPr="005519F2">
        <w:t xml:space="preserve"> </w:t>
      </w:r>
      <w:r w:rsidR="005519F2">
        <w:t>D</w:t>
      </w:r>
      <w:r w:rsidR="005519F2" w:rsidRPr="005519F2">
        <w:t xml:space="preserve">eclaration </w:t>
      </w:r>
      <w:r w:rsidR="005519F2">
        <w:t>F</w:t>
      </w:r>
      <w:r w:rsidR="005519F2" w:rsidRPr="005519F2">
        <w:t>orm</w:t>
      </w:r>
      <w:r w:rsidR="0080245F">
        <w:t>.</w:t>
      </w:r>
      <w:r w:rsidR="005519F2">
        <w:rPr>
          <w:rStyle w:val="FootnoteReference"/>
        </w:rPr>
        <w:footnoteReference w:id="4"/>
      </w:r>
    </w:p>
    <w:p w14:paraId="6216B794" w14:textId="242176BB" w:rsidR="00FF6C25" w:rsidRDefault="00A3585B" w:rsidP="00A3585B">
      <w:pPr>
        <w:pStyle w:val="BodyText21"/>
      </w:pPr>
      <w:r w:rsidRPr="00A3585B">
        <w:t>The pharmacy contractor must ensure the service is accessible, appropriate and sensitive to the needs of all patients. No eligible patient shall be excluded or experience particular difficulty in accessing and effectively using this service, due to their race, gender, disability, sexual orientation, religion or belief, gender reassignment, marriage or civil partnership status, pregnancy or maternity, or age</w:t>
      </w:r>
      <w:r>
        <w:t>.</w:t>
      </w:r>
    </w:p>
    <w:p w14:paraId="309869D0" w14:textId="219E071A" w:rsidR="00637820" w:rsidRPr="000579BC" w:rsidRDefault="003D4A88" w:rsidP="00926BB6">
      <w:pPr>
        <w:pStyle w:val="BodyText21"/>
      </w:pPr>
      <w:r w:rsidRPr="000579BC">
        <w:t>The pharmacy contractor must have a standard operating procedure (SOP) in place covering the provision of the service</w:t>
      </w:r>
      <w:r w:rsidR="0030708E" w:rsidRPr="000579BC">
        <w:t xml:space="preserve"> including eligibility criteria</w:t>
      </w:r>
      <w:r w:rsidR="000D171C" w:rsidRPr="000579BC">
        <w:t xml:space="preserve"> </w:t>
      </w:r>
      <w:r w:rsidR="003850E5" w:rsidRPr="000579BC">
        <w:t xml:space="preserve">and the roles that pharmacy staff may be required to perform as part of </w:t>
      </w:r>
      <w:r w:rsidR="00A10FB7" w:rsidRPr="000579BC">
        <w:t>the service</w:t>
      </w:r>
      <w:r w:rsidR="00BE2980" w:rsidRPr="000579BC">
        <w:t xml:space="preserve">, </w:t>
      </w:r>
      <w:r w:rsidR="00BE2980" w:rsidRPr="0050697C">
        <w:t>e.g. consultations</w:t>
      </w:r>
      <w:r w:rsidR="00881836" w:rsidRPr="0050697C">
        <w:t xml:space="preserve"> undertake</w:t>
      </w:r>
      <w:r w:rsidR="009564F3" w:rsidRPr="0050697C">
        <w:t>n</w:t>
      </w:r>
      <w:r w:rsidR="00881836" w:rsidRPr="0050697C">
        <w:t xml:space="preserve"> as part of this service</w:t>
      </w:r>
      <w:r w:rsidR="00B239A6" w:rsidRPr="0050697C">
        <w:t xml:space="preserve"> must </w:t>
      </w:r>
      <w:r w:rsidR="00881836" w:rsidRPr="0050697C">
        <w:t xml:space="preserve">only </w:t>
      </w:r>
      <w:r w:rsidR="00B239A6" w:rsidRPr="0050697C">
        <w:t xml:space="preserve">be carried out </w:t>
      </w:r>
      <w:r w:rsidR="00881836" w:rsidRPr="0050697C">
        <w:t>by a</w:t>
      </w:r>
      <w:r w:rsidR="00B239A6" w:rsidRPr="0050697C">
        <w:t xml:space="preserve"> pharmacist.</w:t>
      </w:r>
      <w:r w:rsidR="00926BB6" w:rsidRPr="000579BC">
        <w:t xml:space="preserve"> </w:t>
      </w:r>
      <w:r w:rsidR="002F3BA8" w:rsidRPr="000579BC">
        <w:t>The SOP must include the process for escalation of medicines-related issues identified during the service, record keeping</w:t>
      </w:r>
      <w:r w:rsidR="00A45401" w:rsidRPr="000579BC">
        <w:t xml:space="preserve"> </w:t>
      </w:r>
      <w:r w:rsidR="002F3BA8" w:rsidRPr="000579BC">
        <w:t>and staff training.</w:t>
      </w:r>
    </w:p>
    <w:p w14:paraId="014E270C" w14:textId="502BB9A1" w:rsidR="0028046D" w:rsidRPr="000579BC" w:rsidRDefault="0028046D" w:rsidP="0028046D">
      <w:pPr>
        <w:pStyle w:val="BodyText21"/>
      </w:pPr>
      <w:r w:rsidRPr="000579BC">
        <w:t>The pharmacy contractor must ensure that all pharmacy staff involved in the provision of the service, are familiar with and adhere to the SOP. The SOP should be reviewed regularly, including following any significant incident or change to the service.</w:t>
      </w:r>
    </w:p>
    <w:p w14:paraId="525871E2" w14:textId="63A11397" w:rsidR="000D13DF" w:rsidRPr="000579BC" w:rsidRDefault="00A917B3" w:rsidP="0028046D">
      <w:pPr>
        <w:pStyle w:val="BodyText21"/>
      </w:pPr>
      <w:r w:rsidRPr="000579BC">
        <w:t>C</w:t>
      </w:r>
      <w:r w:rsidR="000D13DF" w:rsidRPr="000579BC">
        <w:t xml:space="preserve">onsultations </w:t>
      </w:r>
      <w:r w:rsidR="00DB1BAF" w:rsidRPr="000579BC">
        <w:t xml:space="preserve">must be </w:t>
      </w:r>
      <w:r w:rsidR="000D13DF" w:rsidRPr="000579BC">
        <w:t xml:space="preserve">provided </w:t>
      </w:r>
      <w:r w:rsidR="00FD57B1" w:rsidRPr="000579BC">
        <w:t xml:space="preserve">in-person </w:t>
      </w:r>
      <w:r w:rsidR="000D13DF" w:rsidRPr="000579BC">
        <w:t>face-to-face or remotely</w:t>
      </w:r>
      <w:r w:rsidR="002F5E65" w:rsidRPr="000579BC">
        <w:t xml:space="preserve">, i.e. </w:t>
      </w:r>
      <w:r w:rsidR="00FD57B1" w:rsidRPr="000579BC">
        <w:t xml:space="preserve">via </w:t>
      </w:r>
      <w:r w:rsidR="000A120C" w:rsidRPr="000579BC">
        <w:t>telephone or another live audio link or a live video link</w:t>
      </w:r>
      <w:r w:rsidR="00842F86" w:rsidRPr="000579BC">
        <w:t>.</w:t>
      </w:r>
      <w:r w:rsidR="00F83A69" w:rsidRPr="000579BC">
        <w:t xml:space="preserve"> </w:t>
      </w:r>
      <w:r w:rsidR="00135420" w:rsidRPr="0050697C">
        <w:t>Text-based communication</w:t>
      </w:r>
      <w:r w:rsidR="00386BE1" w:rsidRPr="0050697C">
        <w:t xml:space="preserve"> methods</w:t>
      </w:r>
      <w:r w:rsidR="00135420" w:rsidRPr="0050697C">
        <w:t xml:space="preserve"> </w:t>
      </w:r>
      <w:r w:rsidR="00136432" w:rsidRPr="0050697C">
        <w:t>must</w:t>
      </w:r>
      <w:r w:rsidR="003D7A9E" w:rsidRPr="0050697C">
        <w:t xml:space="preserve"> </w:t>
      </w:r>
      <w:r w:rsidR="00386BE1" w:rsidRPr="0050697C">
        <w:t xml:space="preserve">only </w:t>
      </w:r>
      <w:r w:rsidR="003D7A9E" w:rsidRPr="0050697C">
        <w:t>be used to support</w:t>
      </w:r>
      <w:r w:rsidR="00136432" w:rsidRPr="0050697C">
        <w:t>, and not replace,</w:t>
      </w:r>
      <w:r w:rsidR="003D7A9E" w:rsidRPr="0050697C">
        <w:t xml:space="preserve"> </w:t>
      </w:r>
      <w:r w:rsidR="00386BE1" w:rsidRPr="0050697C">
        <w:t xml:space="preserve">in-person face-to-face or remote, i.e. via telephone or another live audio link or a live video link, </w:t>
      </w:r>
      <w:r w:rsidR="003D7A9E" w:rsidRPr="0050697C">
        <w:t>c</w:t>
      </w:r>
      <w:r w:rsidR="008E7EE1" w:rsidRPr="0050697C">
        <w:t>onsultations undertaken as part of this service</w:t>
      </w:r>
      <w:r w:rsidR="00386BE1" w:rsidRPr="0050697C">
        <w:t>.</w:t>
      </w:r>
      <w:r w:rsidR="00386BE1" w:rsidRPr="000579BC">
        <w:t xml:space="preserve"> </w:t>
      </w:r>
    </w:p>
    <w:p w14:paraId="66D9B573" w14:textId="2FBD9C4C" w:rsidR="00775C1A" w:rsidRDefault="00775C1A" w:rsidP="00775C1A">
      <w:pPr>
        <w:pStyle w:val="BodyText21"/>
      </w:pPr>
      <w:r w:rsidRPr="000579BC">
        <w:t xml:space="preserve">The </w:t>
      </w:r>
      <w:r w:rsidR="00B55B2A" w:rsidRPr="000579BC">
        <w:t xml:space="preserve">pharmacy </w:t>
      </w:r>
      <w:r w:rsidRPr="000579BC">
        <w:t>contractor is required to report any patient safety incidents in line with the</w:t>
      </w:r>
      <w:r>
        <w:t xml:space="preserve"> </w:t>
      </w:r>
      <w:hyperlink r:id="rId19" w:history="1">
        <w:r w:rsidRPr="009A6E09">
          <w:rPr>
            <w:rStyle w:val="Hyperlink"/>
            <w:rFonts w:ascii="Arial" w:hAnsi="Arial"/>
          </w:rPr>
          <w:t>Clinical Governance Approved Particulars for pharmacies</w:t>
        </w:r>
      </w:hyperlink>
      <w:r>
        <w:t>.</w:t>
      </w:r>
    </w:p>
    <w:p w14:paraId="565596AF" w14:textId="698B95AF" w:rsidR="00FF6C25" w:rsidRPr="00F81B26" w:rsidRDefault="00FF6C25" w:rsidP="00D53B8B">
      <w:pPr>
        <w:pStyle w:val="Heading3Numbered"/>
        <w:numPr>
          <w:ilvl w:val="0"/>
          <w:numId w:val="0"/>
        </w:numPr>
        <w:ind w:left="567"/>
      </w:pPr>
      <w:bookmarkStart w:id="7" w:name="_Toc129344778"/>
      <w:bookmarkStart w:id="8" w:name="_Toc205207910"/>
      <w:r w:rsidRPr="006D721C">
        <w:t>Premises Requirements</w:t>
      </w:r>
      <w:bookmarkEnd w:id="7"/>
      <w:bookmarkEnd w:id="8"/>
    </w:p>
    <w:p w14:paraId="41C1761F" w14:textId="19877F79" w:rsidR="00417959" w:rsidRPr="006D721C" w:rsidRDefault="002017E9" w:rsidP="00417959">
      <w:pPr>
        <w:pStyle w:val="BodyText21"/>
        <w:rPr>
          <w:spacing w:val="-5"/>
        </w:rPr>
      </w:pPr>
      <w:r w:rsidRPr="002017E9">
        <w:t>Pharmacies</w:t>
      </w:r>
      <w:r w:rsidR="00292C09">
        <w:t xml:space="preserve">, </w:t>
      </w:r>
      <w:r w:rsidRPr="002017E9">
        <w:t xml:space="preserve">with the exception of </w:t>
      </w:r>
      <w:r w:rsidR="00EA71D3">
        <w:t>distance selling premise</w:t>
      </w:r>
      <w:r w:rsidR="00194EDE">
        <w:t>s</w:t>
      </w:r>
      <w:r w:rsidR="00EA71D3">
        <w:t xml:space="preserve"> </w:t>
      </w:r>
      <w:r w:rsidR="00432627">
        <w:t>(DSP) pharmacies</w:t>
      </w:r>
      <w:r w:rsidR="00EB6B71">
        <w:t xml:space="preserve"> and also</w:t>
      </w:r>
      <w:r w:rsidR="00FB4F68">
        <w:t xml:space="preserve"> in the circumstances described </w:t>
      </w:r>
      <w:r w:rsidR="00FB4F68" w:rsidRPr="007B25F0">
        <w:t xml:space="preserve">in </w:t>
      </w:r>
      <w:r w:rsidR="000469D8">
        <w:t>3.11</w:t>
      </w:r>
      <w:r w:rsidR="00292C09">
        <w:t xml:space="preserve">, </w:t>
      </w:r>
      <w:r w:rsidRPr="00292C09">
        <w:t>must</w:t>
      </w:r>
      <w:r w:rsidRPr="002017E9">
        <w:t xml:space="preserve"> have a consultation room that will be used for the </w:t>
      </w:r>
      <w:r w:rsidRPr="002017E9">
        <w:lastRenderedPageBreak/>
        <w:t>provision of the service which meets the requirements in the terms of service.</w:t>
      </w:r>
      <w:r w:rsidR="00B60F06" w:rsidRPr="00B60F06">
        <w:rPr>
          <w:rFonts w:asciiTheme="minorHAnsi" w:hAnsiTheme="minorHAnsi" w:cstheme="minorHAnsi"/>
        </w:rPr>
        <w:t xml:space="preserve"> </w:t>
      </w:r>
      <w:r w:rsidR="00B60F06" w:rsidRPr="000F7399">
        <w:rPr>
          <w:rFonts w:asciiTheme="minorHAnsi" w:hAnsiTheme="minorHAnsi" w:cstheme="minorHAnsi"/>
        </w:rPr>
        <w:t>There must be IT equipment accessible within the consultation room to allow contemporaneous records of the consultations provided as part of this service</w:t>
      </w:r>
      <w:r w:rsidR="00B60F06" w:rsidRPr="000F7399">
        <w:rPr>
          <w:rFonts w:ascii="DM Sans" w:hAnsi="DM Sans" w:cs="Arial"/>
        </w:rPr>
        <w:t>.</w:t>
      </w:r>
    </w:p>
    <w:p w14:paraId="29DD4C7D" w14:textId="542F99A5" w:rsidR="007E6513" w:rsidRPr="000D7C5B" w:rsidRDefault="00E916DA" w:rsidP="00873874">
      <w:pPr>
        <w:pStyle w:val="BodyText21"/>
        <w:rPr>
          <w:spacing w:val="-5"/>
        </w:rPr>
      </w:pPr>
      <w:r>
        <w:rPr>
          <w:bCs/>
          <w:spacing w:val="-5"/>
        </w:rPr>
        <w:t>From 1 October 2025</w:t>
      </w:r>
      <w:r w:rsidR="00545637">
        <w:rPr>
          <w:bCs/>
          <w:spacing w:val="-5"/>
        </w:rPr>
        <w:t xml:space="preserve">, </w:t>
      </w:r>
      <w:r w:rsidR="00873874" w:rsidRPr="00873874">
        <w:rPr>
          <w:bCs/>
          <w:spacing w:val="-5"/>
        </w:rPr>
        <w:t xml:space="preserve">DSPs are not permitted to provide </w:t>
      </w:r>
      <w:r w:rsidR="00FF699F" w:rsidRPr="0050697C">
        <w:rPr>
          <w:bCs/>
          <w:spacing w:val="-5"/>
        </w:rPr>
        <w:t>in</w:t>
      </w:r>
      <w:r w:rsidR="008850DB" w:rsidRPr="0050697C">
        <w:rPr>
          <w:bCs/>
          <w:spacing w:val="-5"/>
        </w:rPr>
        <w:t>-person</w:t>
      </w:r>
      <w:r w:rsidR="008850DB">
        <w:rPr>
          <w:bCs/>
          <w:spacing w:val="-5"/>
        </w:rPr>
        <w:t xml:space="preserve"> </w:t>
      </w:r>
      <w:r w:rsidR="00873874" w:rsidRPr="00873874">
        <w:rPr>
          <w:bCs/>
          <w:spacing w:val="-5"/>
        </w:rPr>
        <w:t>face-to-face consultations with patients present at the pharmacy premises</w:t>
      </w:r>
      <w:r w:rsidR="000659FC">
        <w:rPr>
          <w:bCs/>
          <w:spacing w:val="-5"/>
        </w:rPr>
        <w:t>.</w:t>
      </w:r>
    </w:p>
    <w:p w14:paraId="0F34795A" w14:textId="0572CD1B" w:rsidR="000D7C5B" w:rsidRPr="0008525F" w:rsidRDefault="000D7C5B" w:rsidP="002E2EFD">
      <w:pPr>
        <w:pStyle w:val="BodyText21"/>
        <w:rPr>
          <w:spacing w:val="-5"/>
        </w:rPr>
      </w:pPr>
      <w:r w:rsidRPr="000D7C5B">
        <w:rPr>
          <w:bCs/>
          <w:spacing w:val="-5"/>
        </w:rPr>
        <w:t xml:space="preserve">Remote consultations are permitted </w:t>
      </w:r>
      <w:r w:rsidR="006E66E2" w:rsidRPr="006E66E2">
        <w:rPr>
          <w:bCs/>
          <w:spacing w:val="-5"/>
        </w:rPr>
        <w:t>where assessed as clinically appropriate by the pharmacist</w:t>
      </w:r>
      <w:r w:rsidRPr="000D7C5B">
        <w:rPr>
          <w:bCs/>
          <w:spacing w:val="-5"/>
        </w:rPr>
        <w:t xml:space="preserve">. When undertaking remote consultations, the </w:t>
      </w:r>
      <w:r w:rsidR="002E2EFD" w:rsidRPr="002E2EFD">
        <w:rPr>
          <w:bCs/>
          <w:spacing w:val="-5"/>
        </w:rPr>
        <w:t xml:space="preserve">pharmacy </w:t>
      </w:r>
      <w:r w:rsidRPr="000D7C5B">
        <w:rPr>
          <w:bCs/>
          <w:spacing w:val="-5"/>
        </w:rPr>
        <w:t>contractor must ensure that there are arrangements in place at the pharmacy that enable staff to communicate confidentially with the person receiving the service by telephone or another live audio link or a live video link. </w:t>
      </w:r>
      <w:hyperlink r:id="rId20" w:history="1">
        <w:r w:rsidRPr="000D7C5B">
          <w:rPr>
            <w:rStyle w:val="Hyperlink"/>
            <w:rFonts w:ascii="Arial" w:hAnsi="Arial"/>
            <w:bCs/>
            <w:spacing w:val="-5"/>
          </w:rPr>
          <w:t>NHS Guidance to support community pharmacy teams</w:t>
        </w:r>
      </w:hyperlink>
      <w:r w:rsidRPr="00BF0F25">
        <w:rPr>
          <w:bCs/>
          <w:spacing w:val="-5"/>
        </w:rPr>
        <w:t> </w:t>
      </w:r>
      <w:r w:rsidRPr="000D7C5B">
        <w:rPr>
          <w:bCs/>
          <w:spacing w:val="-5"/>
        </w:rPr>
        <w:t>can help to plan for this.</w:t>
      </w:r>
    </w:p>
    <w:p w14:paraId="52C7A8F4" w14:textId="488A8B1B" w:rsidR="0008525F" w:rsidRPr="00881F59" w:rsidRDefault="00F836AA" w:rsidP="00A623CD">
      <w:pPr>
        <w:pStyle w:val="BodyText21"/>
        <w:rPr>
          <w:spacing w:val="-5"/>
        </w:rPr>
      </w:pPr>
      <w:r>
        <w:rPr>
          <w:bCs/>
          <w:spacing w:val="-5"/>
        </w:rPr>
        <w:t xml:space="preserve">The service may be provided </w:t>
      </w:r>
      <w:r w:rsidR="00A623CD" w:rsidRPr="00A623CD">
        <w:rPr>
          <w:bCs/>
          <w:spacing w:val="-5"/>
        </w:rPr>
        <w:t>in patients’ homes, but the</w:t>
      </w:r>
      <w:r w:rsidR="007B7CEA">
        <w:rPr>
          <w:bCs/>
          <w:spacing w:val="-5"/>
        </w:rPr>
        <w:t xml:space="preserve"> pharmacy contractor</w:t>
      </w:r>
      <w:r w:rsidR="00A623CD" w:rsidRPr="00A623CD">
        <w:rPr>
          <w:bCs/>
          <w:spacing w:val="-5"/>
        </w:rPr>
        <w:t xml:space="preserve"> must ensure appropriate safeguarding arrangements are in place, including ensuring pharmacists have a valid </w:t>
      </w:r>
      <w:r w:rsidR="00641D77">
        <w:rPr>
          <w:bCs/>
          <w:spacing w:val="-5"/>
        </w:rPr>
        <w:t>Enhanced</w:t>
      </w:r>
      <w:r w:rsidR="00CC53AC">
        <w:rPr>
          <w:bCs/>
          <w:spacing w:val="-5"/>
        </w:rPr>
        <w:t xml:space="preserve"> </w:t>
      </w:r>
      <w:r w:rsidR="009E1FEC" w:rsidRPr="009E1FEC">
        <w:rPr>
          <w:bCs/>
          <w:spacing w:val="-5"/>
        </w:rPr>
        <w:t>Disclosure and Barring Service</w:t>
      </w:r>
      <w:r w:rsidR="009E1FEC">
        <w:rPr>
          <w:bCs/>
          <w:spacing w:val="-5"/>
        </w:rPr>
        <w:t xml:space="preserve"> (</w:t>
      </w:r>
      <w:r w:rsidR="00A623CD" w:rsidRPr="00A623CD">
        <w:rPr>
          <w:bCs/>
          <w:spacing w:val="-5"/>
        </w:rPr>
        <w:t>DBS</w:t>
      </w:r>
      <w:r w:rsidR="009E1FEC">
        <w:rPr>
          <w:bCs/>
          <w:spacing w:val="-5"/>
        </w:rPr>
        <w:t>)</w:t>
      </w:r>
      <w:r w:rsidR="00A623CD" w:rsidRPr="00A623CD">
        <w:rPr>
          <w:bCs/>
          <w:spacing w:val="-5"/>
        </w:rPr>
        <w:t xml:space="preserve"> certificate, and there are appropriate procedures and indemnity arrangements in place. Evidence of safeguarding checks, procedures and indemnity must be made available to </w:t>
      </w:r>
      <w:r w:rsidR="00483911">
        <w:rPr>
          <w:bCs/>
          <w:spacing w:val="-5"/>
        </w:rPr>
        <w:t>the commissioner</w:t>
      </w:r>
      <w:r w:rsidR="00A623CD" w:rsidRPr="00A623CD">
        <w:rPr>
          <w:bCs/>
          <w:spacing w:val="-5"/>
        </w:rPr>
        <w:t xml:space="preserve"> upon request.</w:t>
      </w:r>
    </w:p>
    <w:p w14:paraId="4A77A5FA" w14:textId="2427F84C" w:rsidR="00C54077" w:rsidRPr="00662381" w:rsidRDefault="001D5E84" w:rsidP="002E2EFD">
      <w:pPr>
        <w:pStyle w:val="BodyText21"/>
        <w:rPr>
          <w:spacing w:val="-5"/>
          <w:sz w:val="28"/>
          <w:szCs w:val="28"/>
        </w:rPr>
      </w:pPr>
      <w:r w:rsidRPr="001D5E84">
        <w:rPr>
          <w:bCs/>
          <w:spacing w:val="-5"/>
        </w:rPr>
        <w:t xml:space="preserve">If the commissioner has </w:t>
      </w:r>
      <w:r w:rsidR="00837C38">
        <w:rPr>
          <w:bCs/>
          <w:spacing w:val="-5"/>
        </w:rPr>
        <w:t xml:space="preserve">previously </w:t>
      </w:r>
      <w:r w:rsidRPr="001D5E84">
        <w:rPr>
          <w:bCs/>
          <w:spacing w:val="-5"/>
        </w:rPr>
        <w:t xml:space="preserve">agreed that the </w:t>
      </w:r>
      <w:hyperlink r:id="rId21" w:history="1">
        <w:r w:rsidRPr="000C4AAA">
          <w:rPr>
            <w:rStyle w:val="Hyperlink"/>
            <w:rFonts w:ascii="Arial" w:hAnsi="Arial"/>
            <w:bCs/>
            <w:spacing w:val="-5"/>
          </w:rPr>
          <w:t>pharmacy premises are too small for a consultation room</w:t>
        </w:r>
      </w:hyperlink>
      <w:r w:rsidRPr="001D5E84">
        <w:rPr>
          <w:bCs/>
          <w:spacing w:val="-5"/>
        </w:rPr>
        <w:t xml:space="preserve">, then the </w:t>
      </w:r>
      <w:r w:rsidR="002E2EFD" w:rsidRPr="002E2EFD">
        <w:rPr>
          <w:bCs/>
          <w:spacing w:val="-5"/>
        </w:rPr>
        <w:t xml:space="preserve">pharmacy </w:t>
      </w:r>
      <w:r w:rsidRPr="001D5E84">
        <w:rPr>
          <w:bCs/>
          <w:spacing w:val="-5"/>
        </w:rPr>
        <w:t xml:space="preserve">contractor can instead provide the service remotely </w:t>
      </w:r>
      <w:r w:rsidR="00D0413A">
        <w:rPr>
          <w:bCs/>
          <w:spacing w:val="-5"/>
        </w:rPr>
        <w:t xml:space="preserve">(as detailed in </w:t>
      </w:r>
      <w:r w:rsidR="004051A7">
        <w:rPr>
          <w:bCs/>
          <w:spacing w:val="-5"/>
        </w:rPr>
        <w:t>3.9)</w:t>
      </w:r>
      <w:r w:rsidRPr="001D5E84">
        <w:rPr>
          <w:bCs/>
          <w:spacing w:val="-5"/>
        </w:rPr>
        <w:t xml:space="preserve"> or in the patient’s home</w:t>
      </w:r>
      <w:r w:rsidR="004051A7">
        <w:rPr>
          <w:bCs/>
          <w:spacing w:val="-5"/>
        </w:rPr>
        <w:t xml:space="preserve"> (as detailed in 3.10)</w:t>
      </w:r>
      <w:r w:rsidRPr="001D5E84">
        <w:rPr>
          <w:bCs/>
          <w:spacing w:val="-5"/>
        </w:rPr>
        <w:t>.</w:t>
      </w:r>
      <w:r w:rsidR="004051A7">
        <w:rPr>
          <w:bCs/>
          <w:spacing w:val="-5"/>
        </w:rPr>
        <w:t xml:space="preserve"> </w:t>
      </w:r>
    </w:p>
    <w:p w14:paraId="432DB849" w14:textId="1154B5C2" w:rsidR="00FA521A" w:rsidRPr="00112F80" w:rsidRDefault="00C614C3" w:rsidP="007D34A1">
      <w:pPr>
        <w:pStyle w:val="Heading3Numbered"/>
        <w:numPr>
          <w:ilvl w:val="0"/>
          <w:numId w:val="0"/>
        </w:numPr>
        <w:ind w:firstLine="567"/>
      </w:pPr>
      <w:bookmarkStart w:id="9" w:name="_Toc201736707"/>
      <w:bookmarkStart w:id="10" w:name="_Toc205207911"/>
      <w:r w:rsidRPr="00112F80">
        <w:t>Sub-contracting</w:t>
      </w:r>
      <w:bookmarkEnd w:id="9"/>
      <w:bookmarkEnd w:id="10"/>
    </w:p>
    <w:p w14:paraId="6120F3B0" w14:textId="3B176A38" w:rsidR="00174C2E" w:rsidRPr="0050697C" w:rsidRDefault="00174C2E" w:rsidP="00174C2E">
      <w:pPr>
        <w:pStyle w:val="BodyText21"/>
        <w:rPr>
          <w:spacing w:val="-5"/>
        </w:rPr>
      </w:pPr>
      <w:r w:rsidRPr="0050697C">
        <w:rPr>
          <w:spacing w:val="-5"/>
        </w:rPr>
        <w:t>Pharmac</w:t>
      </w:r>
      <w:r w:rsidR="00D01D86" w:rsidRPr="0050697C">
        <w:rPr>
          <w:spacing w:val="-5"/>
        </w:rPr>
        <w:t>y contractors</w:t>
      </w:r>
      <w:r w:rsidRPr="0050697C">
        <w:rPr>
          <w:spacing w:val="-5"/>
        </w:rPr>
        <w:t xml:space="preserve"> are not permitted to use sub-contracting </w:t>
      </w:r>
      <w:r w:rsidR="00EF58FD" w:rsidRPr="0050697C">
        <w:rPr>
          <w:spacing w:val="-5"/>
        </w:rPr>
        <w:t xml:space="preserve">arrangements </w:t>
      </w:r>
      <w:r w:rsidR="00112F80" w:rsidRPr="00112F80">
        <w:rPr>
          <w:spacing w:val="-5"/>
        </w:rPr>
        <w:t xml:space="preserve">at a location other than the pharmacy premises </w:t>
      </w:r>
      <w:r w:rsidR="00EF58FD" w:rsidRPr="0050697C">
        <w:rPr>
          <w:spacing w:val="-5"/>
        </w:rPr>
        <w:t xml:space="preserve">for the service to be </w:t>
      </w:r>
      <w:r w:rsidR="00B62D0F" w:rsidRPr="0050697C">
        <w:rPr>
          <w:spacing w:val="-5"/>
        </w:rPr>
        <w:t>provide</w:t>
      </w:r>
      <w:r w:rsidR="00EF58FD" w:rsidRPr="0050697C">
        <w:rPr>
          <w:spacing w:val="-5"/>
        </w:rPr>
        <w:t>d</w:t>
      </w:r>
      <w:r w:rsidR="00B62D0F" w:rsidRPr="0050697C">
        <w:rPr>
          <w:spacing w:val="-5"/>
        </w:rPr>
        <w:t xml:space="preserve"> on their behalf</w:t>
      </w:r>
      <w:r w:rsidRPr="0050697C">
        <w:rPr>
          <w:spacing w:val="-5"/>
        </w:rPr>
        <w:t>.</w:t>
      </w:r>
    </w:p>
    <w:p w14:paraId="33534859" w14:textId="08900A93" w:rsidR="00174C2E" w:rsidRPr="0050697C" w:rsidRDefault="001E1325" w:rsidP="001E1325">
      <w:pPr>
        <w:pStyle w:val="BodyText21"/>
        <w:rPr>
          <w:spacing w:val="-5"/>
        </w:rPr>
      </w:pPr>
      <w:r w:rsidRPr="0050697C">
        <w:rPr>
          <w:spacing w:val="-5"/>
        </w:rPr>
        <w:t>I</w:t>
      </w:r>
      <w:r w:rsidR="00292C68" w:rsidRPr="0050697C">
        <w:rPr>
          <w:spacing w:val="-5"/>
        </w:rPr>
        <w:t xml:space="preserve">f the service is provided </w:t>
      </w:r>
      <w:r w:rsidR="00174C2E" w:rsidRPr="0050697C">
        <w:rPr>
          <w:spacing w:val="-5"/>
        </w:rPr>
        <w:t xml:space="preserve">at a location other than the pharmacy premises, the </w:t>
      </w:r>
      <w:r w:rsidRPr="0050697C">
        <w:rPr>
          <w:spacing w:val="-5"/>
        </w:rPr>
        <w:t>pharmacy contractor must ensure that</w:t>
      </w:r>
      <w:r w:rsidR="000054C0" w:rsidRPr="0050697C">
        <w:rPr>
          <w:spacing w:val="-5"/>
        </w:rPr>
        <w:t xml:space="preserve"> the pharmacist delivering the service</w:t>
      </w:r>
      <w:r w:rsidR="00D43A46" w:rsidRPr="0050697C">
        <w:rPr>
          <w:spacing w:val="-5"/>
        </w:rPr>
        <w:t>:</w:t>
      </w:r>
    </w:p>
    <w:p w14:paraId="7E5BDDE1" w14:textId="2080FADA" w:rsidR="00D43A46" w:rsidRPr="0050697C" w:rsidRDefault="00D43A46" w:rsidP="00D43A46">
      <w:pPr>
        <w:pStyle w:val="BodyText211"/>
        <w:numPr>
          <w:ilvl w:val="5"/>
          <w:numId w:val="8"/>
        </w:numPr>
        <w:rPr>
          <w:spacing w:val="-5"/>
        </w:rPr>
      </w:pPr>
      <w:r w:rsidRPr="0050697C">
        <w:rPr>
          <w:spacing w:val="-5"/>
        </w:rPr>
        <w:t>is employed directly by the pharmacy</w:t>
      </w:r>
      <w:r w:rsidR="00553C22" w:rsidRPr="0050697C">
        <w:rPr>
          <w:spacing w:val="-5"/>
        </w:rPr>
        <w:t xml:space="preserve">, </w:t>
      </w:r>
      <w:r w:rsidRPr="0050697C">
        <w:rPr>
          <w:spacing w:val="-5"/>
        </w:rPr>
        <w:t>or a company in the same group</w:t>
      </w:r>
      <w:r w:rsidR="008E0233" w:rsidRPr="0050697C">
        <w:rPr>
          <w:rStyle w:val="FootnoteReference"/>
          <w:spacing w:val="-5"/>
        </w:rPr>
        <w:footnoteReference w:id="5"/>
      </w:r>
      <w:r w:rsidRPr="0050697C">
        <w:rPr>
          <w:spacing w:val="-5"/>
        </w:rPr>
        <w:t xml:space="preserve"> as the pharmac</w:t>
      </w:r>
      <w:r w:rsidR="00553C22" w:rsidRPr="0050697C">
        <w:rPr>
          <w:spacing w:val="-5"/>
        </w:rPr>
        <w:t>y</w:t>
      </w:r>
      <w:r w:rsidR="000054C0" w:rsidRPr="0050697C">
        <w:rPr>
          <w:spacing w:val="-5"/>
        </w:rPr>
        <w:t>;</w:t>
      </w:r>
      <w:r w:rsidRPr="0050697C">
        <w:rPr>
          <w:spacing w:val="-5"/>
        </w:rPr>
        <w:t xml:space="preserve"> and</w:t>
      </w:r>
    </w:p>
    <w:p w14:paraId="76FA77DD" w14:textId="22EC712D" w:rsidR="00174C2E" w:rsidRPr="0050697C" w:rsidRDefault="008E0233" w:rsidP="007E4181">
      <w:pPr>
        <w:pStyle w:val="BodyText211"/>
        <w:numPr>
          <w:ilvl w:val="5"/>
          <w:numId w:val="8"/>
        </w:numPr>
        <w:rPr>
          <w:spacing w:val="-5"/>
        </w:rPr>
      </w:pPr>
      <w:r w:rsidRPr="0050697C">
        <w:rPr>
          <w:spacing w:val="-5"/>
        </w:rPr>
        <w:t>has access to the records of the patient that are held by or accessible to the pharmacy contractor required to provide the service safely and effectively.</w:t>
      </w:r>
    </w:p>
    <w:p w14:paraId="1152FB65" w14:textId="77777777" w:rsidR="00FF6C25" w:rsidRPr="00A64F08" w:rsidRDefault="00FF6C25" w:rsidP="00A64F08">
      <w:pPr>
        <w:pStyle w:val="Heading1Numbered"/>
      </w:pPr>
      <w:bookmarkStart w:id="11" w:name="_Toc204857983"/>
      <w:bookmarkStart w:id="12" w:name="_Toc205207912"/>
      <w:bookmarkEnd w:id="11"/>
      <w:r w:rsidRPr="00A64F08">
        <w:lastRenderedPageBreak/>
        <w:t>Training</w:t>
      </w:r>
      <w:bookmarkEnd w:id="12"/>
    </w:p>
    <w:p w14:paraId="3C7186D1" w14:textId="3DAB9F82" w:rsidR="00D4189F" w:rsidRDefault="00D4189F" w:rsidP="00E97F39">
      <w:pPr>
        <w:pStyle w:val="BodyText21"/>
      </w:pPr>
      <w:r>
        <w:t xml:space="preserve">The pharmacy contractor </w:t>
      </w:r>
      <w:r w:rsidRPr="00A7510D">
        <w:t xml:space="preserve">must be satisfied that all pharmacy staff to be involved in the provision of the service are competent to do so. </w:t>
      </w:r>
      <w:r w:rsidR="009564F3" w:rsidRPr="0050697C">
        <w:t>Consultations undertaken as part of this service must only be carried out by pharmacist</w:t>
      </w:r>
      <w:r w:rsidR="000E2E52" w:rsidRPr="0050697C">
        <w:t>s</w:t>
      </w:r>
      <w:r w:rsidR="009564F3" w:rsidRPr="0050697C">
        <w:t xml:space="preserve"> </w:t>
      </w:r>
      <w:r w:rsidR="0041363F" w:rsidRPr="0050697C">
        <w:t>who</w:t>
      </w:r>
      <w:r w:rsidRPr="0050697C">
        <w:t xml:space="preserve"> have the necessary knowledge and skills to do so</w:t>
      </w:r>
      <w:r w:rsidRPr="00A7510D">
        <w:t>, with them assessing and declaring their competence by completing the NMS self-assessment form</w:t>
      </w:r>
      <w:r w:rsidRPr="00A7510D">
        <w:rPr>
          <w:vertAlign w:val="superscript"/>
        </w:rPr>
        <w:footnoteReference w:id="6"/>
      </w:r>
      <w:r w:rsidRPr="00A7510D">
        <w:t xml:space="preserve"> and providing a completed copy of the form to the pharmacy</w:t>
      </w:r>
      <w:r w:rsidRPr="006A4BE1">
        <w:t xml:space="preserve"> contractor, for retention by them</w:t>
      </w:r>
      <w:r>
        <w:t>.</w:t>
      </w:r>
    </w:p>
    <w:p w14:paraId="24FAF76E" w14:textId="7DABD2E8" w:rsidR="00FF6C25" w:rsidRPr="00A64F08" w:rsidRDefault="00FF6C25" w:rsidP="00A64F08">
      <w:pPr>
        <w:pStyle w:val="Heading1Numbered"/>
      </w:pPr>
      <w:bookmarkStart w:id="13" w:name="_Toc205207913"/>
      <w:r w:rsidRPr="00A64F08">
        <w:t>Service description</w:t>
      </w:r>
      <w:bookmarkEnd w:id="13"/>
    </w:p>
    <w:p w14:paraId="0F09052B" w14:textId="687CB15D" w:rsidR="0064466D" w:rsidRDefault="00BA7EE5" w:rsidP="00E97F39">
      <w:pPr>
        <w:pStyle w:val="BodyText21"/>
      </w:pPr>
      <w:r>
        <w:t>The service is available to all patients</w:t>
      </w:r>
      <w:r w:rsidR="00886C84">
        <w:t xml:space="preserve"> prescribed eligible new medicines for an eligible condition</w:t>
      </w:r>
      <w:r w:rsidR="00C1252F">
        <w:t>,</w:t>
      </w:r>
      <w:r>
        <w:t xml:space="preserve"> with the exception of </w:t>
      </w:r>
      <w:r w:rsidR="00A27115">
        <w:t>patients who are</w:t>
      </w:r>
      <w:r w:rsidR="00313BA6">
        <w:t xml:space="preserve"> eligible for the service due to being prescribed a</w:t>
      </w:r>
      <w:r w:rsidR="00A27115">
        <w:t xml:space="preserve"> medicine for </w:t>
      </w:r>
      <w:r>
        <w:t>depression</w:t>
      </w:r>
      <w:r w:rsidR="00A37D6A">
        <w:t>; then the service</w:t>
      </w:r>
      <w:r>
        <w:t xml:space="preserve"> is limited to those </w:t>
      </w:r>
      <w:r w:rsidRPr="7F3B2328">
        <w:rPr>
          <w:rFonts w:cs="Arial"/>
        </w:rPr>
        <w:t>≥18 years of age</w:t>
      </w:r>
      <w:r w:rsidR="00886C84">
        <w:rPr>
          <w:rFonts w:cs="Arial"/>
        </w:rPr>
        <w:t>.</w:t>
      </w:r>
    </w:p>
    <w:p w14:paraId="31D3E4B3" w14:textId="52ED9C45" w:rsidR="0064466D" w:rsidRPr="0064466D" w:rsidRDefault="0064466D" w:rsidP="0064466D">
      <w:pPr>
        <w:pStyle w:val="BodyText21"/>
        <w:rPr>
          <w:lang w:val="en-US"/>
        </w:rPr>
      </w:pPr>
      <w:r w:rsidRPr="00E56E49">
        <w:t>Prior to provision of the service, informed verbal consent must be sought from the patient and recorded in the pharmacy’s clinical record for the service</w:t>
      </w:r>
      <w:r>
        <w:t>.</w:t>
      </w:r>
      <w:r w:rsidRPr="00E56E49">
        <w:t xml:space="preserve"> </w:t>
      </w:r>
      <w:r w:rsidRPr="0064466D">
        <w:rPr>
          <w:lang w:val="en-US"/>
        </w:rPr>
        <w:t>This consent covers the provision of the service, and the patient should also be advised of the following information sharing that may take place:</w:t>
      </w:r>
    </w:p>
    <w:p w14:paraId="28F97F12" w14:textId="77777777" w:rsidR="0064466D" w:rsidRPr="004B5C40" w:rsidRDefault="0064466D" w:rsidP="0064466D">
      <w:pPr>
        <w:pStyle w:val="BodyText211"/>
        <w:numPr>
          <w:ilvl w:val="5"/>
          <w:numId w:val="8"/>
        </w:numPr>
        <w:ind w:left="1560"/>
      </w:pPr>
      <w:r w:rsidRPr="004B5C40">
        <w:t>the sharing of information between the pharmacy and the patient’s general practice if needed, to enable the provision of appropriate care;</w:t>
      </w:r>
      <w:r>
        <w:t xml:space="preserve"> and</w:t>
      </w:r>
    </w:p>
    <w:p w14:paraId="068C996E" w14:textId="77777777" w:rsidR="0064466D" w:rsidRPr="004B5C40" w:rsidRDefault="0064466D" w:rsidP="0064466D">
      <w:pPr>
        <w:pStyle w:val="BodyText211"/>
        <w:numPr>
          <w:ilvl w:val="5"/>
          <w:numId w:val="8"/>
        </w:numPr>
        <w:ind w:left="1560"/>
      </w:pPr>
      <w:r w:rsidRPr="004B5C40">
        <w:t>the sharing of information about the service with NHS England as part of service monitoring; and</w:t>
      </w:r>
    </w:p>
    <w:p w14:paraId="4D7CA9E2" w14:textId="0C38CE78" w:rsidR="00BA7EE5" w:rsidRDefault="0064466D" w:rsidP="00A20916">
      <w:pPr>
        <w:pStyle w:val="BodyText211"/>
        <w:numPr>
          <w:ilvl w:val="5"/>
          <w:numId w:val="8"/>
        </w:numPr>
        <w:ind w:left="1560"/>
      </w:pPr>
      <w:r w:rsidRPr="004B5C40">
        <w:t>the sharing of information about the service with NHS England and the NHS Business Services Authority (NHSBSA) as part of post-payment verification</w:t>
      </w:r>
      <w:r w:rsidR="00D37487">
        <w:t xml:space="preserve"> (PPV)</w:t>
      </w:r>
      <w:r w:rsidRPr="004B5C40">
        <w:t>.</w:t>
      </w:r>
    </w:p>
    <w:p w14:paraId="3C772930" w14:textId="39F5AF72" w:rsidR="003258BE" w:rsidRDefault="003258BE" w:rsidP="005C7A0B">
      <w:pPr>
        <w:pStyle w:val="BodyText21"/>
      </w:pPr>
      <w:r w:rsidRPr="003258BE">
        <w:t xml:space="preserve">Where consent </w:t>
      </w:r>
      <w:r w:rsidR="00290BD2">
        <w:t xml:space="preserve">to receive the service </w:t>
      </w:r>
      <w:r w:rsidRPr="003258BE">
        <w:t>cannot be given by the p</w:t>
      </w:r>
      <w:r>
        <w:t xml:space="preserve">erson </w:t>
      </w:r>
      <w:r w:rsidRPr="003258BE">
        <w:t>themselves, e.g. younger children and for people who are unable to give consent but may benefit from the service, consent can be sought from the carer or parent/guardian, with them being involved in the subsequent discussions which make up the service.</w:t>
      </w:r>
    </w:p>
    <w:p w14:paraId="68F6D7F9" w14:textId="4A1F8BA4" w:rsidR="00404A81" w:rsidRDefault="00404A81" w:rsidP="00E97F39">
      <w:pPr>
        <w:pStyle w:val="BodyText21"/>
      </w:pPr>
      <w:r w:rsidRPr="00404A81">
        <w:t xml:space="preserve">The service can be provided to patients who are not registered with a GP practice. In this instance the pharmacy staff should recommend that the patient registers with a GP practice and </w:t>
      </w:r>
      <w:r w:rsidR="00D222F9">
        <w:t>advise them on how they can do this</w:t>
      </w:r>
      <w:r w:rsidRPr="00404A81">
        <w:t xml:space="preserve">. The pharmacist must </w:t>
      </w:r>
      <w:r w:rsidR="009378E3" w:rsidRPr="009378E3">
        <w:t xml:space="preserve">make their best endeavours to </w:t>
      </w:r>
      <w:r w:rsidR="009378E3" w:rsidRPr="009378E3">
        <w:lastRenderedPageBreak/>
        <w:t>ensure that any clinically relevant information following the consultation</w:t>
      </w:r>
      <w:r w:rsidR="00316ED2">
        <w:t>(s)</w:t>
      </w:r>
      <w:r w:rsidR="009378E3" w:rsidRPr="009378E3">
        <w:t xml:space="preserve"> is fed back to the prescriber of the new medicine(s)</w:t>
      </w:r>
      <w:r w:rsidRPr="00404A81">
        <w:t xml:space="preserve">. This should </w:t>
      </w:r>
      <w:r>
        <w:t xml:space="preserve">also </w:t>
      </w:r>
      <w:r w:rsidRPr="00404A81">
        <w:t>be recorded in the patient’s clinical record.</w:t>
      </w:r>
    </w:p>
    <w:p w14:paraId="23295C89" w14:textId="6554F3CE" w:rsidR="002A74A2" w:rsidRDefault="002A74A2" w:rsidP="00E97F39">
      <w:pPr>
        <w:pStyle w:val="BodyText21"/>
      </w:pPr>
      <w:r w:rsidRPr="002A74A2">
        <w:t>With the patient’s consent</w:t>
      </w:r>
      <w:r w:rsidR="003B64BB">
        <w:t xml:space="preserve"> and where appropriate, </w:t>
      </w:r>
      <w:r w:rsidRPr="002A74A2">
        <w:t xml:space="preserve">the </w:t>
      </w:r>
      <w:r w:rsidR="0068312E">
        <w:t xml:space="preserve">national </w:t>
      </w:r>
      <w:r w:rsidRPr="002A74A2">
        <w:t>care record</w:t>
      </w:r>
      <w:r w:rsidR="0068312E">
        <w:t xml:space="preserve"> and/</w:t>
      </w:r>
      <w:r w:rsidRPr="002A74A2">
        <w:t xml:space="preserve">or </w:t>
      </w:r>
      <w:r w:rsidR="00237C46">
        <w:t>locally available</w:t>
      </w:r>
      <w:r w:rsidRPr="002A74A2">
        <w:t xml:space="preserve"> clinical record</w:t>
      </w:r>
      <w:r w:rsidR="00237C46">
        <w:t>s</w:t>
      </w:r>
      <w:r w:rsidRPr="002A74A2">
        <w:t xml:space="preserve"> for the patient should be checked by the pharmacist </w:t>
      </w:r>
      <w:r w:rsidR="00237C46">
        <w:t xml:space="preserve">as required </w:t>
      </w:r>
      <w:r w:rsidR="00237C46" w:rsidRPr="00237C46">
        <w:t>to provide the service safely and effectively.</w:t>
      </w:r>
    </w:p>
    <w:p w14:paraId="2FE0B50D" w14:textId="37E6AB52" w:rsidR="00B966C3" w:rsidRDefault="00FC54DF" w:rsidP="00B966C3">
      <w:pPr>
        <w:pStyle w:val="BodyText21"/>
      </w:pPr>
      <w:r>
        <w:t>P</w:t>
      </w:r>
      <w:r w:rsidR="00B966C3" w:rsidRPr="00B966C3">
        <w:t xml:space="preserve">harmacy staff should, if appropriate, offer opportunistic advice </w:t>
      </w:r>
      <w:r w:rsidR="00B07E0B">
        <w:t>to patients receiving the service</w:t>
      </w:r>
      <w:r w:rsidR="00B07E0B" w:rsidRPr="00B966C3">
        <w:t xml:space="preserve"> </w:t>
      </w:r>
      <w:r w:rsidR="00B966C3" w:rsidRPr="00B966C3">
        <w:t>on healthy living/public health topics in line with the promotion of healthy lifestyles essential service and signpost them as appropriate to any further support and/or resources available locally or nationally.</w:t>
      </w:r>
    </w:p>
    <w:p w14:paraId="7756C8ED" w14:textId="2DFAC6C1" w:rsidR="00FF6C25" w:rsidRPr="006D721C" w:rsidRDefault="004444E4" w:rsidP="00FF6C25">
      <w:pPr>
        <w:pStyle w:val="Heading3Numbered"/>
        <w:numPr>
          <w:ilvl w:val="0"/>
          <w:numId w:val="0"/>
        </w:numPr>
        <w:ind w:left="567"/>
        <w:rPr>
          <w:sz w:val="22"/>
          <w:szCs w:val="22"/>
        </w:rPr>
      </w:pPr>
      <w:bookmarkStart w:id="14" w:name="_Toc205207914"/>
      <w:r>
        <w:rPr>
          <w:spacing w:val="-3"/>
          <w:u w:color="221F1F"/>
        </w:rPr>
        <w:t>Eligible con</w:t>
      </w:r>
      <w:r w:rsidR="004024EC">
        <w:rPr>
          <w:spacing w:val="-3"/>
          <w:u w:color="221F1F"/>
        </w:rPr>
        <w:t>ditions</w:t>
      </w:r>
      <w:bookmarkEnd w:id="14"/>
    </w:p>
    <w:p w14:paraId="6628D2B3" w14:textId="77777777" w:rsidR="00347E88" w:rsidRPr="00347E88" w:rsidRDefault="00347E88" w:rsidP="00E97F39">
      <w:pPr>
        <w:pStyle w:val="BodyText21"/>
        <w:rPr>
          <w:b/>
        </w:rPr>
      </w:pPr>
      <w:r w:rsidRPr="00347E88">
        <w:t>The conditions eligible for the service are:</w:t>
      </w:r>
    </w:p>
    <w:p w14:paraId="141A0025" w14:textId="77777777" w:rsidR="004C2BFB" w:rsidRDefault="004C2BFB" w:rsidP="00EA098D">
      <w:pPr>
        <w:pStyle w:val="BodyText211"/>
        <w:numPr>
          <w:ilvl w:val="5"/>
          <w:numId w:val="9"/>
        </w:numPr>
        <w:ind w:left="1560" w:hanging="851"/>
      </w:pPr>
      <w:bookmarkStart w:id="15" w:name="_Hlk203453728"/>
      <w:r w:rsidRPr="00347E88">
        <w:t xml:space="preserve">acute coronary syndromes </w:t>
      </w:r>
    </w:p>
    <w:p w14:paraId="6C84DE01" w14:textId="4E89B60D" w:rsidR="004C2BFB" w:rsidRDefault="00347E88" w:rsidP="00EA098D">
      <w:pPr>
        <w:pStyle w:val="BodyText211"/>
        <w:numPr>
          <w:ilvl w:val="5"/>
          <w:numId w:val="9"/>
        </w:numPr>
        <w:ind w:left="1560" w:hanging="851"/>
      </w:pPr>
      <w:r w:rsidRPr="00347E88">
        <w:t>asthma</w:t>
      </w:r>
    </w:p>
    <w:p w14:paraId="076DC6F1" w14:textId="56322FDC" w:rsidR="004C2BFB" w:rsidRDefault="004C2BFB" w:rsidP="004C2BFB">
      <w:pPr>
        <w:pStyle w:val="BodyText211"/>
        <w:numPr>
          <w:ilvl w:val="5"/>
          <w:numId w:val="9"/>
        </w:numPr>
        <w:ind w:left="1560" w:hanging="851"/>
      </w:pPr>
      <w:r w:rsidRPr="00347E88">
        <w:t>atrial fibrillation</w:t>
      </w:r>
    </w:p>
    <w:p w14:paraId="5A86C872" w14:textId="7A2EF2C0" w:rsidR="00C96A66" w:rsidRDefault="00C96A66" w:rsidP="004A5F68">
      <w:pPr>
        <w:pStyle w:val="BodyText211"/>
        <w:numPr>
          <w:ilvl w:val="5"/>
          <w:numId w:val="9"/>
        </w:numPr>
        <w:ind w:left="1560" w:hanging="851"/>
      </w:pPr>
      <w:r w:rsidRPr="00C96A66">
        <w:t>chronic obstructive pulmonary disease (COPD)</w:t>
      </w:r>
    </w:p>
    <w:p w14:paraId="6CA9C92E" w14:textId="5271E810" w:rsidR="00E87685" w:rsidRDefault="00E87685" w:rsidP="004A5F68">
      <w:pPr>
        <w:pStyle w:val="BodyText211"/>
        <w:numPr>
          <w:ilvl w:val="5"/>
          <w:numId w:val="9"/>
        </w:numPr>
        <w:ind w:left="1560" w:hanging="851"/>
      </w:pPr>
      <w:r>
        <w:t>coronary heart disease</w:t>
      </w:r>
    </w:p>
    <w:p w14:paraId="643648CF" w14:textId="1DA80257" w:rsidR="00347E88" w:rsidRPr="00D57574" w:rsidRDefault="00347E88" w:rsidP="004A5F68">
      <w:pPr>
        <w:pStyle w:val="BodyText211"/>
        <w:numPr>
          <w:ilvl w:val="5"/>
          <w:numId w:val="9"/>
        </w:numPr>
        <w:ind w:left="1560" w:hanging="851"/>
        <w:rPr>
          <w:i/>
          <w:iCs/>
        </w:rPr>
      </w:pPr>
      <w:r w:rsidRPr="00347E88">
        <w:t>depression</w:t>
      </w:r>
      <w:r w:rsidR="00DA6733">
        <w:t xml:space="preserve"> </w:t>
      </w:r>
      <w:r w:rsidR="00DA6733" w:rsidRPr="00D57574">
        <w:rPr>
          <w:i/>
          <w:iCs/>
        </w:rPr>
        <w:t xml:space="preserve">(only those </w:t>
      </w:r>
      <w:r w:rsidR="00DA6733" w:rsidRPr="00D57574">
        <w:rPr>
          <w:rFonts w:cs="Arial"/>
          <w:i/>
          <w:iCs/>
        </w:rPr>
        <w:t>≥18 years of age)</w:t>
      </w:r>
    </w:p>
    <w:p w14:paraId="11941773" w14:textId="77777777" w:rsidR="00347E88" w:rsidRPr="00347E88" w:rsidRDefault="00347E88" w:rsidP="004A5F68">
      <w:pPr>
        <w:pStyle w:val="BodyText211"/>
        <w:numPr>
          <w:ilvl w:val="5"/>
          <w:numId w:val="9"/>
        </w:numPr>
        <w:ind w:left="1560" w:hanging="851"/>
      </w:pPr>
      <w:r w:rsidRPr="00347E88">
        <w:t>diabetes (Type 2)</w:t>
      </w:r>
    </w:p>
    <w:p w14:paraId="55305E1C" w14:textId="77777777" w:rsidR="00EF4376" w:rsidRPr="00347E88" w:rsidRDefault="00EF4376" w:rsidP="00EF4376">
      <w:pPr>
        <w:pStyle w:val="BodyText211"/>
        <w:numPr>
          <w:ilvl w:val="5"/>
          <w:numId w:val="9"/>
        </w:numPr>
        <w:ind w:left="1560" w:hanging="851"/>
      </w:pPr>
      <w:r w:rsidRPr="00347E88">
        <w:t>epilepsy</w:t>
      </w:r>
    </w:p>
    <w:p w14:paraId="77CAD59B" w14:textId="77777777" w:rsidR="00EF4376" w:rsidRPr="00347E88" w:rsidRDefault="00EF4376" w:rsidP="00EF4376">
      <w:pPr>
        <w:pStyle w:val="BodyText211"/>
        <w:numPr>
          <w:ilvl w:val="5"/>
          <w:numId w:val="9"/>
        </w:numPr>
        <w:ind w:left="1560" w:hanging="851"/>
      </w:pPr>
      <w:r w:rsidRPr="00347E88">
        <w:t>glaucoma</w:t>
      </w:r>
    </w:p>
    <w:p w14:paraId="79FB2CF2" w14:textId="77777777" w:rsidR="00EF4376" w:rsidRPr="00347E88" w:rsidRDefault="00EF4376" w:rsidP="00EF4376">
      <w:pPr>
        <w:pStyle w:val="BodyText211"/>
        <w:numPr>
          <w:ilvl w:val="5"/>
          <w:numId w:val="9"/>
        </w:numPr>
        <w:ind w:left="1560" w:hanging="851"/>
      </w:pPr>
      <w:r w:rsidRPr="00347E88">
        <w:t>gout</w:t>
      </w:r>
    </w:p>
    <w:p w14:paraId="12D0EE18" w14:textId="77777777" w:rsidR="00EF4376" w:rsidRPr="00347E88" w:rsidRDefault="00EF4376" w:rsidP="00EF4376">
      <w:pPr>
        <w:pStyle w:val="BodyText211"/>
        <w:numPr>
          <w:ilvl w:val="5"/>
          <w:numId w:val="9"/>
        </w:numPr>
        <w:ind w:left="1560" w:hanging="851"/>
      </w:pPr>
      <w:r w:rsidRPr="00347E88">
        <w:t>heart failure</w:t>
      </w:r>
    </w:p>
    <w:p w14:paraId="1FF97329" w14:textId="77777777" w:rsidR="00EF4376" w:rsidRPr="00347E88" w:rsidRDefault="00EF4376" w:rsidP="00EF4376">
      <w:pPr>
        <w:pStyle w:val="BodyText211"/>
        <w:numPr>
          <w:ilvl w:val="5"/>
          <w:numId w:val="9"/>
        </w:numPr>
        <w:ind w:left="1560" w:hanging="851"/>
      </w:pPr>
      <w:r w:rsidRPr="00347E88">
        <w:t>hypercholesterolaemia</w:t>
      </w:r>
    </w:p>
    <w:p w14:paraId="79545FFB" w14:textId="77777777" w:rsidR="00347E88" w:rsidRPr="00347E88" w:rsidRDefault="00347E88" w:rsidP="004A5F68">
      <w:pPr>
        <w:pStyle w:val="BodyText211"/>
        <w:numPr>
          <w:ilvl w:val="5"/>
          <w:numId w:val="9"/>
        </w:numPr>
        <w:ind w:left="1560" w:hanging="851"/>
      </w:pPr>
      <w:r w:rsidRPr="00347E88">
        <w:t xml:space="preserve">hypertension  </w:t>
      </w:r>
    </w:p>
    <w:p w14:paraId="4D2560F4" w14:textId="6F2CFE5D" w:rsidR="00EF4376" w:rsidRPr="00347E88" w:rsidRDefault="00EF4376" w:rsidP="00EF4376">
      <w:pPr>
        <w:pStyle w:val="BodyText211"/>
        <w:numPr>
          <w:ilvl w:val="5"/>
          <w:numId w:val="9"/>
        </w:numPr>
        <w:ind w:left="1560" w:hanging="851"/>
      </w:pPr>
      <w:r w:rsidRPr="00347E88">
        <w:t>long term risks of venous thromboembolism/embolism</w:t>
      </w:r>
    </w:p>
    <w:p w14:paraId="6B17CB33" w14:textId="77777777" w:rsidR="00347E88" w:rsidRPr="00347E88" w:rsidRDefault="00347E88" w:rsidP="004A5F68">
      <w:pPr>
        <w:pStyle w:val="BodyText211"/>
        <w:numPr>
          <w:ilvl w:val="5"/>
          <w:numId w:val="9"/>
        </w:numPr>
        <w:ind w:left="1560" w:hanging="851"/>
      </w:pPr>
      <w:r w:rsidRPr="00347E88">
        <w:t>osteoporosis</w:t>
      </w:r>
    </w:p>
    <w:p w14:paraId="2B36992B" w14:textId="77777777" w:rsidR="00347E88" w:rsidRPr="00347E88" w:rsidRDefault="00347E88" w:rsidP="004A5F68">
      <w:pPr>
        <w:pStyle w:val="BodyText211"/>
        <w:numPr>
          <w:ilvl w:val="5"/>
          <w:numId w:val="9"/>
        </w:numPr>
        <w:ind w:left="1560" w:hanging="851"/>
      </w:pPr>
      <w:r w:rsidRPr="00347E88">
        <w:t>Parkinson’s disease</w:t>
      </w:r>
    </w:p>
    <w:p w14:paraId="734A106C" w14:textId="5428558B" w:rsidR="00EF4376" w:rsidRPr="00347E88" w:rsidRDefault="00EF4376" w:rsidP="00EF4376">
      <w:pPr>
        <w:pStyle w:val="BodyText211"/>
        <w:numPr>
          <w:ilvl w:val="5"/>
          <w:numId w:val="9"/>
        </w:numPr>
        <w:ind w:left="1560" w:hanging="851"/>
      </w:pPr>
      <w:r w:rsidRPr="00347E88">
        <w:lastRenderedPageBreak/>
        <w:t>stroke/transient ischemic attack</w:t>
      </w:r>
    </w:p>
    <w:p w14:paraId="689ED7D7" w14:textId="77777777" w:rsidR="00347E88" w:rsidRPr="00347E88" w:rsidRDefault="00347E88" w:rsidP="004A5F68">
      <w:pPr>
        <w:pStyle w:val="BodyText211"/>
        <w:numPr>
          <w:ilvl w:val="5"/>
          <w:numId w:val="9"/>
        </w:numPr>
        <w:ind w:left="1560" w:hanging="851"/>
      </w:pPr>
      <w:r w:rsidRPr="00347E88">
        <w:t>urinary incontinence/retention</w:t>
      </w:r>
    </w:p>
    <w:bookmarkEnd w:id="15"/>
    <w:p w14:paraId="3AF62B5E" w14:textId="60669330" w:rsidR="00476D3A" w:rsidRDefault="00347E88" w:rsidP="00A55554">
      <w:pPr>
        <w:pStyle w:val="BodyText21"/>
      </w:pPr>
      <w:r w:rsidRPr="00347E88">
        <w:t xml:space="preserve">For each condition, a list of eligible medicines </w:t>
      </w:r>
      <w:r w:rsidR="00E56647">
        <w:t>is</w:t>
      </w:r>
      <w:r w:rsidRPr="00347E88">
        <w:t xml:space="preserve"> published on the </w:t>
      </w:r>
      <w:hyperlink r:id="rId22" w:history="1">
        <w:r w:rsidRPr="00347E88">
          <w:rPr>
            <w:rStyle w:val="Hyperlink"/>
            <w:rFonts w:ascii="Arial" w:hAnsi="Arial"/>
          </w:rPr>
          <w:t>NHSBSA website</w:t>
        </w:r>
      </w:hyperlink>
      <w:r w:rsidR="00607216">
        <w:t>.</w:t>
      </w:r>
    </w:p>
    <w:p w14:paraId="75C84549" w14:textId="4036BAC2" w:rsidR="00E56E49" w:rsidRPr="00E56E49" w:rsidRDefault="00E56E49" w:rsidP="00E97F39">
      <w:pPr>
        <w:pStyle w:val="BodyText21"/>
      </w:pPr>
      <w:r w:rsidRPr="00E56E49">
        <w:t xml:space="preserve">The service is split into </w:t>
      </w:r>
      <w:r>
        <w:t>three</w:t>
      </w:r>
      <w:r w:rsidRPr="00E56E49">
        <w:t xml:space="preserve"> stages, which are outlined below:</w:t>
      </w:r>
    </w:p>
    <w:p w14:paraId="1F16FB94" w14:textId="77777777" w:rsidR="00E56E49" w:rsidRPr="00E56E49" w:rsidRDefault="00E56E49" w:rsidP="00E46BC9">
      <w:pPr>
        <w:pStyle w:val="BodyText211"/>
        <w:numPr>
          <w:ilvl w:val="5"/>
          <w:numId w:val="8"/>
        </w:numPr>
        <w:ind w:left="2127" w:hanging="567"/>
      </w:pPr>
      <w:r w:rsidRPr="00E56E49">
        <w:t xml:space="preserve">Patient engagement </w:t>
      </w:r>
    </w:p>
    <w:p w14:paraId="4FBE328F" w14:textId="7CA34E5C" w:rsidR="00E56E49" w:rsidRPr="00E56E49" w:rsidRDefault="00E56E49" w:rsidP="004A5F68">
      <w:pPr>
        <w:pStyle w:val="BodyText211"/>
        <w:numPr>
          <w:ilvl w:val="5"/>
          <w:numId w:val="8"/>
        </w:numPr>
        <w:ind w:left="2127" w:hanging="567"/>
      </w:pPr>
      <w:r w:rsidRPr="00E56E49">
        <w:t xml:space="preserve">Intervention </w:t>
      </w:r>
      <w:r w:rsidR="00E438E6">
        <w:t>consultation</w:t>
      </w:r>
    </w:p>
    <w:p w14:paraId="133579AE" w14:textId="4A1A0DC8" w:rsidR="00E56E49" w:rsidRDefault="00E56E49" w:rsidP="004A5F68">
      <w:pPr>
        <w:pStyle w:val="BodyText211"/>
        <w:numPr>
          <w:ilvl w:val="5"/>
          <w:numId w:val="8"/>
        </w:numPr>
        <w:ind w:left="2127" w:hanging="567"/>
      </w:pPr>
      <w:r w:rsidRPr="00E56E49">
        <w:t>Follow</w:t>
      </w:r>
      <w:r w:rsidR="00E438E6">
        <w:t>-</w:t>
      </w:r>
      <w:r w:rsidRPr="00E56E49">
        <w:t>up</w:t>
      </w:r>
      <w:r w:rsidR="00E438E6">
        <w:t xml:space="preserve"> consultation</w:t>
      </w:r>
    </w:p>
    <w:p w14:paraId="4E207057" w14:textId="3BD543DC" w:rsidR="00EE009F" w:rsidRDefault="00235492" w:rsidP="000042CC">
      <w:pPr>
        <w:pStyle w:val="BodyText21"/>
      </w:pPr>
      <w:bookmarkStart w:id="16" w:name="_Hlk98165446"/>
      <w:r>
        <w:t xml:space="preserve">When agreeing a method and time for </w:t>
      </w:r>
      <w:r w:rsidR="00610145">
        <w:t>each consultation</w:t>
      </w:r>
      <w:r w:rsidR="00105914">
        <w:t>, pharmacy staff should</w:t>
      </w:r>
      <w:r w:rsidR="000042CC" w:rsidRPr="00E56E49">
        <w:t xml:space="preserve"> </w:t>
      </w:r>
      <w:r w:rsidR="0043428D">
        <w:t xml:space="preserve">take </w:t>
      </w:r>
      <w:r w:rsidR="00DC03F6">
        <w:t xml:space="preserve">a </w:t>
      </w:r>
      <w:r w:rsidR="00DC03F6" w:rsidRPr="00E56E49">
        <w:t>flexible</w:t>
      </w:r>
      <w:r w:rsidR="00A7182A">
        <w:t xml:space="preserve"> approach and </w:t>
      </w:r>
      <w:r w:rsidR="000A4383">
        <w:t xml:space="preserve">seek to </w:t>
      </w:r>
      <w:r w:rsidR="00A7182A">
        <w:t xml:space="preserve">find a mutually acceptable </w:t>
      </w:r>
      <w:r w:rsidR="00A83A6E">
        <w:t>method and time</w:t>
      </w:r>
      <w:r w:rsidR="000042CC" w:rsidRPr="00E56E49">
        <w:t>.</w:t>
      </w:r>
      <w:bookmarkEnd w:id="16"/>
    </w:p>
    <w:p w14:paraId="08C868FE" w14:textId="2D3310D3" w:rsidR="007D663F" w:rsidRPr="00E56E49" w:rsidRDefault="007D663F" w:rsidP="000042CC">
      <w:pPr>
        <w:pStyle w:val="BodyText21"/>
      </w:pPr>
      <w:r>
        <w:t>The Intervention and</w:t>
      </w:r>
      <w:r w:rsidR="00D66F77">
        <w:t xml:space="preserve"> </w:t>
      </w:r>
      <w:r>
        <w:t>Follow-up consultation</w:t>
      </w:r>
      <w:r w:rsidR="007645CE">
        <w:t>s</w:t>
      </w:r>
      <w:r>
        <w:t xml:space="preserve"> can </w:t>
      </w:r>
      <w:r w:rsidR="00FA12F2">
        <w:t xml:space="preserve">only </w:t>
      </w:r>
      <w:r>
        <w:t xml:space="preserve">be delivered outside of </w:t>
      </w:r>
      <w:r w:rsidR="002805DA">
        <w:t xml:space="preserve">the </w:t>
      </w:r>
      <w:r>
        <w:t xml:space="preserve">timeframes </w:t>
      </w:r>
      <w:r w:rsidR="002805DA">
        <w:t xml:space="preserve">stated below </w:t>
      </w:r>
      <w:r>
        <w:t xml:space="preserve">in exceptional circumstances, e.g. the patient has informed the pharmacy staff that they will be away on holiday, and if in the professional opinion of the pharmacist they believe the patient would benefit from the </w:t>
      </w:r>
      <w:r w:rsidRPr="00A7510D">
        <w:t>continued provision of the service.</w:t>
      </w:r>
      <w:r w:rsidR="006E176F" w:rsidRPr="00A7510D">
        <w:t xml:space="preserve"> </w:t>
      </w:r>
      <w:r w:rsidR="00AE47A9" w:rsidRPr="00A7510D">
        <w:t xml:space="preserve">The </w:t>
      </w:r>
      <w:r w:rsidR="00AE47A9" w:rsidRPr="0050697C">
        <w:t>e</w:t>
      </w:r>
      <w:r w:rsidR="006E176F" w:rsidRPr="0050697C">
        <w:t xml:space="preserve">xceptional circumstances </w:t>
      </w:r>
      <w:r w:rsidR="001178D1" w:rsidRPr="0050697C">
        <w:t xml:space="preserve">for delivery outside of the </w:t>
      </w:r>
      <w:r w:rsidR="00B16255" w:rsidRPr="0050697C">
        <w:t xml:space="preserve">stated timeframes </w:t>
      </w:r>
      <w:r w:rsidR="006E176F" w:rsidRPr="0050697C">
        <w:t>must be recorded in the pharmacy’s clinical record for the service.</w:t>
      </w:r>
    </w:p>
    <w:p w14:paraId="1356398E" w14:textId="77777777" w:rsidR="00E56E49" w:rsidRPr="00E97F39" w:rsidRDefault="00E56E49" w:rsidP="00E97F39">
      <w:pPr>
        <w:pStyle w:val="Heading3Numbered"/>
        <w:numPr>
          <w:ilvl w:val="0"/>
          <w:numId w:val="0"/>
        </w:numPr>
        <w:ind w:firstLine="567"/>
      </w:pPr>
      <w:bookmarkStart w:id="17" w:name="_Toc205207915"/>
      <w:r w:rsidRPr="00E97F39">
        <w:t>Patient engagement stage</w:t>
      </w:r>
      <w:bookmarkEnd w:id="17"/>
    </w:p>
    <w:p w14:paraId="6DEAC50A" w14:textId="6C049C74" w:rsidR="00E56E49" w:rsidRPr="00E56E49" w:rsidRDefault="00E56E49" w:rsidP="00E97F39">
      <w:pPr>
        <w:pStyle w:val="BodyText21"/>
      </w:pPr>
      <w:r w:rsidRPr="00E56E49">
        <w:t xml:space="preserve">Following the prescribing </w:t>
      </w:r>
      <w:r w:rsidR="00FB6A67">
        <w:t xml:space="preserve">and dispensing </w:t>
      </w:r>
      <w:r w:rsidRPr="00E56E49">
        <w:t>of a new medicine</w:t>
      </w:r>
      <w:r w:rsidRPr="00E56E49">
        <w:rPr>
          <w:vertAlign w:val="superscript"/>
        </w:rPr>
        <w:footnoteReference w:id="7"/>
      </w:r>
      <w:r w:rsidRPr="00E56E49">
        <w:t xml:space="preserve"> for the management of </w:t>
      </w:r>
      <w:r w:rsidR="004A2E7E">
        <w:t>an eligible condition</w:t>
      </w:r>
      <w:r w:rsidRPr="00E56E49">
        <w:t xml:space="preserve">, patients can be recruited to the service </w:t>
      </w:r>
      <w:r w:rsidR="00F3093D">
        <w:t>in several ways</w:t>
      </w:r>
      <w:r w:rsidR="00C47DE4">
        <w:t>,</w:t>
      </w:r>
      <w:r w:rsidR="00E83A8A">
        <w:t xml:space="preserve"> including</w:t>
      </w:r>
      <w:r w:rsidRPr="00E56E49">
        <w:t>:</w:t>
      </w:r>
    </w:p>
    <w:p w14:paraId="2683A27B" w14:textId="5D325071" w:rsidR="007E2B40" w:rsidRPr="00E56E49" w:rsidRDefault="00E56E49" w:rsidP="00E46BC9">
      <w:pPr>
        <w:pStyle w:val="BodyText211"/>
        <w:numPr>
          <w:ilvl w:val="5"/>
          <w:numId w:val="8"/>
        </w:numPr>
        <w:ind w:left="1985" w:hanging="567"/>
      </w:pPr>
      <w:r w:rsidRPr="00E56E49">
        <w:t>recruited by pharmacy staff</w:t>
      </w:r>
    </w:p>
    <w:p w14:paraId="4DFCA46E" w14:textId="02B41246" w:rsidR="00E56E49" w:rsidRPr="00E56E49" w:rsidRDefault="00C47DE4" w:rsidP="007E2B40">
      <w:pPr>
        <w:pStyle w:val="BodyText211"/>
        <w:numPr>
          <w:ilvl w:val="5"/>
          <w:numId w:val="8"/>
        </w:numPr>
        <w:ind w:left="1985" w:hanging="567"/>
      </w:pPr>
      <w:r>
        <w:t xml:space="preserve">signposted </w:t>
      </w:r>
      <w:r w:rsidR="00075262">
        <w:t xml:space="preserve">by </w:t>
      </w:r>
      <w:r w:rsidR="00E56E49">
        <w:t xml:space="preserve">general practice and </w:t>
      </w:r>
      <w:r>
        <w:t>other</w:t>
      </w:r>
      <w:r w:rsidR="00E56E49">
        <w:t xml:space="preserve"> primary care practitioners</w:t>
      </w:r>
    </w:p>
    <w:p w14:paraId="703CDEDC" w14:textId="30739BE4" w:rsidR="00E56E49" w:rsidRPr="00E56E49" w:rsidRDefault="00C47DE4" w:rsidP="00A24245">
      <w:pPr>
        <w:pStyle w:val="BodyText211"/>
        <w:numPr>
          <w:ilvl w:val="5"/>
          <w:numId w:val="8"/>
        </w:numPr>
        <w:ind w:left="1985" w:hanging="567"/>
      </w:pPr>
      <w:r>
        <w:t xml:space="preserve">referred by </w:t>
      </w:r>
      <w:r w:rsidR="00E56E49" w:rsidRPr="00E56E49">
        <w:t xml:space="preserve">secondary care practitioners, e.g. as part of </w:t>
      </w:r>
      <w:r w:rsidR="00861CD1">
        <w:t xml:space="preserve">the </w:t>
      </w:r>
      <w:hyperlink r:id="rId23" w:history="1">
        <w:r w:rsidR="00E56E49" w:rsidRPr="00B34EE5">
          <w:rPr>
            <w:rStyle w:val="Hyperlink"/>
            <w:rFonts w:ascii="Arial" w:hAnsi="Arial"/>
          </w:rPr>
          <w:t>NHS Discharge Medicines Service</w:t>
        </w:r>
      </w:hyperlink>
      <w:r w:rsidR="00E56E49" w:rsidRPr="00E56E49">
        <w:t xml:space="preserve"> </w:t>
      </w:r>
    </w:p>
    <w:p w14:paraId="2D7C8B31" w14:textId="3E8E0195" w:rsidR="00E56E49" w:rsidRPr="00A7510D" w:rsidRDefault="00E56E49" w:rsidP="00E97F39">
      <w:pPr>
        <w:pStyle w:val="BodyText21"/>
      </w:pPr>
      <w:r w:rsidRPr="00E56E49">
        <w:t xml:space="preserve">It is not generally appropriate for the service to be provided where there has been a formulation change. The rationale for this is that a change from one solid dosage form to another is unlikely to lead to clinical issues for a patient and hence provision of the </w:t>
      </w:r>
      <w:r w:rsidR="00785998">
        <w:t>service</w:t>
      </w:r>
      <w:r w:rsidR="00785998" w:rsidRPr="00E56E49">
        <w:t xml:space="preserve"> </w:t>
      </w:r>
      <w:r w:rsidRPr="00E56E49">
        <w:t xml:space="preserve">in such circumstances would not provide value to the NHS. However, there may be circumstances, where in the professional opinion of the pharmacist, they believe the patient would benefit from the provision of the </w:t>
      </w:r>
      <w:r w:rsidR="00785998">
        <w:t>service</w:t>
      </w:r>
      <w:r w:rsidR="00785998" w:rsidRPr="00E56E49">
        <w:t xml:space="preserve"> </w:t>
      </w:r>
      <w:r w:rsidRPr="00E56E49">
        <w:t xml:space="preserve">where they are moving from one formulation of a medicine to another. In this case the </w:t>
      </w:r>
      <w:r w:rsidR="00785998">
        <w:t>service</w:t>
      </w:r>
      <w:r w:rsidR="00785998" w:rsidRPr="00E56E49">
        <w:t xml:space="preserve"> </w:t>
      </w:r>
      <w:r w:rsidRPr="00E56E49">
        <w:t xml:space="preserve">can be provided, and the pharmacist should </w:t>
      </w:r>
      <w:r w:rsidRPr="00E56E49">
        <w:lastRenderedPageBreak/>
        <w:t xml:space="preserve">document the rationale for their </w:t>
      </w:r>
      <w:r w:rsidRPr="00A7510D">
        <w:t>professional decision</w:t>
      </w:r>
      <w:r w:rsidR="00776DB3" w:rsidRPr="00A7510D">
        <w:t xml:space="preserve"> </w:t>
      </w:r>
      <w:r w:rsidR="00776DB3" w:rsidRPr="0050697C">
        <w:t>in the pharmacy’s clinical record for the service</w:t>
      </w:r>
      <w:r w:rsidRPr="00A7510D">
        <w:t xml:space="preserve">. </w:t>
      </w:r>
    </w:p>
    <w:p w14:paraId="1DF4AA80" w14:textId="3A791F2C" w:rsidR="00E56E49" w:rsidRPr="00E56E49" w:rsidRDefault="00E56E49" w:rsidP="00C63EBA">
      <w:pPr>
        <w:pStyle w:val="BodyText21"/>
      </w:pPr>
      <w:r>
        <w:t xml:space="preserve">If the patient has been identified by </w:t>
      </w:r>
      <w:r w:rsidR="00785998">
        <w:t>pharmacy staff</w:t>
      </w:r>
      <w:r>
        <w:t xml:space="preserve"> or </w:t>
      </w:r>
      <w:r w:rsidR="00760569">
        <w:t xml:space="preserve">referred or </w:t>
      </w:r>
      <w:r w:rsidR="00785998">
        <w:t xml:space="preserve">signposted </w:t>
      </w:r>
      <w:r>
        <w:t xml:space="preserve">following prescribing of an eligible new medicine, the </w:t>
      </w:r>
      <w:r w:rsidR="00C44314">
        <w:t xml:space="preserve">first prescription for the </w:t>
      </w:r>
      <w:r>
        <w:t xml:space="preserve">new medicine will be dispensed </w:t>
      </w:r>
      <w:r w:rsidR="002F364B">
        <w:t xml:space="preserve">by the pharmacy contractor </w:t>
      </w:r>
      <w:r>
        <w:t xml:space="preserve">in accordance with the Terms of Service. In circumstances where the patient has been referred by a healthcare professional </w:t>
      </w:r>
      <w:r w:rsidR="00CA5D96">
        <w:t xml:space="preserve">at a hospital </w:t>
      </w:r>
      <w:r>
        <w:t xml:space="preserve">that has already dispensed the new medicine, it is not a requirement that the </w:t>
      </w:r>
      <w:r w:rsidR="00C63EBA">
        <w:t xml:space="preserve">pharmacy </w:t>
      </w:r>
      <w:r>
        <w:t>contractor has dispensed the first prescription.</w:t>
      </w:r>
    </w:p>
    <w:p w14:paraId="4E3D9FDB" w14:textId="329DDF9A" w:rsidR="00E56E49" w:rsidRPr="00E56E49" w:rsidRDefault="00E56E49" w:rsidP="00E97F39">
      <w:pPr>
        <w:pStyle w:val="BodyText21"/>
      </w:pPr>
      <w:r w:rsidRPr="00E56E49">
        <w:t xml:space="preserve">Initial advice will be given to the patient about the </w:t>
      </w:r>
      <w:r w:rsidR="003134EE">
        <w:t xml:space="preserve">dispensed </w:t>
      </w:r>
      <w:r w:rsidRPr="00E56E49">
        <w:t xml:space="preserve">medicine and its use </w:t>
      </w:r>
      <w:r w:rsidR="00D247F8">
        <w:rPr>
          <w:rFonts w:cs="Arial"/>
        </w:rPr>
        <w:t>as part of the Dispensing essential service</w:t>
      </w:r>
      <w:r w:rsidRPr="00E56E49">
        <w:t>.</w:t>
      </w:r>
    </w:p>
    <w:p w14:paraId="2D2A669B" w14:textId="77777777" w:rsidR="00E56E49" w:rsidRPr="00E56E49" w:rsidRDefault="00E56E49" w:rsidP="00E97F39">
      <w:pPr>
        <w:pStyle w:val="BodyText21"/>
      </w:pPr>
      <w:r w:rsidRPr="00E56E49">
        <w:t>The patient will be given information on the service. For example, this could be verbally, via a leaflet or directing the patient to a web link where the patient can access information online.</w:t>
      </w:r>
    </w:p>
    <w:p w14:paraId="2F258455" w14:textId="237D37C3" w:rsidR="00E56E49" w:rsidRPr="00A7510D" w:rsidRDefault="00E56E49" w:rsidP="00113BF4">
      <w:pPr>
        <w:pStyle w:val="BodyText21"/>
      </w:pPr>
      <w:r w:rsidRPr="00E56E49">
        <w:t xml:space="preserve">The pharmacy </w:t>
      </w:r>
      <w:r w:rsidRPr="00A7510D">
        <w:t xml:space="preserve">staff and patient will agree a method and time for the </w:t>
      </w:r>
      <w:r w:rsidR="00894F57" w:rsidRPr="00A7510D">
        <w:t>I</w:t>
      </w:r>
      <w:r w:rsidRPr="00A7510D">
        <w:t>ntervention</w:t>
      </w:r>
      <w:r w:rsidR="00894F57" w:rsidRPr="00A7510D">
        <w:t xml:space="preserve"> consultation</w:t>
      </w:r>
      <w:r w:rsidR="006F3C18" w:rsidRPr="00A7510D">
        <w:t xml:space="preserve"> to be </w:t>
      </w:r>
      <w:r w:rsidR="002E58A7" w:rsidRPr="00A7510D">
        <w:t>undertaken</w:t>
      </w:r>
      <w:r w:rsidR="00894F57" w:rsidRPr="00A7510D">
        <w:t xml:space="preserve"> </w:t>
      </w:r>
      <w:r w:rsidR="007C27D0" w:rsidRPr="0050697C">
        <w:t xml:space="preserve">between a minimum of </w:t>
      </w:r>
      <w:r w:rsidR="00451CBC" w:rsidRPr="0050697C">
        <w:t>7 days and</w:t>
      </w:r>
      <w:r w:rsidRPr="0050697C">
        <w:t xml:space="preserve"> </w:t>
      </w:r>
      <w:r w:rsidR="00C23BB3" w:rsidRPr="0050697C">
        <w:t>up to a maximum of 14 days after patient engagement</w:t>
      </w:r>
      <w:r w:rsidR="00BB5D36" w:rsidRPr="0050697C">
        <w:t>.</w:t>
      </w:r>
    </w:p>
    <w:p w14:paraId="5C7FE32A" w14:textId="4A5F6A74" w:rsidR="00E56E49" w:rsidRPr="00E56E49" w:rsidRDefault="00E56E49" w:rsidP="00E97F39">
      <w:pPr>
        <w:pStyle w:val="Heading3Numbered"/>
        <w:numPr>
          <w:ilvl w:val="0"/>
          <w:numId w:val="0"/>
        </w:numPr>
        <w:ind w:firstLine="567"/>
      </w:pPr>
      <w:bookmarkStart w:id="18" w:name="_Toc205207916"/>
      <w:r w:rsidRPr="00E56E49">
        <w:t xml:space="preserve">Intervention </w:t>
      </w:r>
      <w:r w:rsidR="005E6F74">
        <w:t>consultation</w:t>
      </w:r>
      <w:bookmarkEnd w:id="18"/>
    </w:p>
    <w:p w14:paraId="4ACA2713" w14:textId="6F7DFE00" w:rsidR="00FA6BB1" w:rsidRDefault="00E56E49" w:rsidP="00037F50">
      <w:pPr>
        <w:pStyle w:val="BodyText21"/>
      </w:pPr>
      <w:r w:rsidRPr="00E56E49">
        <w:t xml:space="preserve">The pharmacist and patient will have a </w:t>
      </w:r>
      <w:r w:rsidR="00A548F5">
        <w:t>consultation,</w:t>
      </w:r>
      <w:r w:rsidR="00A548F5" w:rsidRPr="00E56E49">
        <w:t xml:space="preserve"> </w:t>
      </w:r>
      <w:r w:rsidR="009D7A3B">
        <w:t xml:space="preserve">either </w:t>
      </w:r>
      <w:r w:rsidRPr="00E56E49">
        <w:t xml:space="preserve">in the pharmacy’s consultation room, remotely (via telephone, another live audio link or live video link) or in the patient’s home. </w:t>
      </w:r>
    </w:p>
    <w:p w14:paraId="313AA04B" w14:textId="54B56C90" w:rsidR="00E56E49" w:rsidRPr="0076185A" w:rsidRDefault="00E56E49" w:rsidP="00037F50">
      <w:pPr>
        <w:pStyle w:val="BodyText21"/>
      </w:pPr>
      <w:r w:rsidRPr="0076185A">
        <w:t xml:space="preserve">If the </w:t>
      </w:r>
      <w:r w:rsidR="00F17744" w:rsidRPr="0076185A">
        <w:t>I</w:t>
      </w:r>
      <w:r w:rsidR="00FA6BB1" w:rsidRPr="0076185A">
        <w:t xml:space="preserve">ntervention </w:t>
      </w:r>
      <w:r w:rsidR="00A548F5" w:rsidRPr="0076185A">
        <w:t xml:space="preserve">consultation </w:t>
      </w:r>
      <w:r w:rsidRPr="0076185A">
        <w:t xml:space="preserve">does not happen at the agreed time, the pharmacy staff will make at least one attempt to follow up with the patient. If contact with the patient cannot be </w:t>
      </w:r>
      <w:r w:rsidRPr="00A7510D">
        <w:t>made</w:t>
      </w:r>
      <w:r w:rsidR="00C34A38" w:rsidRPr="00A7510D">
        <w:t xml:space="preserve"> </w:t>
      </w:r>
      <w:r w:rsidR="00C34A38" w:rsidRPr="0050697C">
        <w:t>this must be recorded in the pharmacy’s clinical record for the service</w:t>
      </w:r>
      <w:r w:rsidR="00F55C0E" w:rsidRPr="00A7510D">
        <w:t>.</w:t>
      </w:r>
      <w:r w:rsidRPr="00A7510D">
        <w:t xml:space="preserve"> </w:t>
      </w:r>
      <w:r w:rsidR="00F55C0E" w:rsidRPr="00A7510D">
        <w:t>T</w:t>
      </w:r>
      <w:r w:rsidRPr="00A7510D">
        <w:t>he service is ended as incomplete</w:t>
      </w:r>
      <w:r w:rsidR="00BD62AC" w:rsidRPr="00A7510D">
        <w:t xml:space="preserve">, the patient exits the </w:t>
      </w:r>
      <w:r w:rsidR="007D6DEE" w:rsidRPr="00A7510D">
        <w:t>service,</w:t>
      </w:r>
      <w:r w:rsidRPr="00A7510D">
        <w:t xml:space="preserve"> and payment cannot be claimed</w:t>
      </w:r>
      <w:bookmarkStart w:id="19" w:name="_Hlk98170491"/>
      <w:r w:rsidR="00037F50" w:rsidRPr="00A7510D">
        <w:t xml:space="preserve"> for</w:t>
      </w:r>
      <w:r w:rsidR="00037F50" w:rsidRPr="0076185A">
        <w:t xml:space="preserve"> the </w:t>
      </w:r>
      <w:r w:rsidR="0096189D" w:rsidRPr="0076185A">
        <w:t>Intervention consultation.</w:t>
      </w:r>
      <w:r w:rsidRPr="0076185A">
        <w:t xml:space="preserve"> </w:t>
      </w:r>
      <w:bookmarkEnd w:id="19"/>
    </w:p>
    <w:p w14:paraId="31243583" w14:textId="42ABB798" w:rsidR="00E56E49" w:rsidRPr="00E56E49" w:rsidRDefault="00E56E49" w:rsidP="00E97F39">
      <w:pPr>
        <w:pStyle w:val="BodyText21"/>
      </w:pPr>
      <w:r w:rsidRPr="00E56E49">
        <w:t xml:space="preserve">At the start of the </w:t>
      </w:r>
      <w:r w:rsidR="00A548F5">
        <w:t>consultation</w:t>
      </w:r>
      <w:r w:rsidRPr="00E56E49">
        <w:t xml:space="preserve">, the pharmacist will reconfirm that the patient understands the information </w:t>
      </w:r>
      <w:r w:rsidR="00A548F5">
        <w:t xml:space="preserve">about the service </w:t>
      </w:r>
      <w:r w:rsidRPr="00E56E49">
        <w:t>they were given during patient engagement</w:t>
      </w:r>
      <w:r w:rsidR="007C266D">
        <w:t xml:space="preserve"> </w:t>
      </w:r>
      <w:r w:rsidRPr="00E56E49">
        <w:t xml:space="preserve">and that they </w:t>
      </w:r>
      <w:r w:rsidR="001B72FC">
        <w:t>wish</w:t>
      </w:r>
      <w:r w:rsidRPr="00E56E49">
        <w:t xml:space="preserve"> to continue with the service.</w:t>
      </w:r>
    </w:p>
    <w:p w14:paraId="5525BB61" w14:textId="14D3A477" w:rsidR="00E56E49" w:rsidRPr="00E56E49" w:rsidRDefault="00E56E49" w:rsidP="008367D6">
      <w:pPr>
        <w:pStyle w:val="BodyText21"/>
      </w:pPr>
      <w:r w:rsidRPr="00E56E49">
        <w:t xml:space="preserve">The pharmacist will assess the patient’s adherence to the medicine(s), identify problems and determine the patient’s need for further information and support. </w:t>
      </w:r>
      <w:r w:rsidR="00953460">
        <w:t xml:space="preserve">The </w:t>
      </w:r>
      <w:r w:rsidR="00CE2545" w:rsidRPr="00CE2545">
        <w:t>NMS interview schedule</w:t>
      </w:r>
      <w:r w:rsidR="00CE2545">
        <w:rPr>
          <w:rStyle w:val="FootnoteReference"/>
        </w:rPr>
        <w:footnoteReference w:id="8"/>
      </w:r>
      <w:r w:rsidR="00083041">
        <w:t xml:space="preserve"> </w:t>
      </w:r>
      <w:r w:rsidR="002F3793">
        <w:t>should</w:t>
      </w:r>
      <w:r w:rsidRPr="00E56E49">
        <w:t xml:space="preserve"> be used to guide this consultation.</w:t>
      </w:r>
    </w:p>
    <w:p w14:paraId="23925B72" w14:textId="77777777" w:rsidR="00E56E49" w:rsidRPr="00E56E49" w:rsidRDefault="00E56E49" w:rsidP="00E97F39">
      <w:pPr>
        <w:pStyle w:val="BodyText21"/>
      </w:pPr>
      <w:r w:rsidRPr="00E56E49">
        <w:lastRenderedPageBreak/>
        <w:t>The pharmacist will provide advice and further support and will agree one of the following next steps with the patient:</w:t>
      </w:r>
    </w:p>
    <w:p w14:paraId="40CAEAC6" w14:textId="3362B72C" w:rsidR="00E56E49" w:rsidRPr="00E56E49" w:rsidRDefault="00E56E49" w:rsidP="000042CC">
      <w:pPr>
        <w:pStyle w:val="BodyText211"/>
        <w:numPr>
          <w:ilvl w:val="5"/>
          <w:numId w:val="8"/>
        </w:numPr>
      </w:pPr>
      <w:r w:rsidRPr="00E56E49">
        <w:t xml:space="preserve">the patient is adhering to the medicine(s) and no problems have been identified </w:t>
      </w:r>
      <w:r w:rsidRPr="00A7510D">
        <w:t xml:space="preserve">- agree method and time for the </w:t>
      </w:r>
      <w:r w:rsidR="001B72FC" w:rsidRPr="00A7510D">
        <w:t>F</w:t>
      </w:r>
      <w:r w:rsidRPr="00A7510D">
        <w:t>ollow</w:t>
      </w:r>
      <w:r w:rsidR="00742303" w:rsidRPr="00A7510D">
        <w:t>-</w:t>
      </w:r>
      <w:r w:rsidRPr="00A7510D">
        <w:t xml:space="preserve">up </w:t>
      </w:r>
      <w:r w:rsidR="007D0453" w:rsidRPr="00A7510D">
        <w:t>consultation</w:t>
      </w:r>
      <w:r w:rsidR="00DF7BB3" w:rsidRPr="00A7510D">
        <w:t xml:space="preserve"> to be undertaken</w:t>
      </w:r>
      <w:r w:rsidR="00E503E0" w:rsidRPr="00A7510D">
        <w:t xml:space="preserve"> </w:t>
      </w:r>
      <w:r w:rsidR="00E503E0" w:rsidRPr="0050697C">
        <w:t>between a minimum of 14 days and</w:t>
      </w:r>
      <w:r w:rsidR="007D0453" w:rsidRPr="0050697C">
        <w:t xml:space="preserve"> </w:t>
      </w:r>
      <w:r w:rsidR="00800E27" w:rsidRPr="0050697C">
        <w:t>up to a maximum of 21 days after the Intervention consultation</w:t>
      </w:r>
      <w:r w:rsidR="001A6F72" w:rsidRPr="00A7510D">
        <w:t>.</w:t>
      </w:r>
      <w:r w:rsidR="00BE4671" w:rsidRPr="00A7510D">
        <w:t xml:space="preserve"> </w:t>
      </w:r>
      <w:r w:rsidR="00650195" w:rsidRPr="00A7510D">
        <w:t>A</w:t>
      </w:r>
      <w:r w:rsidR="00BE4671" w:rsidRPr="000217DA">
        <w:t xml:space="preserve"> claim can be submitted for the </w:t>
      </w:r>
      <w:r w:rsidR="00650195">
        <w:t>Intervention</w:t>
      </w:r>
      <w:r w:rsidR="00BE4671" w:rsidRPr="000217DA">
        <w:t xml:space="preserve"> consultation</w:t>
      </w:r>
      <w:r w:rsidR="00650195">
        <w:t>.</w:t>
      </w:r>
      <w:r w:rsidR="00BE4671" w:rsidDel="00800E27">
        <w:t xml:space="preserve"> </w:t>
      </w:r>
    </w:p>
    <w:p w14:paraId="439D76E9" w14:textId="3185775D" w:rsidR="00E56E49" w:rsidRPr="00E56E49" w:rsidRDefault="00E56E49" w:rsidP="000042CC">
      <w:pPr>
        <w:pStyle w:val="BodyText211"/>
        <w:numPr>
          <w:ilvl w:val="5"/>
          <w:numId w:val="8"/>
        </w:numPr>
      </w:pPr>
      <w:r w:rsidRPr="00E56E49">
        <w:t xml:space="preserve">problems are identified and it is the clinical judgement of the pharmacist that intervention by the patient’s prescriber or </w:t>
      </w:r>
      <w:r w:rsidR="000C07E9">
        <w:t>PCN</w:t>
      </w:r>
      <w:r w:rsidRPr="00E56E49">
        <w:t xml:space="preserve"> clinical pharmacist is not required – </w:t>
      </w:r>
      <w:bookmarkStart w:id="20" w:name="_Hlk99039613"/>
      <w:r w:rsidRPr="00E56E49">
        <w:t>pharmacist and patient agree any appropriate remedial steps to be taken</w:t>
      </w:r>
      <w:bookmarkEnd w:id="20"/>
      <w:r w:rsidRPr="00E56E49">
        <w:t xml:space="preserve"> and agree a method and time for the </w:t>
      </w:r>
      <w:r w:rsidR="00F1433D">
        <w:t>F</w:t>
      </w:r>
      <w:r w:rsidRPr="00E56E49">
        <w:t>ollow</w:t>
      </w:r>
      <w:r w:rsidR="00F1433D">
        <w:t>-</w:t>
      </w:r>
      <w:r w:rsidRPr="00E56E49">
        <w:t xml:space="preserve">up </w:t>
      </w:r>
      <w:r w:rsidR="00983A4E">
        <w:t>consultation</w:t>
      </w:r>
      <w:r w:rsidR="00791463" w:rsidRPr="00791463">
        <w:t xml:space="preserve"> to be </w:t>
      </w:r>
      <w:r w:rsidR="00791463" w:rsidRPr="0050697C">
        <w:t>undertaken between a minimum of 14 days and up to a maximum of 21 days after the Intervention consultation</w:t>
      </w:r>
      <w:r w:rsidR="00F1433D" w:rsidRPr="00F735AD">
        <w:t>.</w:t>
      </w:r>
      <w:r w:rsidR="00650195" w:rsidRPr="00F735AD">
        <w:t xml:space="preserve"> </w:t>
      </w:r>
      <w:r w:rsidR="00086DF2" w:rsidRPr="00F735AD">
        <w:t>A</w:t>
      </w:r>
      <w:r w:rsidR="00086DF2" w:rsidRPr="000217DA">
        <w:t xml:space="preserve"> claim can be submitted for the </w:t>
      </w:r>
      <w:r w:rsidR="00086DF2">
        <w:t>Intervention</w:t>
      </w:r>
      <w:r w:rsidR="00086DF2" w:rsidRPr="000217DA">
        <w:t xml:space="preserve"> consultation</w:t>
      </w:r>
      <w:r w:rsidR="00086DF2">
        <w:t>.</w:t>
      </w:r>
      <w:r w:rsidR="00650195" w:rsidDel="00800E27">
        <w:t xml:space="preserve"> </w:t>
      </w:r>
      <w:r w:rsidRPr="00E56E49">
        <w:t xml:space="preserve"> </w:t>
      </w:r>
      <w:bookmarkStart w:id="21" w:name="_Hlk98168903"/>
    </w:p>
    <w:p w14:paraId="0AE79F57" w14:textId="45567077" w:rsidR="00E56E49" w:rsidRPr="00E56E49" w:rsidRDefault="00E56E49" w:rsidP="000C07E9">
      <w:pPr>
        <w:pStyle w:val="BodyText211"/>
        <w:numPr>
          <w:ilvl w:val="5"/>
          <w:numId w:val="8"/>
        </w:numPr>
      </w:pPr>
      <w:r w:rsidRPr="00E56E49">
        <w:t xml:space="preserve">problems are identified and it is the clinical judgement of the pharmacist that intervention by the prescriber </w:t>
      </w:r>
      <w:r w:rsidR="009573F6" w:rsidRPr="009573F6">
        <w:t xml:space="preserve">or PCN clinical pharmacist </w:t>
      </w:r>
      <w:r w:rsidRPr="00E56E49">
        <w:t xml:space="preserve">is required – explain this to the patient and refer the matter to the patient’s prescriber using </w:t>
      </w:r>
      <w:r w:rsidR="009845C0">
        <w:t>the locally agreed method</w:t>
      </w:r>
      <w:r w:rsidR="00187F7F">
        <w:t xml:space="preserve">(s) which may include </w:t>
      </w:r>
      <w:r w:rsidR="00EF6416">
        <w:t>completing the</w:t>
      </w:r>
      <w:r w:rsidR="00EF6416" w:rsidRPr="00EF6416">
        <w:t xml:space="preserve"> NMS GP Feedback form</w:t>
      </w:r>
      <w:r w:rsidR="005A2991">
        <w:rPr>
          <w:rStyle w:val="FootnoteReference"/>
        </w:rPr>
        <w:footnoteReference w:id="9"/>
      </w:r>
      <w:r w:rsidR="00932A70">
        <w:t>.</w:t>
      </w:r>
      <w:r w:rsidRPr="00E56E49">
        <w:t xml:space="preserve"> </w:t>
      </w:r>
      <w:r w:rsidR="004C4794">
        <w:t>If the NMS episode covers a si</w:t>
      </w:r>
      <w:r w:rsidR="007B462D">
        <w:t>n</w:t>
      </w:r>
      <w:r w:rsidR="00126563">
        <w:t>g</w:t>
      </w:r>
      <w:r w:rsidR="004C4794">
        <w:t>le medicine, a</w:t>
      </w:r>
      <w:r w:rsidRPr="00E56E49">
        <w:t xml:space="preserve">t this point the service will have been completed, the patient will exit the </w:t>
      </w:r>
      <w:r w:rsidR="007D6DEE" w:rsidRPr="00E56E49">
        <w:t>service,</w:t>
      </w:r>
      <w:r w:rsidRPr="00E56E49">
        <w:t xml:space="preserve"> and a claim can be submitted </w:t>
      </w:r>
      <w:r w:rsidR="00924FCA">
        <w:t xml:space="preserve">for the </w:t>
      </w:r>
      <w:r w:rsidR="00932A70">
        <w:t xml:space="preserve">Intervention </w:t>
      </w:r>
      <w:r w:rsidR="00197E5E">
        <w:t>consultation</w:t>
      </w:r>
      <w:r w:rsidR="00A86DDF">
        <w:t xml:space="preserve">. If </w:t>
      </w:r>
      <w:r w:rsidR="00A86DDF" w:rsidRPr="00A86DDF">
        <w:t xml:space="preserve">the NMS episode covers multiple medicines and not all medicines prompt the need for referral to the </w:t>
      </w:r>
      <w:r w:rsidR="00F735AD">
        <w:t>prescriber</w:t>
      </w:r>
      <w:r w:rsidR="00B7582C" w:rsidRPr="00B7582C">
        <w:t xml:space="preserve"> </w:t>
      </w:r>
      <w:r w:rsidR="00B7582C" w:rsidRPr="009573F6">
        <w:t>or PCN clinical pharmacist</w:t>
      </w:r>
      <w:r w:rsidR="00A86DDF" w:rsidRPr="00A86DDF">
        <w:t xml:space="preserve">, steps 5.22 (i) and (ii) will be undertaken for the medicines that do not require referral to the </w:t>
      </w:r>
      <w:r w:rsidR="00F735AD">
        <w:t>prescriber</w:t>
      </w:r>
      <w:r w:rsidR="00B7582C" w:rsidRPr="00B7582C">
        <w:t xml:space="preserve"> </w:t>
      </w:r>
      <w:r w:rsidR="00B7582C" w:rsidRPr="009573F6">
        <w:t>or PCN clinical pharmacist</w:t>
      </w:r>
      <w:r w:rsidR="00913193">
        <w:t xml:space="preserve"> and </w:t>
      </w:r>
      <w:r w:rsidR="00102FA7" w:rsidRPr="00E56E49">
        <w:t xml:space="preserve">a claim can be submitted </w:t>
      </w:r>
      <w:r w:rsidR="00102FA7">
        <w:t>for the Intervention consultation</w:t>
      </w:r>
      <w:r w:rsidR="00A86DDF" w:rsidRPr="00A86DDF">
        <w:t>.</w:t>
      </w:r>
      <w:bookmarkEnd w:id="21"/>
    </w:p>
    <w:p w14:paraId="35531F95" w14:textId="644E2236" w:rsidR="00E56E49" w:rsidRPr="00E56E49" w:rsidRDefault="00E56E49" w:rsidP="00E915D7">
      <w:pPr>
        <w:pStyle w:val="Heading3Numbered"/>
        <w:numPr>
          <w:ilvl w:val="0"/>
          <w:numId w:val="0"/>
        </w:numPr>
        <w:ind w:firstLine="567"/>
      </w:pPr>
      <w:bookmarkStart w:id="22" w:name="_Toc205207917"/>
      <w:r w:rsidRPr="00E56E49">
        <w:t>Follow-up</w:t>
      </w:r>
      <w:bookmarkStart w:id="23" w:name="_Hlk98145464"/>
      <w:r w:rsidRPr="00E56E49">
        <w:t xml:space="preserve"> </w:t>
      </w:r>
      <w:r w:rsidR="00E438E6">
        <w:t>consultation</w:t>
      </w:r>
      <w:bookmarkEnd w:id="22"/>
    </w:p>
    <w:p w14:paraId="132844D1" w14:textId="7D0085FB" w:rsidR="00924FCA" w:rsidRDefault="00E56E49" w:rsidP="00E97F39">
      <w:pPr>
        <w:pStyle w:val="BodyText21"/>
      </w:pPr>
      <w:r w:rsidRPr="00E56E49">
        <w:t xml:space="preserve">The pharmacist and patient will have a </w:t>
      </w:r>
      <w:r w:rsidR="005F1504">
        <w:t>consultation</w:t>
      </w:r>
      <w:r w:rsidR="00202EDF">
        <w:t xml:space="preserve">, either </w:t>
      </w:r>
      <w:r w:rsidRPr="00E56E49">
        <w:t xml:space="preserve">in the pharmacy’s consultation room, remotely (via telephone, another live audio link or live video link) or in the patient’s home. </w:t>
      </w:r>
    </w:p>
    <w:p w14:paraId="2422EF0B" w14:textId="5E251137" w:rsidR="00944178" w:rsidRDefault="00E56E49" w:rsidP="008A617D">
      <w:pPr>
        <w:pStyle w:val="BodyText21"/>
      </w:pPr>
      <w:r w:rsidRPr="00E56E49">
        <w:t xml:space="preserve">If the </w:t>
      </w:r>
      <w:r w:rsidR="00924FCA">
        <w:t>Follow-up consultation</w:t>
      </w:r>
      <w:r w:rsidR="00924FCA" w:rsidRPr="00E56E49">
        <w:t xml:space="preserve"> </w:t>
      </w:r>
      <w:r w:rsidRPr="00E56E49">
        <w:t xml:space="preserve">does not happen at the agreed time, the pharmacy staff will make at least one additional attempt to follow up with the patient. If the pharmacy staff are then unable to contact the </w:t>
      </w:r>
      <w:r w:rsidRPr="00551428">
        <w:t>patient</w:t>
      </w:r>
      <w:r w:rsidR="003B79CC" w:rsidRPr="0050697C">
        <w:t xml:space="preserve"> this must be recorded in the pharmacy’s clinical record for the </w:t>
      </w:r>
      <w:r w:rsidR="003B79CC" w:rsidRPr="0050697C">
        <w:lastRenderedPageBreak/>
        <w:t>service</w:t>
      </w:r>
      <w:r w:rsidR="00E569F3" w:rsidRPr="00551428">
        <w:t>.</w:t>
      </w:r>
      <w:r w:rsidRPr="00551428">
        <w:t xml:space="preserve"> </w:t>
      </w:r>
      <w:r w:rsidR="00E569F3" w:rsidRPr="00551428">
        <w:t>T</w:t>
      </w:r>
      <w:r w:rsidR="00DC2D99" w:rsidRPr="00551428">
        <w:t>he service is ended as incomplete</w:t>
      </w:r>
      <w:r w:rsidR="00BD62AC" w:rsidRPr="00551428">
        <w:t>, the patient exits</w:t>
      </w:r>
      <w:r w:rsidR="00BD62AC">
        <w:t xml:space="preserve"> the </w:t>
      </w:r>
      <w:r w:rsidR="007D6DEE">
        <w:t>service,</w:t>
      </w:r>
      <w:r w:rsidR="00BD62AC" w:rsidRPr="00E56E49">
        <w:t xml:space="preserve"> </w:t>
      </w:r>
      <w:r w:rsidR="00DC2D99" w:rsidRPr="00DC2D99">
        <w:t>and payment cannot be claimed for the</w:t>
      </w:r>
      <w:r w:rsidR="00DC2D99" w:rsidRPr="00F317D1">
        <w:t xml:space="preserve"> Follow</w:t>
      </w:r>
      <w:r w:rsidR="00DC2D99">
        <w:t>-</w:t>
      </w:r>
      <w:r w:rsidR="00DC2D99" w:rsidRPr="00F317D1">
        <w:t>up consultation</w:t>
      </w:r>
      <w:r w:rsidR="00DC2D99" w:rsidRPr="00C93ECB">
        <w:t>.</w:t>
      </w:r>
      <w:r w:rsidR="00BD62AC" w:rsidRPr="00C93ECB">
        <w:t xml:space="preserve"> </w:t>
      </w:r>
    </w:p>
    <w:p w14:paraId="58D31049" w14:textId="2109B2C2" w:rsidR="001D60A4" w:rsidRPr="00E56E49" w:rsidRDefault="001D60A4" w:rsidP="001D60A4">
      <w:pPr>
        <w:pStyle w:val="BodyText21"/>
      </w:pPr>
      <w:r w:rsidRPr="00E56E49">
        <w:t xml:space="preserve">The pharmacist will assess the patient’s adherence to the medicine(s), identify problems and determine the patient’s need for further information and support. </w:t>
      </w:r>
      <w:r>
        <w:t xml:space="preserve">The </w:t>
      </w:r>
      <w:r w:rsidRPr="00CE2545">
        <w:t>NMS interview schedule</w:t>
      </w:r>
      <w:r>
        <w:rPr>
          <w:rStyle w:val="FootnoteReference"/>
        </w:rPr>
        <w:footnoteReference w:id="10"/>
      </w:r>
      <w:r>
        <w:t xml:space="preserve"> </w:t>
      </w:r>
      <w:r w:rsidR="00AB5AAA">
        <w:t>should</w:t>
      </w:r>
      <w:r w:rsidRPr="00E56E49">
        <w:t xml:space="preserve"> be used to guide this consultation.</w:t>
      </w:r>
    </w:p>
    <w:p w14:paraId="6B0DD9F5" w14:textId="77777777" w:rsidR="00E56E49" w:rsidRPr="00E56E49" w:rsidRDefault="00E56E49" w:rsidP="00E97F39">
      <w:pPr>
        <w:pStyle w:val="BodyText21"/>
      </w:pPr>
      <w:r w:rsidRPr="00E56E49">
        <w:t>The pharmacist will provide advice and further support and will agree one of the following next steps with the patient:</w:t>
      </w:r>
      <w:bookmarkEnd w:id="23"/>
    </w:p>
    <w:p w14:paraId="0D6F8E62" w14:textId="1C16DB01" w:rsidR="00E56E49" w:rsidRPr="000217DA" w:rsidRDefault="00E56E49" w:rsidP="008367D6">
      <w:pPr>
        <w:pStyle w:val="ListParagraph"/>
        <w:numPr>
          <w:ilvl w:val="5"/>
          <w:numId w:val="8"/>
        </w:numPr>
        <w:rPr>
          <w:rFonts w:eastAsiaTheme="minorHAnsi"/>
        </w:rPr>
      </w:pPr>
      <w:r w:rsidRPr="000217DA">
        <w:rPr>
          <w:rFonts w:eastAsiaTheme="minorHAnsi"/>
        </w:rPr>
        <w:t xml:space="preserve">the patient is adhering to the medicine(s) and no problems have been identified – </w:t>
      </w:r>
      <w:r w:rsidR="00933BF9" w:rsidRPr="000217DA">
        <w:rPr>
          <w:rFonts w:eastAsiaTheme="minorHAnsi"/>
        </w:rPr>
        <w:t>a</w:t>
      </w:r>
      <w:r w:rsidR="00933BF9" w:rsidRPr="000217DA">
        <w:rPr>
          <w:rFonts w:eastAsiaTheme="minorHAnsi" w:cstheme="minorBidi"/>
          <w:color w:val="231F20"/>
        </w:rPr>
        <w:t xml:space="preserve">t this point the service will have been completed, </w:t>
      </w:r>
      <w:r w:rsidR="002F7F22" w:rsidRPr="000217DA">
        <w:rPr>
          <w:rFonts w:eastAsiaTheme="minorHAnsi"/>
        </w:rPr>
        <w:t xml:space="preserve">the patient will exit the </w:t>
      </w:r>
      <w:r w:rsidR="007D6DEE" w:rsidRPr="000217DA">
        <w:rPr>
          <w:rFonts w:eastAsiaTheme="minorHAnsi"/>
        </w:rPr>
        <w:t>service,</w:t>
      </w:r>
      <w:r w:rsidR="002F7F22" w:rsidRPr="000217DA">
        <w:rPr>
          <w:rFonts w:eastAsiaTheme="minorHAnsi"/>
        </w:rPr>
        <w:t xml:space="preserve"> and a claim can be submitted for the Follo</w:t>
      </w:r>
      <w:r w:rsidR="00B977CD" w:rsidRPr="000217DA">
        <w:rPr>
          <w:rFonts w:eastAsiaTheme="minorHAnsi"/>
        </w:rPr>
        <w:t>w</w:t>
      </w:r>
      <w:r w:rsidR="002F7F22" w:rsidRPr="000217DA">
        <w:rPr>
          <w:rFonts w:eastAsiaTheme="minorHAnsi"/>
        </w:rPr>
        <w:t xml:space="preserve">-up </w:t>
      </w:r>
      <w:r w:rsidR="00B977CD" w:rsidRPr="000217DA">
        <w:rPr>
          <w:rFonts w:eastAsiaTheme="minorHAnsi"/>
        </w:rPr>
        <w:t xml:space="preserve">consultation. </w:t>
      </w:r>
    </w:p>
    <w:p w14:paraId="0BB5FB2E" w14:textId="6D54A6F9" w:rsidR="00E56E49" w:rsidRPr="000217DA" w:rsidRDefault="00E56E49" w:rsidP="00B977CD">
      <w:pPr>
        <w:pStyle w:val="ListParagraph"/>
        <w:numPr>
          <w:ilvl w:val="5"/>
          <w:numId w:val="8"/>
        </w:numPr>
        <w:rPr>
          <w:rFonts w:eastAsiaTheme="minorHAnsi"/>
        </w:rPr>
      </w:pPr>
      <w:r w:rsidRPr="000217DA">
        <w:rPr>
          <w:rFonts w:eastAsiaTheme="minorHAnsi"/>
        </w:rPr>
        <w:t xml:space="preserve">problem identified </w:t>
      </w:r>
      <w:bookmarkStart w:id="24" w:name="_Hlk99022573"/>
      <w:r w:rsidRPr="000217DA">
        <w:rPr>
          <w:rFonts w:eastAsiaTheme="minorHAnsi"/>
        </w:rPr>
        <w:t xml:space="preserve">– pharmacist and patient agree any appropriate remedial steps to be taken. </w:t>
      </w:r>
      <w:bookmarkEnd w:id="24"/>
      <w:r w:rsidR="00B977CD" w:rsidRPr="000217DA">
        <w:rPr>
          <w:rFonts w:eastAsiaTheme="minorHAnsi"/>
        </w:rPr>
        <w:t>A</w:t>
      </w:r>
      <w:r w:rsidR="00B977CD" w:rsidRPr="000217DA">
        <w:rPr>
          <w:rFonts w:eastAsiaTheme="minorHAnsi" w:cstheme="minorBidi"/>
          <w:color w:val="231F20"/>
        </w:rPr>
        <w:t xml:space="preserve">t this point the service will have been completed, </w:t>
      </w:r>
      <w:r w:rsidR="00B977CD" w:rsidRPr="000217DA">
        <w:rPr>
          <w:rFonts w:eastAsiaTheme="minorHAnsi"/>
        </w:rPr>
        <w:t xml:space="preserve">the patient will exit the </w:t>
      </w:r>
      <w:r w:rsidR="007D6DEE" w:rsidRPr="000217DA">
        <w:rPr>
          <w:rFonts w:eastAsiaTheme="minorHAnsi"/>
        </w:rPr>
        <w:t>service,</w:t>
      </w:r>
      <w:r w:rsidR="00B977CD" w:rsidRPr="000217DA">
        <w:rPr>
          <w:rFonts w:eastAsiaTheme="minorHAnsi"/>
        </w:rPr>
        <w:t xml:space="preserve"> and a claim can be submitted for the Follow-up consultation.</w:t>
      </w:r>
      <w:r w:rsidR="00794262" w:rsidRPr="000217DA">
        <w:rPr>
          <w:rFonts w:eastAsiaTheme="minorHAnsi"/>
        </w:rPr>
        <w:t xml:space="preserve"> </w:t>
      </w:r>
    </w:p>
    <w:p w14:paraId="5F71C251" w14:textId="6DB4F547" w:rsidR="00E56E49" w:rsidRPr="000217DA" w:rsidRDefault="00B977CD" w:rsidP="00D14576">
      <w:pPr>
        <w:pStyle w:val="BodyText211"/>
        <w:numPr>
          <w:ilvl w:val="5"/>
          <w:numId w:val="8"/>
        </w:numPr>
      </w:pPr>
      <w:r w:rsidRPr="000217DA">
        <w:t xml:space="preserve">problems are identified and it is the clinical judgement of the pharmacist that intervention by the prescriber </w:t>
      </w:r>
      <w:r w:rsidR="00B0610E" w:rsidRPr="00B0610E">
        <w:t xml:space="preserve">or PCN clinical pharmacist </w:t>
      </w:r>
      <w:r w:rsidRPr="000217DA">
        <w:t>is required – explain this to the patient and refer the matter to the patient’s prescriber using the locally agreed method(s) which may include completing the NMS GP Feedback form</w:t>
      </w:r>
      <w:r w:rsidR="00C471F7" w:rsidRPr="0056539C">
        <w:rPr>
          <w:vertAlign w:val="superscript"/>
        </w:rPr>
        <w:t>1</w:t>
      </w:r>
      <w:r w:rsidR="0056539C">
        <w:rPr>
          <w:vertAlign w:val="superscript"/>
        </w:rPr>
        <w:t>0</w:t>
      </w:r>
      <w:r w:rsidRPr="000217DA">
        <w:t xml:space="preserve">. At this point the service will have been completed, the patient will exit the </w:t>
      </w:r>
      <w:r w:rsidR="007D6DEE" w:rsidRPr="000217DA">
        <w:t>service,</w:t>
      </w:r>
      <w:r w:rsidRPr="000217DA">
        <w:t xml:space="preserve"> and a claim can be submitted for the Follow-up consultation.</w:t>
      </w:r>
      <w:r w:rsidR="00794262" w:rsidRPr="000217DA">
        <w:t xml:space="preserve"> </w:t>
      </w:r>
    </w:p>
    <w:p w14:paraId="2FEEA686" w14:textId="77777777" w:rsidR="00FF6C25" w:rsidRPr="00A64F08" w:rsidRDefault="00FF6C25" w:rsidP="00A64F08">
      <w:pPr>
        <w:pStyle w:val="Heading1Numbered"/>
      </w:pPr>
      <w:bookmarkStart w:id="25" w:name="_Toc205207918"/>
      <w:r w:rsidRPr="00A64F08">
        <w:t>Data and information management</w:t>
      </w:r>
      <w:bookmarkEnd w:id="25"/>
    </w:p>
    <w:p w14:paraId="272B8682" w14:textId="54314B87" w:rsidR="003B1A9B" w:rsidRDefault="00385FC9" w:rsidP="00645F3A">
      <w:pPr>
        <w:pStyle w:val="BodyText21"/>
      </w:pPr>
      <w:r w:rsidRPr="00385FC9">
        <w:t>The pharmacy contractor must maintain appropriate clinical records to ensure effective ongoing service delivery</w:t>
      </w:r>
      <w:r w:rsidR="00CE575C">
        <w:t xml:space="preserve"> in line with </w:t>
      </w:r>
      <w:r w:rsidR="00CE575C" w:rsidRPr="006F3C36">
        <w:rPr>
          <w:b/>
          <w:bCs/>
        </w:rPr>
        <w:t>Annex A: Record keeping requirements</w:t>
      </w:r>
      <w:r w:rsidR="00CE575C">
        <w:t>.</w:t>
      </w:r>
    </w:p>
    <w:p w14:paraId="6A2E4B72" w14:textId="415AAB55" w:rsidR="00E10C60" w:rsidRPr="00F17C47" w:rsidRDefault="00CE575C" w:rsidP="00E10C60">
      <w:pPr>
        <w:pStyle w:val="BodyText21"/>
      </w:pPr>
      <w:r>
        <w:t>Pharmacy contractors</w:t>
      </w:r>
      <w:r w:rsidR="00385FC9" w:rsidRPr="00385FC9">
        <w:t xml:space="preserve"> may </w:t>
      </w:r>
      <w:r>
        <w:t>opt to</w:t>
      </w:r>
      <w:r w:rsidR="00385FC9" w:rsidRPr="00385FC9">
        <w:t xml:space="preserve"> </w:t>
      </w:r>
      <w:r w:rsidR="00385FC9" w:rsidRPr="0050697C">
        <w:t xml:space="preserve">use </w:t>
      </w:r>
      <w:r w:rsidR="00BB1EF7" w:rsidRPr="0050697C">
        <w:t>an IT system, some if which</w:t>
      </w:r>
      <w:r w:rsidR="00645F3A" w:rsidRPr="0050697C">
        <w:t xml:space="preserve"> automatically collect </w:t>
      </w:r>
      <w:r w:rsidR="003B1A9B" w:rsidRPr="0050697C">
        <w:t xml:space="preserve">data </w:t>
      </w:r>
      <w:r w:rsidR="00645F3A" w:rsidRPr="0050697C">
        <w:t>via an application programming interface (API) for this service</w:t>
      </w:r>
      <w:r w:rsidR="003B1A9B">
        <w:t xml:space="preserve"> (see </w:t>
      </w:r>
      <w:r w:rsidR="003B1A9B" w:rsidRPr="006F3C36">
        <w:rPr>
          <w:b/>
          <w:bCs/>
        </w:rPr>
        <w:t xml:space="preserve">Annex </w:t>
      </w:r>
      <w:r>
        <w:rPr>
          <w:b/>
          <w:bCs/>
        </w:rPr>
        <w:t>B</w:t>
      </w:r>
      <w:r w:rsidR="003B1A9B" w:rsidRPr="006F3C36">
        <w:rPr>
          <w:b/>
          <w:bCs/>
        </w:rPr>
        <w:t>: NHSBSA API dataset for monitoring and evaluation</w:t>
      </w:r>
      <w:r w:rsidR="003B1A9B">
        <w:t>)</w:t>
      </w:r>
      <w:r w:rsidR="00E10C60">
        <w:t>.</w:t>
      </w:r>
      <w:r w:rsidR="00E10C60" w:rsidRPr="00E10C60">
        <w:t xml:space="preserve"> </w:t>
      </w:r>
    </w:p>
    <w:p w14:paraId="73DB8AB3" w14:textId="7C13A4F3" w:rsidR="00A61C0A" w:rsidRDefault="00A61C0A" w:rsidP="00A61C0A">
      <w:pPr>
        <w:pStyle w:val="BodyText21"/>
      </w:pPr>
      <w:r>
        <w:t>Pharmacy contractors must adhere to defined standards of record keeping</w:t>
      </w:r>
      <w:r w:rsidR="007B5E33">
        <w:t>,</w:t>
      </w:r>
      <w:r>
        <w:t xml:space="preserve"> ensuring that the clinical record is made on the same day that it occurs unless exceptional circumstances apply. </w:t>
      </w:r>
      <w:r w:rsidR="005F2B2B">
        <w:t xml:space="preserve">If a </w:t>
      </w:r>
      <w:r w:rsidR="00A53E6F">
        <w:t xml:space="preserve">pharmacy </w:t>
      </w:r>
      <w:r w:rsidR="005F2B2B">
        <w:t>con</w:t>
      </w:r>
      <w:r w:rsidR="002575AD">
        <w:t>tractor opts to use an</w:t>
      </w:r>
      <w:r w:rsidR="00946F2B" w:rsidRPr="00946F2B">
        <w:t xml:space="preserve"> IT system </w:t>
      </w:r>
      <w:r w:rsidR="002575AD">
        <w:t xml:space="preserve">and this </w:t>
      </w:r>
      <w:r w:rsidR="00946F2B" w:rsidRPr="00946F2B">
        <w:t xml:space="preserve">is unavailable due to exceptional circumstances beyond the control of the pharmacy contractor, then the clinical record must be </w:t>
      </w:r>
      <w:r w:rsidR="00946F2B" w:rsidRPr="00946F2B">
        <w:lastRenderedPageBreak/>
        <w:t xml:space="preserve">added to the system as soon as possible after it becomes available again. If the problem persists for a period greater than 3 working days, then the contractor must </w:t>
      </w:r>
      <w:r w:rsidR="00260EEB">
        <w:t xml:space="preserve">revert to an </w:t>
      </w:r>
      <w:r w:rsidR="006A4D22">
        <w:t xml:space="preserve">alternate means of </w:t>
      </w:r>
      <w:r w:rsidR="009A12D0">
        <w:t>maintaining the clinical record.</w:t>
      </w:r>
    </w:p>
    <w:p w14:paraId="4B411273" w14:textId="0AB9C7B1" w:rsidR="008003C5" w:rsidRPr="00551428" w:rsidRDefault="008003C5" w:rsidP="008003C5">
      <w:pPr>
        <w:pStyle w:val="BodyText21"/>
      </w:pPr>
      <w:r>
        <w:t xml:space="preserve">Where </w:t>
      </w:r>
      <w:r w:rsidRPr="00551428">
        <w:t xml:space="preserve">an </w:t>
      </w:r>
      <w:r w:rsidRPr="0050697C">
        <w:t xml:space="preserve">IT system </w:t>
      </w:r>
      <w:r w:rsidR="00236FF8" w:rsidRPr="0050697C">
        <w:t xml:space="preserve">which integrates with the NHSBSA API </w:t>
      </w:r>
      <w:r w:rsidRPr="0050697C">
        <w:t>is used</w:t>
      </w:r>
      <w:r w:rsidRPr="00551428">
        <w:t>, the data which is submitted via the API will be used by the NHSBSA for PPV purposes. Some of this data, which has been anonymised, will be shared with NHS England for service evaluation and research purposes.</w:t>
      </w:r>
    </w:p>
    <w:p w14:paraId="1B52E601" w14:textId="71964355" w:rsidR="002409F6" w:rsidRPr="00551428" w:rsidRDefault="002409F6" w:rsidP="008003C5">
      <w:pPr>
        <w:pStyle w:val="BodyText21"/>
      </w:pPr>
      <w:r w:rsidRPr="00551428">
        <w:t xml:space="preserve">Records of service delivery relating to consultations where claims for payment have been made should be retained at the pharmacy premises and be available for PPV purposes for </w:t>
      </w:r>
      <w:r w:rsidRPr="0050697C">
        <w:t>3 years</w:t>
      </w:r>
      <w:r w:rsidR="003B73E8" w:rsidRPr="0050697C">
        <w:t xml:space="preserve"> from the closure of the NMS episode</w:t>
      </w:r>
      <w:r w:rsidRPr="00551428">
        <w:t>.</w:t>
      </w:r>
    </w:p>
    <w:p w14:paraId="57B2CDE3" w14:textId="5E8D1CBB" w:rsidR="00C104A1" w:rsidRDefault="00C104A1" w:rsidP="00C104A1">
      <w:pPr>
        <w:pStyle w:val="BodyText21"/>
      </w:pPr>
      <w:r w:rsidRPr="00551428">
        <w:t>All relevant records must be managed in line with</w:t>
      </w:r>
      <w:r>
        <w:t xml:space="preserve"> the </w:t>
      </w:r>
      <w:hyperlink r:id="rId24" w:history="1">
        <w:r w:rsidRPr="00B72A7B">
          <w:rPr>
            <w:rStyle w:val="Hyperlink"/>
            <w:rFonts w:ascii="Arial" w:hAnsi="Arial"/>
          </w:rPr>
          <w:t>Records Management Code of Practice for Health and Social Care</w:t>
        </w:r>
      </w:hyperlink>
      <w:r>
        <w:t>. As part of this requirement, pharmacy contractors should ensure that clinical records for the service are retained for the appropriate period. This retention period may be beyond the specified period for PPV purposes and should be in line both the requirements for the record type and if the record relates to a child.</w:t>
      </w:r>
    </w:p>
    <w:p w14:paraId="7469B8F2" w14:textId="77777777" w:rsidR="00FF6C25" w:rsidRPr="00A64F08" w:rsidRDefault="00FF6C25" w:rsidP="00A64F08">
      <w:pPr>
        <w:pStyle w:val="Heading1Numbered"/>
      </w:pPr>
      <w:bookmarkStart w:id="26" w:name="_Toc205207919"/>
      <w:r w:rsidRPr="00A64F08">
        <w:t>Payment arrangements</w:t>
      </w:r>
      <w:bookmarkEnd w:id="26"/>
    </w:p>
    <w:p w14:paraId="136B25CF" w14:textId="0DC8A119" w:rsidR="00F05DBD" w:rsidRPr="0065198E" w:rsidRDefault="00683A25" w:rsidP="00F05DBD">
      <w:pPr>
        <w:pStyle w:val="BodyText21"/>
      </w:pPr>
      <w:bookmarkStart w:id="27" w:name="_Hlk203449375"/>
      <w:r>
        <w:t>Pharmacy c</w:t>
      </w:r>
      <w:r w:rsidR="00683DAE">
        <w:t>ontractors</w:t>
      </w:r>
      <w:r w:rsidR="00287178" w:rsidRPr="0065198E">
        <w:t xml:space="preserve"> </w:t>
      </w:r>
      <w:r w:rsidR="00F05DBD" w:rsidRPr="0065198E">
        <w:t xml:space="preserve">providing this service will be eligible </w:t>
      </w:r>
      <w:r w:rsidR="000A4EFC">
        <w:t xml:space="preserve">to claim </w:t>
      </w:r>
      <w:r w:rsidR="00F05DBD" w:rsidRPr="0065198E">
        <w:t xml:space="preserve">for payment </w:t>
      </w:r>
      <w:r w:rsidR="000A4EFC">
        <w:t xml:space="preserve">as </w:t>
      </w:r>
      <w:r w:rsidR="00F05DBD" w:rsidRPr="0065198E">
        <w:t>detailed in the Drug Tariff determination</w:t>
      </w:r>
      <w:bookmarkEnd w:id="27"/>
      <w:r w:rsidR="00F05DBD" w:rsidRPr="0065198E">
        <w:t>.</w:t>
      </w:r>
    </w:p>
    <w:p w14:paraId="225E74A8" w14:textId="37DD6F89" w:rsidR="00703FAA" w:rsidRPr="0065198E" w:rsidRDefault="00D53DFC" w:rsidP="00E97F39">
      <w:pPr>
        <w:pStyle w:val="BodyText21"/>
      </w:pPr>
      <w:r>
        <w:t>Payment will be made</w:t>
      </w:r>
      <w:r w:rsidR="00703FAA" w:rsidRPr="0065198E">
        <w:t xml:space="preserve"> on the condition that the pharmacy </w:t>
      </w:r>
      <w:r w:rsidR="00B71AB6">
        <w:t>contractor</w:t>
      </w:r>
      <w:r w:rsidR="00B71AB6" w:rsidRPr="0065198E">
        <w:t xml:space="preserve"> </w:t>
      </w:r>
      <w:r w:rsidR="00703FAA" w:rsidRPr="0065198E">
        <w:t>has provided the service in accordance with the service specification.</w:t>
      </w:r>
    </w:p>
    <w:p w14:paraId="5741E545" w14:textId="4A5947D4" w:rsidR="00F10DA5" w:rsidRPr="0065198E" w:rsidRDefault="00F10DA5" w:rsidP="00F10DA5">
      <w:pPr>
        <w:pStyle w:val="BodyText21"/>
      </w:pPr>
      <w:r w:rsidRPr="0065198E">
        <w:t xml:space="preserve">Claims for payment should be submitted </w:t>
      </w:r>
      <w:r w:rsidR="00617527">
        <w:t>b</w:t>
      </w:r>
      <w:r w:rsidR="00617527" w:rsidRPr="00617527">
        <w:t xml:space="preserve">y no later than the 5th day of the following month in which the </w:t>
      </w:r>
      <w:r w:rsidR="00AF4379">
        <w:t xml:space="preserve">Intervention and/or Follow-up consultation </w:t>
      </w:r>
      <w:r w:rsidR="00617527" w:rsidRPr="00617527">
        <w:t xml:space="preserve">was </w:t>
      </w:r>
      <w:r w:rsidR="00883082">
        <w:t>undertaken.</w:t>
      </w:r>
    </w:p>
    <w:p w14:paraId="2E73515F" w14:textId="484F4BE5" w:rsidR="00FF6C25" w:rsidRPr="00A64F08" w:rsidRDefault="00380272" w:rsidP="00A64F08">
      <w:pPr>
        <w:pStyle w:val="Heading1Numbered"/>
      </w:pPr>
      <w:bookmarkStart w:id="28" w:name="_Toc205207920"/>
      <w:r>
        <w:t>P</w:t>
      </w:r>
      <w:r w:rsidR="00FF6C25" w:rsidRPr="00A64F08">
        <w:t>ost payment verification</w:t>
      </w:r>
      <w:r>
        <w:t xml:space="preserve"> (PPV)</w:t>
      </w:r>
      <w:bookmarkEnd w:id="28"/>
    </w:p>
    <w:p w14:paraId="46189BB0" w14:textId="77777777" w:rsidR="00FF6C25" w:rsidRPr="00F81B26" w:rsidRDefault="00FF6C25" w:rsidP="00E97F39">
      <w:pPr>
        <w:pStyle w:val="ListParagraph"/>
        <w:numPr>
          <w:ilvl w:val="0"/>
          <w:numId w:val="6"/>
        </w:numPr>
        <w:autoSpaceDE w:val="0"/>
        <w:autoSpaceDN w:val="0"/>
        <w:spacing w:before="120" w:after="120" w:line="288" w:lineRule="auto"/>
        <w:contextualSpacing/>
        <w:textboxTightWrap w:val="none"/>
        <w:rPr>
          <w:vanish/>
          <w:color w:val="FFFFFF" w:themeColor="text1"/>
        </w:rPr>
      </w:pPr>
    </w:p>
    <w:p w14:paraId="2E2DAE89" w14:textId="58954FF6" w:rsidR="00C630CC" w:rsidRDefault="00C630CC" w:rsidP="0033114E">
      <w:pPr>
        <w:pStyle w:val="BodyText21"/>
      </w:pPr>
      <w:r>
        <w:t xml:space="preserve">NHS England has a duty to be assured that where </w:t>
      </w:r>
      <w:r w:rsidR="00697976">
        <w:t xml:space="preserve">pharmacy </w:t>
      </w:r>
      <w:r>
        <w:t>contractors make claims for payment for set up fees or activity in services, that they meet all the specified requirements of the service. NHS England will work with the NHSBSA Provider Assurance Team to undertake PPV checks on claims made</w:t>
      </w:r>
      <w:r w:rsidR="00686AED">
        <w:t>.</w:t>
      </w:r>
    </w:p>
    <w:p w14:paraId="298D80E8" w14:textId="58A13638" w:rsidR="00C630CC" w:rsidRDefault="009B129F" w:rsidP="00C630CC">
      <w:pPr>
        <w:pStyle w:val="BodyText21"/>
      </w:pPr>
      <w:r>
        <w:t>Reasonable e</w:t>
      </w:r>
      <w:r w:rsidR="00C630CC">
        <w:t xml:space="preserve">vidence </w:t>
      </w:r>
      <w:r w:rsidR="00626ADA">
        <w:t>related to</w:t>
      </w:r>
      <w:r w:rsidR="00C630CC">
        <w:t xml:space="preserve"> service delivery may be requested directly from </w:t>
      </w:r>
      <w:r w:rsidR="00697976">
        <w:t xml:space="preserve">pharmacy </w:t>
      </w:r>
      <w:r w:rsidR="00C630CC">
        <w:t xml:space="preserve">contractors. The verification checks include comparing the information provided by </w:t>
      </w:r>
      <w:r w:rsidR="00697976">
        <w:t xml:space="preserve">pharmacy </w:t>
      </w:r>
      <w:r w:rsidR="00C630CC">
        <w:lastRenderedPageBreak/>
        <w:t>contractors in their claims against datasets and evidence sources that are available to the NHSBSA Provider Assurance Team</w:t>
      </w:r>
      <w:r w:rsidR="00141222">
        <w:t>.</w:t>
      </w:r>
    </w:p>
    <w:p w14:paraId="34971488" w14:textId="1D92C401" w:rsidR="00C630CC" w:rsidRDefault="00C630CC" w:rsidP="00C630CC">
      <w:pPr>
        <w:pStyle w:val="BodyText21"/>
      </w:pPr>
      <w:r>
        <w:t xml:space="preserve">It is the </w:t>
      </w:r>
      <w:r w:rsidR="00697976">
        <w:t xml:space="preserve">pharmacy </w:t>
      </w:r>
      <w:r>
        <w:t xml:space="preserve">contractor’s responsibility to be able to provide </w:t>
      </w:r>
      <w:r w:rsidR="003F6EC7">
        <w:t xml:space="preserve">any reasonable </w:t>
      </w:r>
      <w:r>
        <w:t xml:space="preserve">evidence </w:t>
      </w:r>
      <w:r w:rsidR="007C315D">
        <w:t xml:space="preserve">related to </w:t>
      </w:r>
      <w:r>
        <w:t>service delivery to eligible patients in accordance with the service specification when requested by the NHSBSA for PPV.</w:t>
      </w:r>
    </w:p>
    <w:p w14:paraId="22FB6D7D" w14:textId="2E3AA5DC" w:rsidR="00C630CC" w:rsidRDefault="00C630CC" w:rsidP="00C630CC">
      <w:pPr>
        <w:pStyle w:val="BodyText21"/>
      </w:pPr>
      <w:r>
        <w:t xml:space="preserve">In cases where </w:t>
      </w:r>
      <w:r w:rsidR="008A6436">
        <w:t xml:space="preserve">pharmacy </w:t>
      </w:r>
      <w:r>
        <w:t xml:space="preserve">contractors have been requested to provide evidence and it is not available or does not demonstrate that the service activity was delivered in accordance with the service specification, and so these claims cannot be verified, the </w:t>
      </w:r>
      <w:r w:rsidR="008A6436">
        <w:t xml:space="preserve">pharmacy </w:t>
      </w:r>
      <w:r>
        <w:t xml:space="preserve">contractors will be informed. Where claims cannot be verified and the </w:t>
      </w:r>
      <w:r w:rsidR="008A6436">
        <w:t xml:space="preserve">pharmacy </w:t>
      </w:r>
      <w:r>
        <w:t>contractor does not agree to their recovery the case may be referred to the Pharmaceutical Services Regulations Committee (PSRC) to decide whether an overpayment has been made</w:t>
      </w:r>
      <w:r w:rsidR="0090765F">
        <w:t>.</w:t>
      </w:r>
    </w:p>
    <w:p w14:paraId="22A42436" w14:textId="482C57B5" w:rsidR="00C630CC" w:rsidRDefault="00C630CC" w:rsidP="00C630CC">
      <w:pPr>
        <w:pStyle w:val="BodyText21"/>
      </w:pPr>
      <w:r>
        <w:t xml:space="preserve">In such cases, where the PSRC decides that an overpayment has been made, and will need to be recovered, </w:t>
      </w:r>
      <w:r w:rsidR="008A6436">
        <w:t xml:space="preserve">pharmacy </w:t>
      </w:r>
      <w:r>
        <w:t>contractors will be contacted by the NHSBSA and notified of the overpayment recovery process</w:t>
      </w:r>
      <w:r w:rsidR="00475E27">
        <w:t>.</w:t>
      </w:r>
    </w:p>
    <w:p w14:paraId="0E0DF041" w14:textId="71BEDFFE" w:rsidR="00C630CC" w:rsidRDefault="00C630CC" w:rsidP="00C630CC">
      <w:pPr>
        <w:pStyle w:val="BodyText21"/>
      </w:pPr>
      <w:r>
        <w:t>Any overpayment recovery would not prejudice any action that the NHS may also seek to take under the performance related sanctions and market exit powers within The National Health Service (Pharmaceutical and Local Pharmaceutical Services) Regulations 2013</w:t>
      </w:r>
      <w:r w:rsidR="00CF23E0">
        <w:t>.</w:t>
      </w:r>
    </w:p>
    <w:p w14:paraId="0827510B" w14:textId="596F0116" w:rsidR="00FF6C25" w:rsidRPr="006D721C" w:rsidRDefault="00C630CC" w:rsidP="00E97F39">
      <w:pPr>
        <w:pStyle w:val="BodyText21"/>
      </w:pPr>
      <w:r>
        <w:t xml:space="preserve">Accurate record keeping of service delivery to eligible patients in accordance with the service specification is an essential part of the service provision. The necessary records for reimbursement must be kept for a period </w:t>
      </w:r>
      <w:r w:rsidRPr="00551428">
        <w:t xml:space="preserve">of </w:t>
      </w:r>
      <w:r w:rsidR="00C87205" w:rsidRPr="0050697C">
        <w:t xml:space="preserve">3 </w:t>
      </w:r>
      <w:r w:rsidRPr="0050697C">
        <w:t xml:space="preserve">years </w:t>
      </w:r>
      <w:r w:rsidR="00B4656A" w:rsidRPr="0050697C">
        <w:t>from the closure of the NMS episode</w:t>
      </w:r>
      <w:r w:rsidR="00B4656A" w:rsidRPr="00B4656A">
        <w:t xml:space="preserve"> </w:t>
      </w:r>
      <w:r>
        <w:t xml:space="preserve">to demonstrate service delivery in accordance with the service specification, and to assist with post-payment assurance activities. These records must be provided by a </w:t>
      </w:r>
      <w:r w:rsidR="008A6436">
        <w:t xml:space="preserve">pharmacy </w:t>
      </w:r>
      <w:r>
        <w:t>contractor when requested by the NHSBSA Provider Assurance Team.</w:t>
      </w:r>
    </w:p>
    <w:p w14:paraId="675CDA40" w14:textId="77777777" w:rsidR="00FF6C25" w:rsidRPr="006D721C" w:rsidRDefault="00FF6C25" w:rsidP="00FF6C25">
      <w:pPr>
        <w:pStyle w:val="ListParagraph"/>
        <w:tabs>
          <w:tab w:val="left" w:pos="1178"/>
          <w:tab w:val="left" w:pos="1179"/>
        </w:tabs>
        <w:spacing w:before="1" w:line="314" w:lineRule="auto"/>
        <w:ind w:left="567" w:right="1644" w:firstLine="0"/>
      </w:pPr>
    </w:p>
    <w:p w14:paraId="5B9F6B89" w14:textId="39DF0776" w:rsidR="00DE1108" w:rsidRDefault="00DE1108">
      <w:pPr>
        <w:spacing w:after="0" w:line="240" w:lineRule="auto"/>
        <w:textboxTightWrap w:val="none"/>
        <w:rPr>
          <w:rFonts w:ascii="Arial Bold" w:hAnsi="Arial Bold" w:cs="Arial"/>
          <w:b/>
          <w:color w:val="005EB8"/>
          <w:kern w:val="28"/>
          <w:sz w:val="36"/>
          <w14:ligatures w14:val="standardContextual"/>
        </w:rPr>
      </w:pPr>
      <w:bookmarkStart w:id="29" w:name="_Ref128151159"/>
    </w:p>
    <w:bookmarkEnd w:id="29"/>
    <w:p w14:paraId="01C7A709" w14:textId="77777777" w:rsidR="00FF6C25" w:rsidRPr="006D721C" w:rsidRDefault="00FF6C25" w:rsidP="00FF6C25">
      <w:pPr>
        <w:spacing w:line="242" w:lineRule="auto"/>
        <w:sectPr w:rsidR="00FF6C25" w:rsidRPr="006D721C" w:rsidSect="00FF6C25">
          <w:pgSz w:w="11910" w:h="16840"/>
          <w:pgMar w:top="1600" w:right="700" w:bottom="980" w:left="600" w:header="0" w:footer="799" w:gutter="0"/>
          <w:cols w:space="720"/>
        </w:sectPr>
      </w:pPr>
    </w:p>
    <w:p w14:paraId="6F02B92F" w14:textId="57883B7A" w:rsidR="004C512D" w:rsidRPr="005756EE" w:rsidRDefault="00FF6C25" w:rsidP="003B1A9B">
      <w:pPr>
        <w:pStyle w:val="Heading2"/>
      </w:pPr>
      <w:bookmarkStart w:id="30" w:name="_Annex_A:_NMS"/>
      <w:bookmarkStart w:id="31" w:name="_Toc205207921"/>
      <w:bookmarkEnd w:id="30"/>
      <w:r w:rsidRPr="006D721C">
        <w:rPr>
          <w:noProof/>
          <w:lang w:eastAsia="en-GB"/>
        </w:rPr>
        <w:lastRenderedPageBreak/>
        <mc:AlternateContent>
          <mc:Choice Requires="wps">
            <w:drawing>
              <wp:anchor distT="0" distB="0" distL="114300" distR="114300" simplePos="0" relativeHeight="251658240" behindDoc="1" locked="0" layoutInCell="1" allowOverlap="1" wp14:anchorId="0FADB9EF" wp14:editId="16C2C6DD">
                <wp:simplePos x="0" y="0"/>
                <wp:positionH relativeFrom="page">
                  <wp:posOffset>325120</wp:posOffset>
                </wp:positionH>
                <wp:positionV relativeFrom="page">
                  <wp:posOffset>10195560</wp:posOffset>
                </wp:positionV>
                <wp:extent cx="5594350" cy="18161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57969" w14:textId="77777777" w:rsidR="00FF6C25" w:rsidRDefault="00FF6C25" w:rsidP="00FF6C25">
                            <w:pPr>
                              <w:spacing w:line="285" w:lineRule="exact"/>
                              <w:rPr>
                                <w:sz w:val="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DB9EF" id="_x0000_t202" coordsize="21600,21600" o:spt="202" path="m,l,21600r21600,l21600,xe">
                <v:stroke joinstyle="miter"/>
                <v:path gradientshapeok="t" o:connecttype="rect"/>
              </v:shapetype>
              <v:shape id="Text Box 5" o:spid="_x0000_s1026" type="#_x0000_t202" style="position:absolute;margin-left:25.6pt;margin-top:802.8pt;width:440.5pt;height:1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dL1gEAAJEDAAAOAAAAZHJzL2Uyb0RvYy54bWysU9tu1DAQfUfiHyy/s9kUtirRZqvSqgip&#10;UKTCB0wcJ7FIPGbs3WT5esbOZsvlDfFiTWbGx+ecmWyvp6EXB03eoC1lvlpLoa3C2ti2lF+/3L+6&#10;ksIHsDX0aHUpj9rL693LF9vRFfoCO+xrTYJBrC9GV8ouBFdkmVedHsCv0GnLxQZpgMCf1GY1wcjo&#10;Q59drNeX2YhUO0Klvefs3VyUu4TfNFqFx6bxOoi+lMwtpJPSWcUz222haAlcZ9SJBvwDiwGM5UfP&#10;UHcQQOzJ/AU1GEXosQkrhUOGTWOUThpYTb7+Q81TB04nLWyOd2eb/P+DVZ8OT+4ziTC9w4kHmER4&#10;94DqmxcWbzuwrb4hwrHTUPPDebQsG50vTlej1b7wEaQaP2LNQ4Z9wAQ0NTREV1inYHQewPFsup6C&#10;UJzcbN6+eb3hkuJafpVf5mkqGRTLbUc+vNc4iBiUknioCR0ODz5ENlAsLfExi/em79Nge/tbghtj&#10;JrGPhGfqYaom7o4qKqyPrINw3hPeaw46pB9SjLwjpfTf90Baiv6DZS/iQi0BLUG1BGAVXy1lkGIO&#10;b8O8eHtHpu0YeXbb4g371Zgk5ZnFiSfPPSk87WhcrF+/U9fzn7T7CQAA//8DAFBLAwQUAAYACAAA&#10;ACEAwFgBruAAAAAMAQAADwAAAGRycy9kb3ducmV2LnhtbEyPwU7DMAyG70i8Q+RJ3FiyjlWsazpN&#10;CE5IiK4cOKZN1kZrnNJkW3l7vNM4+vOv35/z7eR6djZjsB4lLOYCmMHGa4uthK/q7fEZWIgKteo9&#10;Ggm/JsC2uL/LVab9BUtz3seWUQmGTEnoYhwyzkPTGafC3A8GaXfwo1ORxrHlelQXKnc9T4RIuVMW&#10;6UKnBvPSmea4PzkJu28sX+3PR/1ZHkpbVWuB7+lRyofZtNsAi2aKtzBc9UkdCnKq/Ql1YL2E1SKh&#10;JPFUrFJglFgvE0L1FS2fEuBFzv8/UfwBAAD//wMAUEsBAi0AFAAGAAgAAAAhALaDOJL+AAAA4QEA&#10;ABMAAAAAAAAAAAAAAAAAAAAAAFtDb250ZW50X1R5cGVzXS54bWxQSwECLQAUAAYACAAAACEAOP0h&#10;/9YAAACUAQAACwAAAAAAAAAAAAAAAAAvAQAAX3JlbHMvLnJlbHNQSwECLQAUAAYACAAAACEAQaMn&#10;S9YBAACRAwAADgAAAAAAAAAAAAAAAAAuAgAAZHJzL2Uyb0RvYy54bWxQSwECLQAUAAYACAAAACEA&#10;wFgBruAAAAAMAQAADwAAAAAAAAAAAAAAAAAwBAAAZHJzL2Rvd25yZXYueG1sUEsFBgAAAAAEAAQA&#10;8wAAAD0FAAAAAA==&#10;" filled="f" stroked="f">
                <v:textbox inset="0,0,0,0">
                  <w:txbxContent>
                    <w:p w14:paraId="37057969" w14:textId="77777777" w:rsidR="00FF6C25" w:rsidRDefault="00FF6C25" w:rsidP="00FF6C25">
                      <w:pPr>
                        <w:spacing w:line="285" w:lineRule="exact"/>
                        <w:rPr>
                          <w:sz w:val="25"/>
                        </w:rPr>
                      </w:pPr>
                    </w:p>
                  </w:txbxContent>
                </v:textbox>
                <w10:wrap anchorx="page" anchory="page"/>
              </v:shape>
            </w:pict>
          </mc:Fallback>
        </mc:AlternateContent>
      </w:r>
      <w:bookmarkStart w:id="32" w:name="_Toc201736722"/>
      <w:r w:rsidR="004C512D" w:rsidRPr="005756EE">
        <w:t xml:space="preserve">Annex </w:t>
      </w:r>
      <w:r w:rsidR="003B1A9B">
        <w:t>A</w:t>
      </w:r>
      <w:r w:rsidR="004C512D" w:rsidRPr="005756EE">
        <w:t>: Record keeping</w:t>
      </w:r>
      <w:bookmarkEnd w:id="32"/>
      <w:r w:rsidR="002A3054">
        <w:t xml:space="preserve"> requirements</w:t>
      </w:r>
      <w:bookmarkEnd w:id="31"/>
    </w:p>
    <w:p w14:paraId="56872AC5" w14:textId="77777777" w:rsidR="004C512D" w:rsidRDefault="004C512D" w:rsidP="004C512D">
      <w:pPr>
        <w:pStyle w:val="NoSpacing"/>
        <w:textboxTightWrap w:val="none"/>
        <w:rPr>
          <w:rFonts w:cs="Arial"/>
        </w:rPr>
      </w:pPr>
      <w:r w:rsidRPr="005756EE">
        <w:rPr>
          <w:rFonts w:cs="Arial"/>
        </w:rPr>
        <w:t>Pharmacy records for the service will be maintained to support the delivery of the service and audit. Pharmacy contractors will need to maintain records of the following for each patient who receives the NMS:</w:t>
      </w:r>
    </w:p>
    <w:p w14:paraId="1A80BA95" w14:textId="77777777" w:rsidR="004C512D" w:rsidRDefault="004C512D" w:rsidP="004C512D">
      <w:pPr>
        <w:pStyle w:val="NoSpacing"/>
        <w:textboxTightWrap w:val="none"/>
        <w:rPr>
          <w:rFonts w:cs="Arial"/>
        </w:rPr>
      </w:pPr>
    </w:p>
    <w:p w14:paraId="5782B900" w14:textId="77777777" w:rsidR="004C512D" w:rsidRPr="00E75265" w:rsidRDefault="004C512D" w:rsidP="004C512D">
      <w:pPr>
        <w:pStyle w:val="NoSpacing"/>
        <w:numPr>
          <w:ilvl w:val="0"/>
          <w:numId w:val="10"/>
        </w:numPr>
        <w:textboxTightWrap w:val="none"/>
        <w:rPr>
          <w:rFonts w:asciiTheme="minorHAnsi" w:hAnsiTheme="minorHAnsi" w:cstheme="minorHAnsi"/>
        </w:rPr>
      </w:pPr>
      <w:r w:rsidRPr="00E75265">
        <w:rPr>
          <w:rFonts w:asciiTheme="minorHAnsi" w:hAnsiTheme="minorHAnsi" w:cstheme="minorHAnsi"/>
        </w:rPr>
        <w:t>date and method of entry to service</w:t>
      </w:r>
    </w:p>
    <w:p w14:paraId="76DC037D" w14:textId="77777777" w:rsidR="00BC198F" w:rsidRPr="00E75265" w:rsidRDefault="00BC198F" w:rsidP="00BC198F">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identified in the pharmacy</w:t>
      </w:r>
    </w:p>
    <w:p w14:paraId="6085EBDE" w14:textId="36C3BD01" w:rsidR="00BC198F"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 xml:space="preserve">patient </w:t>
      </w:r>
      <w:r w:rsidR="00BC198F">
        <w:rPr>
          <w:rFonts w:asciiTheme="minorHAnsi" w:hAnsiTheme="minorHAnsi" w:cstheme="minorHAnsi"/>
        </w:rPr>
        <w:t>signposted</w:t>
      </w:r>
      <w:r w:rsidRPr="00E75265">
        <w:rPr>
          <w:rFonts w:asciiTheme="minorHAnsi" w:hAnsiTheme="minorHAnsi" w:cstheme="minorHAnsi"/>
        </w:rPr>
        <w:t xml:space="preserve"> </w:t>
      </w:r>
      <w:r w:rsidR="00DC78AE">
        <w:rPr>
          <w:rFonts w:asciiTheme="minorHAnsi" w:hAnsiTheme="minorHAnsi" w:cstheme="minorHAnsi"/>
        </w:rPr>
        <w:t xml:space="preserve">by </w:t>
      </w:r>
      <w:r w:rsidRPr="00E75265">
        <w:rPr>
          <w:rFonts w:asciiTheme="minorHAnsi" w:hAnsiTheme="minorHAnsi" w:cstheme="minorHAnsi"/>
        </w:rPr>
        <w:t>GP practice</w:t>
      </w:r>
      <w:r w:rsidR="00BC198F">
        <w:rPr>
          <w:rFonts w:asciiTheme="minorHAnsi" w:hAnsiTheme="minorHAnsi" w:cstheme="minorHAnsi"/>
        </w:rPr>
        <w:t xml:space="preserve"> or</w:t>
      </w:r>
      <w:r w:rsidR="00BC198F" w:rsidRPr="00E75265">
        <w:rPr>
          <w:rFonts w:asciiTheme="minorHAnsi" w:hAnsiTheme="minorHAnsi" w:cstheme="minorHAnsi"/>
        </w:rPr>
        <w:t xml:space="preserve"> other </w:t>
      </w:r>
      <w:r w:rsidR="00BC198F">
        <w:rPr>
          <w:rFonts w:asciiTheme="minorHAnsi" w:hAnsiTheme="minorHAnsi" w:cstheme="minorHAnsi"/>
        </w:rPr>
        <w:t xml:space="preserve">primary care </w:t>
      </w:r>
      <w:r w:rsidR="00BC198F" w:rsidRPr="00E75265">
        <w:rPr>
          <w:rFonts w:asciiTheme="minorHAnsi" w:hAnsiTheme="minorHAnsi" w:cstheme="minorHAnsi"/>
        </w:rPr>
        <w:t>health professional</w:t>
      </w:r>
    </w:p>
    <w:p w14:paraId="6D2B8790" w14:textId="03C3DBAA" w:rsidR="00BC198F" w:rsidRPr="00BC198F" w:rsidRDefault="00BC198F" w:rsidP="00B4656A">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 xml:space="preserve">patient </w:t>
      </w:r>
      <w:r>
        <w:rPr>
          <w:rFonts w:asciiTheme="minorHAnsi" w:hAnsiTheme="minorHAnsi" w:cstheme="minorHAnsi"/>
        </w:rPr>
        <w:t>signposted</w:t>
      </w:r>
      <w:r w:rsidRPr="00E75265">
        <w:rPr>
          <w:rFonts w:asciiTheme="minorHAnsi" w:hAnsiTheme="minorHAnsi" w:cstheme="minorHAnsi"/>
        </w:rPr>
        <w:t xml:space="preserve"> </w:t>
      </w:r>
      <w:r w:rsidR="00DC78AE">
        <w:rPr>
          <w:rFonts w:asciiTheme="minorHAnsi" w:hAnsiTheme="minorHAnsi" w:cstheme="minorHAnsi"/>
        </w:rPr>
        <w:t xml:space="preserve">by </w:t>
      </w:r>
      <w:r>
        <w:rPr>
          <w:rFonts w:asciiTheme="minorHAnsi" w:hAnsiTheme="minorHAnsi" w:cstheme="minorHAnsi"/>
        </w:rPr>
        <w:t>hospital or</w:t>
      </w:r>
      <w:r w:rsidRPr="00E75265">
        <w:rPr>
          <w:rFonts w:asciiTheme="minorHAnsi" w:hAnsiTheme="minorHAnsi" w:cstheme="minorHAnsi"/>
        </w:rPr>
        <w:t xml:space="preserve"> other </w:t>
      </w:r>
      <w:r>
        <w:rPr>
          <w:rFonts w:asciiTheme="minorHAnsi" w:hAnsiTheme="minorHAnsi" w:cstheme="minorHAnsi"/>
        </w:rPr>
        <w:t xml:space="preserve">secondary care </w:t>
      </w:r>
      <w:r w:rsidRPr="00E75265">
        <w:rPr>
          <w:rFonts w:asciiTheme="minorHAnsi" w:hAnsiTheme="minorHAnsi" w:cstheme="minorHAnsi"/>
        </w:rPr>
        <w:t>health professional</w:t>
      </w:r>
    </w:p>
    <w:p w14:paraId="7FE192D9" w14:textId="77777777" w:rsidR="004C512D" w:rsidRPr="00E75265" w:rsidRDefault="004C512D" w:rsidP="004C512D">
      <w:pPr>
        <w:pStyle w:val="NoSpacing"/>
        <w:rPr>
          <w:rFonts w:asciiTheme="minorHAnsi" w:hAnsiTheme="minorHAnsi" w:cstheme="minorHAnsi"/>
        </w:rPr>
      </w:pPr>
    </w:p>
    <w:p w14:paraId="0BCB7F4E" w14:textId="77777777" w:rsidR="004C512D" w:rsidRPr="00E75265" w:rsidRDefault="004C512D" w:rsidP="004C512D">
      <w:pPr>
        <w:pStyle w:val="NoSpacing"/>
        <w:numPr>
          <w:ilvl w:val="0"/>
          <w:numId w:val="10"/>
        </w:numPr>
        <w:textboxTightWrap w:val="none"/>
        <w:rPr>
          <w:rFonts w:asciiTheme="minorHAnsi" w:hAnsiTheme="minorHAnsi" w:cstheme="minorHAnsi"/>
        </w:rPr>
      </w:pPr>
      <w:r w:rsidRPr="00E75265">
        <w:rPr>
          <w:rFonts w:asciiTheme="minorHAnsi" w:hAnsiTheme="minorHAnsi" w:cstheme="minorHAnsi"/>
        </w:rPr>
        <w:t>patient demographic details</w:t>
      </w:r>
    </w:p>
    <w:p w14:paraId="18DF792D"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name</w:t>
      </w:r>
    </w:p>
    <w:p w14:paraId="503882C5"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address</w:t>
      </w:r>
    </w:p>
    <w:p w14:paraId="22FDAE16"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gender</w:t>
      </w:r>
    </w:p>
    <w:p w14:paraId="790C58C2"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date of birth</w:t>
      </w:r>
    </w:p>
    <w:p w14:paraId="69B5F15A"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NHS number (where available)</w:t>
      </w:r>
    </w:p>
    <w:p w14:paraId="03F8F2AD"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ethnicity</w:t>
      </w:r>
    </w:p>
    <w:p w14:paraId="00827652" w14:textId="77777777" w:rsidR="004C512D" w:rsidRPr="00E75265" w:rsidRDefault="004C512D" w:rsidP="004C512D">
      <w:pPr>
        <w:pStyle w:val="NoSpacing"/>
        <w:rPr>
          <w:rFonts w:asciiTheme="minorHAnsi" w:hAnsiTheme="minorHAnsi" w:cstheme="minorHAnsi"/>
        </w:rPr>
      </w:pPr>
    </w:p>
    <w:p w14:paraId="2801E65B" w14:textId="77777777" w:rsidR="004C512D" w:rsidRPr="00E75265" w:rsidRDefault="004C512D" w:rsidP="004C512D">
      <w:pPr>
        <w:pStyle w:val="NoSpacing"/>
        <w:numPr>
          <w:ilvl w:val="0"/>
          <w:numId w:val="10"/>
        </w:numPr>
        <w:textboxTightWrap w:val="none"/>
        <w:rPr>
          <w:rFonts w:asciiTheme="minorHAnsi" w:hAnsiTheme="minorHAnsi" w:cstheme="minorHAnsi"/>
        </w:rPr>
      </w:pPr>
      <w:r w:rsidRPr="00E75265">
        <w:rPr>
          <w:rFonts w:asciiTheme="minorHAnsi" w:hAnsiTheme="minorHAnsi" w:cstheme="minorHAnsi"/>
        </w:rPr>
        <w:t>registered GP practice (if the patient is registered with a GP practice)</w:t>
      </w:r>
    </w:p>
    <w:p w14:paraId="6BEEFE3C" w14:textId="77777777" w:rsidR="004C512D" w:rsidRPr="00E75265" w:rsidRDefault="004C512D" w:rsidP="004C512D">
      <w:pPr>
        <w:pStyle w:val="NoSpacing"/>
        <w:ind w:left="720"/>
        <w:rPr>
          <w:rFonts w:asciiTheme="minorHAnsi" w:hAnsiTheme="minorHAnsi" w:cstheme="minorHAnsi"/>
        </w:rPr>
      </w:pPr>
    </w:p>
    <w:p w14:paraId="4A9C2C95" w14:textId="77777777" w:rsidR="004C512D" w:rsidRPr="00E75265" w:rsidRDefault="004C512D" w:rsidP="004C512D">
      <w:pPr>
        <w:pStyle w:val="NoSpacing"/>
        <w:numPr>
          <w:ilvl w:val="0"/>
          <w:numId w:val="10"/>
        </w:numPr>
        <w:textboxTightWrap w:val="none"/>
        <w:rPr>
          <w:rFonts w:asciiTheme="minorHAnsi" w:hAnsiTheme="minorHAnsi" w:cstheme="minorHAnsi"/>
        </w:rPr>
      </w:pPr>
      <w:r w:rsidRPr="00E75265">
        <w:rPr>
          <w:rFonts w:asciiTheme="minorHAnsi" w:hAnsiTheme="minorHAnsi" w:cstheme="minorHAnsi"/>
        </w:rPr>
        <w:t>name and GPhC registration number of pharmacist conducting NMS</w:t>
      </w:r>
    </w:p>
    <w:p w14:paraId="64673E32" w14:textId="77777777" w:rsidR="004C512D" w:rsidRPr="00E75265" w:rsidRDefault="004C512D" w:rsidP="004C512D">
      <w:pPr>
        <w:pStyle w:val="NoSpacing"/>
        <w:rPr>
          <w:rFonts w:asciiTheme="minorHAnsi" w:hAnsiTheme="minorHAnsi" w:cstheme="minorHAnsi"/>
        </w:rPr>
      </w:pPr>
    </w:p>
    <w:p w14:paraId="67C9FDD8" w14:textId="77777777" w:rsidR="004C512D" w:rsidRPr="00E75265" w:rsidRDefault="004C512D" w:rsidP="004C512D">
      <w:pPr>
        <w:pStyle w:val="NoSpacing"/>
        <w:numPr>
          <w:ilvl w:val="0"/>
          <w:numId w:val="10"/>
        </w:numPr>
        <w:textboxTightWrap w:val="none"/>
        <w:rPr>
          <w:rFonts w:asciiTheme="minorHAnsi" w:hAnsiTheme="minorHAnsi" w:cstheme="minorHAnsi"/>
        </w:rPr>
      </w:pPr>
      <w:r w:rsidRPr="00E75265">
        <w:rPr>
          <w:rFonts w:asciiTheme="minorHAnsi" w:hAnsiTheme="minorHAnsi" w:cstheme="minorHAnsi"/>
        </w:rPr>
        <w:t>condition(s) related to the new medicine</w:t>
      </w:r>
    </w:p>
    <w:p w14:paraId="5467EB61"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 xml:space="preserve">acute coronary syndromes </w:t>
      </w:r>
    </w:p>
    <w:p w14:paraId="31BDCE97"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asthma</w:t>
      </w:r>
    </w:p>
    <w:p w14:paraId="59AB5557"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atrial fibrillation</w:t>
      </w:r>
    </w:p>
    <w:p w14:paraId="1CF5C652"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chronic obstructive pulmonary disease (COPD)</w:t>
      </w:r>
    </w:p>
    <w:p w14:paraId="1BC5F7DB"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coronary heart disease</w:t>
      </w:r>
    </w:p>
    <w:p w14:paraId="14C24BA7"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depression (only those ≥18 years of age)</w:t>
      </w:r>
    </w:p>
    <w:p w14:paraId="7CDCF6E4"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diabetes (Type 2)</w:t>
      </w:r>
    </w:p>
    <w:p w14:paraId="43F895FE"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epilepsy</w:t>
      </w:r>
    </w:p>
    <w:p w14:paraId="329F1335"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glaucoma</w:t>
      </w:r>
    </w:p>
    <w:p w14:paraId="1BB09B3E"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gout</w:t>
      </w:r>
    </w:p>
    <w:p w14:paraId="61405BD5"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heart failure</w:t>
      </w:r>
    </w:p>
    <w:p w14:paraId="7D0FF110"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hypercholesterolaemia</w:t>
      </w:r>
    </w:p>
    <w:p w14:paraId="679FE839"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 xml:space="preserve">hypertension  </w:t>
      </w:r>
    </w:p>
    <w:p w14:paraId="7C9CC4D2"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long term risks of venous thromboembolism/embolism</w:t>
      </w:r>
    </w:p>
    <w:p w14:paraId="25379EA2"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osteoporosis</w:t>
      </w:r>
    </w:p>
    <w:p w14:paraId="61CD6785"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Parkinson’s disease</w:t>
      </w:r>
    </w:p>
    <w:p w14:paraId="20093BC6" w14:textId="77777777"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stroke/transient ischemic attack</w:t>
      </w:r>
    </w:p>
    <w:p w14:paraId="3279C8D1" w14:textId="2A01DC2F" w:rsidR="00531E66" w:rsidRPr="00531E66" w:rsidRDefault="00531E66" w:rsidP="00531E66">
      <w:pPr>
        <w:pStyle w:val="NoSpacing"/>
        <w:numPr>
          <w:ilvl w:val="1"/>
          <w:numId w:val="10"/>
        </w:numPr>
        <w:jc w:val="both"/>
        <w:textboxTightWrap w:val="none"/>
        <w:rPr>
          <w:rFonts w:asciiTheme="minorHAnsi" w:hAnsiTheme="minorHAnsi" w:cstheme="minorHAnsi"/>
        </w:rPr>
      </w:pPr>
      <w:r w:rsidRPr="00531E66">
        <w:rPr>
          <w:rFonts w:asciiTheme="minorHAnsi" w:hAnsiTheme="minorHAnsi" w:cstheme="minorHAnsi"/>
        </w:rPr>
        <w:t>urinary incontinence/retention</w:t>
      </w:r>
    </w:p>
    <w:p w14:paraId="3A17B51F" w14:textId="77777777" w:rsidR="004C512D" w:rsidRPr="00E75265" w:rsidRDefault="004C512D" w:rsidP="004C512D">
      <w:pPr>
        <w:pStyle w:val="NoSpacing"/>
        <w:ind w:left="1440"/>
        <w:jc w:val="both"/>
        <w:rPr>
          <w:rFonts w:asciiTheme="minorHAnsi" w:hAnsiTheme="minorHAnsi" w:cstheme="minorHAnsi"/>
        </w:rPr>
      </w:pPr>
    </w:p>
    <w:p w14:paraId="3A8C353D" w14:textId="77777777" w:rsidR="004C512D" w:rsidRPr="00E75265" w:rsidRDefault="004C512D" w:rsidP="004C512D">
      <w:pPr>
        <w:pStyle w:val="NoSpacing"/>
        <w:numPr>
          <w:ilvl w:val="0"/>
          <w:numId w:val="10"/>
        </w:numPr>
        <w:textboxTightWrap w:val="none"/>
        <w:rPr>
          <w:rFonts w:asciiTheme="minorHAnsi" w:hAnsiTheme="minorHAnsi" w:cstheme="minorHAnsi"/>
        </w:rPr>
      </w:pPr>
      <w:r w:rsidRPr="00E75265">
        <w:rPr>
          <w:rFonts w:asciiTheme="minorHAnsi" w:hAnsiTheme="minorHAnsi" w:cstheme="minorHAnsi"/>
        </w:rPr>
        <w:t>name of new medicine(s)</w:t>
      </w:r>
    </w:p>
    <w:p w14:paraId="2FE329DF" w14:textId="77777777" w:rsidR="004C512D" w:rsidRPr="00E75265" w:rsidRDefault="004C512D" w:rsidP="004C512D">
      <w:pPr>
        <w:pStyle w:val="NoSpacing"/>
        <w:rPr>
          <w:rFonts w:asciiTheme="minorHAnsi" w:hAnsiTheme="minorHAnsi" w:cstheme="minorHAnsi"/>
        </w:rPr>
      </w:pPr>
    </w:p>
    <w:p w14:paraId="38CA1924" w14:textId="77777777" w:rsidR="004C512D" w:rsidRPr="00E75265" w:rsidRDefault="004C512D" w:rsidP="004C512D">
      <w:pPr>
        <w:pStyle w:val="NoSpacing"/>
        <w:numPr>
          <w:ilvl w:val="0"/>
          <w:numId w:val="10"/>
        </w:numPr>
        <w:textboxTightWrap w:val="none"/>
        <w:rPr>
          <w:rFonts w:asciiTheme="minorHAnsi" w:hAnsiTheme="minorHAnsi" w:cstheme="minorHAnsi"/>
        </w:rPr>
      </w:pPr>
      <w:r w:rsidRPr="00E75265">
        <w:rPr>
          <w:rFonts w:asciiTheme="minorHAnsi" w:hAnsiTheme="minorHAnsi" w:cstheme="minorHAnsi"/>
        </w:rPr>
        <w:t xml:space="preserve">date and method of intervention and date and method of follow up </w:t>
      </w:r>
    </w:p>
    <w:p w14:paraId="3C335EB5"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face to face in the pharmacy</w:t>
      </w:r>
    </w:p>
    <w:p w14:paraId="19C51D6C"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face to face in the patient’s home</w:t>
      </w:r>
    </w:p>
    <w:p w14:paraId="3A067FA4"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remotely (via telephone, another live audio link or live video link)</w:t>
      </w:r>
    </w:p>
    <w:p w14:paraId="265B9464" w14:textId="77777777" w:rsidR="004C512D" w:rsidRPr="00E75265" w:rsidRDefault="004C512D" w:rsidP="004C512D">
      <w:pPr>
        <w:pStyle w:val="NoSpacing"/>
        <w:rPr>
          <w:rFonts w:asciiTheme="minorHAnsi" w:hAnsiTheme="minorHAnsi" w:cstheme="minorHAnsi"/>
        </w:rPr>
      </w:pPr>
    </w:p>
    <w:p w14:paraId="225883B1" w14:textId="77777777" w:rsidR="004C512D" w:rsidRPr="00E75265" w:rsidRDefault="004C512D" w:rsidP="004C512D">
      <w:pPr>
        <w:pStyle w:val="NoSpacing"/>
        <w:numPr>
          <w:ilvl w:val="0"/>
          <w:numId w:val="10"/>
        </w:numPr>
        <w:textboxTightWrap w:val="none"/>
        <w:rPr>
          <w:rFonts w:asciiTheme="minorHAnsi" w:hAnsiTheme="minorHAnsi" w:cstheme="minorHAnsi"/>
        </w:rPr>
      </w:pPr>
      <w:r w:rsidRPr="00E75265">
        <w:rPr>
          <w:rFonts w:asciiTheme="minorHAnsi" w:hAnsiTheme="minorHAnsi" w:cstheme="minorHAnsi"/>
        </w:rPr>
        <w:lastRenderedPageBreak/>
        <w:t xml:space="preserve">healthy living advice provided at each stage of the service (i.e. </w:t>
      </w:r>
      <w:r w:rsidRPr="00E75265">
        <w:rPr>
          <w:rFonts w:asciiTheme="minorHAnsi" w:hAnsiTheme="minorHAnsi" w:cstheme="minorHAnsi"/>
          <w:i/>
        </w:rPr>
        <w:t>engagement</w:t>
      </w:r>
      <w:r w:rsidRPr="00E75265">
        <w:rPr>
          <w:rFonts w:asciiTheme="minorHAnsi" w:hAnsiTheme="minorHAnsi" w:cstheme="minorHAnsi"/>
        </w:rPr>
        <w:t xml:space="preserve">, </w:t>
      </w:r>
      <w:r w:rsidRPr="00E75265">
        <w:rPr>
          <w:rFonts w:asciiTheme="minorHAnsi" w:hAnsiTheme="minorHAnsi" w:cstheme="minorHAnsi"/>
          <w:i/>
        </w:rPr>
        <w:t>intervention</w:t>
      </w:r>
      <w:r w:rsidRPr="00E75265">
        <w:rPr>
          <w:rFonts w:asciiTheme="minorHAnsi" w:hAnsiTheme="minorHAnsi" w:cstheme="minorHAnsi"/>
        </w:rPr>
        <w:t xml:space="preserve"> and </w:t>
      </w:r>
      <w:r w:rsidRPr="00E75265">
        <w:rPr>
          <w:rFonts w:asciiTheme="minorHAnsi" w:hAnsiTheme="minorHAnsi" w:cstheme="minorHAnsi"/>
          <w:i/>
        </w:rPr>
        <w:t>follow up</w:t>
      </w:r>
      <w:r w:rsidRPr="00E75265">
        <w:rPr>
          <w:rFonts w:asciiTheme="minorHAnsi" w:hAnsiTheme="minorHAnsi" w:cstheme="minorHAnsi"/>
        </w:rPr>
        <w:t>). This data may be collated using the following standard descriptors:</w:t>
      </w:r>
    </w:p>
    <w:p w14:paraId="38C0DC17"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diet and nutrition</w:t>
      </w:r>
    </w:p>
    <w:p w14:paraId="59C8406F"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smoking</w:t>
      </w:r>
    </w:p>
    <w:p w14:paraId="725CD99B"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physical activity</w:t>
      </w:r>
    </w:p>
    <w:p w14:paraId="6F15161A"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alcohol</w:t>
      </w:r>
    </w:p>
    <w:p w14:paraId="16FDDAF5"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sexual health</w:t>
      </w:r>
    </w:p>
    <w:p w14:paraId="23C5B80E"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weight management</w:t>
      </w:r>
    </w:p>
    <w:p w14:paraId="7332BCC3" w14:textId="77777777" w:rsidR="004C512D" w:rsidRPr="00E75265" w:rsidRDefault="004C512D" w:rsidP="004C512D">
      <w:pPr>
        <w:pStyle w:val="NoSpacing"/>
        <w:rPr>
          <w:rFonts w:asciiTheme="minorHAnsi" w:hAnsiTheme="minorHAnsi" w:cstheme="minorHAnsi"/>
        </w:rPr>
      </w:pPr>
    </w:p>
    <w:p w14:paraId="7C807035" w14:textId="77777777" w:rsidR="004C512D" w:rsidRPr="00E75265" w:rsidRDefault="004C512D" w:rsidP="004C512D">
      <w:pPr>
        <w:pStyle w:val="NoSpacing"/>
        <w:numPr>
          <w:ilvl w:val="0"/>
          <w:numId w:val="10"/>
        </w:numPr>
        <w:textboxTightWrap w:val="none"/>
        <w:rPr>
          <w:rFonts w:asciiTheme="minorHAnsi" w:hAnsiTheme="minorHAnsi" w:cstheme="minorHAnsi"/>
        </w:rPr>
      </w:pPr>
      <w:r w:rsidRPr="00E75265">
        <w:rPr>
          <w:rFonts w:asciiTheme="minorHAnsi" w:hAnsiTheme="minorHAnsi" w:cstheme="minorHAnsi"/>
        </w:rPr>
        <w:t xml:space="preserve">where appropriate, reason why a patient does not take part in the </w:t>
      </w:r>
      <w:r w:rsidRPr="00E75265">
        <w:rPr>
          <w:rFonts w:asciiTheme="minorHAnsi" w:hAnsiTheme="minorHAnsi" w:cstheme="minorHAnsi"/>
          <w:i/>
        </w:rPr>
        <w:t>intervention</w:t>
      </w:r>
      <w:r w:rsidRPr="00E75265">
        <w:rPr>
          <w:rFonts w:asciiTheme="minorHAnsi" w:hAnsiTheme="minorHAnsi" w:cstheme="minorHAnsi"/>
        </w:rPr>
        <w:t xml:space="preserve"> phase of the service:</w:t>
      </w:r>
    </w:p>
    <w:p w14:paraId="665DACB2"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prescriber has stopped new medicine</w:t>
      </w:r>
    </w:p>
    <w:p w14:paraId="32B703DA"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has withdrawn consent for information sharing</w:t>
      </w:r>
    </w:p>
    <w:p w14:paraId="321B9E35"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has withdrawn consent to receive the service</w:t>
      </w:r>
    </w:p>
    <w:p w14:paraId="68913330"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could not be contacted</w:t>
      </w:r>
    </w:p>
    <w:p w14:paraId="2565B3C5"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other</w:t>
      </w:r>
    </w:p>
    <w:p w14:paraId="49AE65A8" w14:textId="77777777" w:rsidR="004C512D" w:rsidRPr="00E75265" w:rsidRDefault="004C512D" w:rsidP="004C512D">
      <w:pPr>
        <w:pStyle w:val="NoSpacing"/>
        <w:rPr>
          <w:rFonts w:asciiTheme="minorHAnsi" w:hAnsiTheme="minorHAnsi" w:cstheme="minorHAnsi"/>
        </w:rPr>
      </w:pPr>
    </w:p>
    <w:p w14:paraId="427EB6BF" w14:textId="77777777" w:rsidR="004C512D" w:rsidRPr="00E75265" w:rsidRDefault="004C512D" w:rsidP="004C512D">
      <w:pPr>
        <w:pStyle w:val="NoSpacing"/>
        <w:numPr>
          <w:ilvl w:val="0"/>
          <w:numId w:val="10"/>
        </w:numPr>
        <w:textboxTightWrap w:val="none"/>
        <w:rPr>
          <w:rFonts w:asciiTheme="minorHAnsi" w:hAnsiTheme="minorHAnsi" w:cstheme="minorHAnsi"/>
        </w:rPr>
      </w:pPr>
      <w:r w:rsidRPr="00E75265">
        <w:rPr>
          <w:rFonts w:asciiTheme="minorHAnsi" w:hAnsiTheme="minorHAnsi" w:cstheme="minorHAnsi"/>
        </w:rPr>
        <w:t xml:space="preserve">matters identified during the discussion with the patient at the </w:t>
      </w:r>
      <w:r w:rsidRPr="00E75265">
        <w:rPr>
          <w:rFonts w:asciiTheme="minorHAnsi" w:hAnsiTheme="minorHAnsi" w:cstheme="minorHAnsi"/>
          <w:i/>
        </w:rPr>
        <w:t>intervention</w:t>
      </w:r>
      <w:r w:rsidRPr="00E75265">
        <w:rPr>
          <w:rFonts w:asciiTheme="minorHAnsi" w:hAnsiTheme="minorHAnsi" w:cstheme="minorHAnsi"/>
        </w:rPr>
        <w:t>. This data should be captured using the following standard descriptors:</w:t>
      </w:r>
    </w:p>
    <w:p w14:paraId="123599A0"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reports using the medicine as prescribed</w:t>
      </w:r>
    </w:p>
    <w:p w14:paraId="2D53599B"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reports not using the medicine as prescribed</w:t>
      </w:r>
    </w:p>
    <w:p w14:paraId="71A157E9"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patient has not started using the medicine</w:t>
      </w:r>
    </w:p>
    <w:p w14:paraId="55B68638"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prescriber has stopped new medicine</w:t>
      </w:r>
    </w:p>
    <w:p w14:paraId="564806DB"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 xml:space="preserve">patient is not using the medicine in line with the directions of the prescriber </w:t>
      </w:r>
    </w:p>
    <w:p w14:paraId="243BEAB5"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patient reports missing a dose in the past 7 days</w:t>
      </w:r>
    </w:p>
    <w:p w14:paraId="29A7F1DB"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reports need for more information about the medicine (information needs will be addressed by the pharmacist and this will be captured in the data set out below)</w:t>
      </w:r>
    </w:p>
    <w:p w14:paraId="2AF618B4"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reports side effects</w:t>
      </w:r>
    </w:p>
    <w:p w14:paraId="3E1E896F"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reports negative feelings about the medicine (the pharmacist should provide further details about this using a free text box)</w:t>
      </w:r>
    </w:p>
    <w:p w14:paraId="348B2B36"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reports uncertainty on whether the medicine is working</w:t>
      </w:r>
    </w:p>
    <w:p w14:paraId="5A057FD2"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reports concern about remembering to take the medicine</w:t>
      </w:r>
    </w:p>
    <w:p w14:paraId="200586E3"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reports difficulty using the medicine due to its pharmaceutical form / formulation</w:t>
      </w:r>
    </w:p>
    <w:p w14:paraId="0F148603"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other - free text option</w:t>
      </w:r>
    </w:p>
    <w:p w14:paraId="2165E8E0" w14:textId="77777777" w:rsidR="004C512D" w:rsidRPr="002A3054" w:rsidRDefault="004C512D" w:rsidP="004C512D">
      <w:pPr>
        <w:pStyle w:val="NoSpacing"/>
        <w:rPr>
          <w:rFonts w:asciiTheme="minorHAnsi" w:hAnsiTheme="minorHAnsi" w:cstheme="minorHAnsi"/>
          <w:i/>
          <w:iCs/>
          <w:sz w:val="18"/>
          <w:szCs w:val="18"/>
        </w:rPr>
      </w:pPr>
      <w:r w:rsidRPr="00126665">
        <w:rPr>
          <w:rFonts w:asciiTheme="minorHAnsi" w:hAnsiTheme="minorHAnsi" w:cstheme="minorHAnsi"/>
          <w:i/>
          <w:iCs/>
          <w:sz w:val="22"/>
          <w:szCs w:val="22"/>
        </w:rPr>
        <w:t>If the NMS relates to more than one medicine for an individual patient, this data should be captured for each medicine.</w:t>
      </w:r>
    </w:p>
    <w:p w14:paraId="5DA38D4C" w14:textId="77777777" w:rsidR="004C512D" w:rsidRPr="00E75265" w:rsidRDefault="004C512D" w:rsidP="004C512D">
      <w:pPr>
        <w:pStyle w:val="NoSpacing"/>
        <w:rPr>
          <w:rFonts w:asciiTheme="minorHAnsi" w:hAnsiTheme="minorHAnsi" w:cstheme="minorHAnsi"/>
        </w:rPr>
      </w:pPr>
    </w:p>
    <w:p w14:paraId="66709817" w14:textId="77777777" w:rsidR="004C512D" w:rsidRPr="00E75265" w:rsidRDefault="004C512D" w:rsidP="004C512D">
      <w:pPr>
        <w:pStyle w:val="NoSpacing"/>
        <w:numPr>
          <w:ilvl w:val="0"/>
          <w:numId w:val="10"/>
        </w:numPr>
        <w:textboxTightWrap w:val="none"/>
        <w:rPr>
          <w:rFonts w:asciiTheme="minorHAnsi" w:hAnsiTheme="minorHAnsi" w:cstheme="minorHAnsi"/>
        </w:rPr>
      </w:pPr>
      <w:r w:rsidRPr="00E75265">
        <w:rPr>
          <w:rFonts w:asciiTheme="minorHAnsi" w:hAnsiTheme="minorHAnsi" w:cstheme="minorHAnsi"/>
        </w:rPr>
        <w:t xml:space="preserve">outcome of the discussion with the patient at the </w:t>
      </w:r>
      <w:r w:rsidRPr="00E75265">
        <w:rPr>
          <w:rFonts w:asciiTheme="minorHAnsi" w:hAnsiTheme="minorHAnsi" w:cstheme="minorHAnsi"/>
          <w:i/>
        </w:rPr>
        <w:t>intervention</w:t>
      </w:r>
      <w:r w:rsidRPr="00E75265">
        <w:rPr>
          <w:rFonts w:asciiTheme="minorHAnsi" w:hAnsiTheme="minorHAnsi" w:cstheme="minorHAnsi"/>
        </w:rPr>
        <w:t>. This data should be captured using the following standard descriptors:</w:t>
      </w:r>
    </w:p>
    <w:p w14:paraId="08879163"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action taken / to be taken by pharmacist:</w:t>
      </w:r>
    </w:p>
    <w:p w14:paraId="53E12D13"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information provided – interactions with other medicines</w:t>
      </w:r>
    </w:p>
    <w:p w14:paraId="008B0EE4"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information provided – why am I using the medicine / what is it for</w:t>
      </w:r>
    </w:p>
    <w:p w14:paraId="71C70443"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information provided – how to use the medicine</w:t>
      </w:r>
    </w:p>
    <w:p w14:paraId="7AFB6A76"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information provided – correct dose of the medicine</w:t>
      </w:r>
    </w:p>
    <w:p w14:paraId="1A301A72"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information provided – effects of the medicine on the body / how it works</w:t>
      </w:r>
    </w:p>
    <w:p w14:paraId="42733858"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information provided – why should I take the medicine</w:t>
      </w:r>
    </w:p>
    <w:p w14:paraId="594552E5"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information provided – timing of the dose</w:t>
      </w:r>
    </w:p>
    <w:p w14:paraId="538A0D9B"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lastRenderedPageBreak/>
        <w:t>information provided – interpretation of side effect information</w:t>
      </w:r>
    </w:p>
    <w:p w14:paraId="7238DB28"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advice provided – reminder strategies to support use of medicine</w:t>
      </w:r>
    </w:p>
    <w:p w14:paraId="0A3C844C"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advice provided – change to timing of doses to support adherence</w:t>
      </w:r>
    </w:p>
    <w:p w14:paraId="4EAC0757"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advice provided – how to manage or minimise side effects</w:t>
      </w:r>
    </w:p>
    <w:p w14:paraId="38A26322"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Yellow Card report submitted to MHRA if required</w:t>
      </w:r>
    </w:p>
    <w:p w14:paraId="48C1D09D"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reminder chart / MAR chart provided</w:t>
      </w:r>
    </w:p>
    <w:p w14:paraId="4E6CF8E4"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referral – patient’s issues raised with the new medicine need to be considered by the prescriber. The reason(s) for the referral should be captured using the following standard descriptors:</w:t>
      </w:r>
    </w:p>
    <w:p w14:paraId="45952535"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drug interaction(s)</w:t>
      </w:r>
    </w:p>
    <w:p w14:paraId="05C14F0E"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potential side effect(s) / adverse drug reaction preventing use of medicine</w:t>
      </w:r>
    </w:p>
    <w:p w14:paraId="640275AB"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patient reports not using medicine any more</w:t>
      </w:r>
    </w:p>
    <w:p w14:paraId="4D691A0E"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patient reports never having started using medicine</w:t>
      </w:r>
    </w:p>
    <w:p w14:paraId="54196B5E"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patient reports difficulty using the medicine</w:t>
      </w:r>
    </w:p>
    <w:p w14:paraId="6E38DEA5" w14:textId="77777777" w:rsidR="004C512D" w:rsidRPr="00E75265" w:rsidRDefault="004C512D" w:rsidP="004C512D">
      <w:pPr>
        <w:pStyle w:val="NoSpacing"/>
        <w:numPr>
          <w:ilvl w:val="4"/>
          <w:numId w:val="10"/>
        </w:numPr>
        <w:textboxTightWrap w:val="none"/>
        <w:rPr>
          <w:rFonts w:asciiTheme="minorHAnsi" w:hAnsiTheme="minorHAnsi" w:cstheme="minorHAnsi"/>
        </w:rPr>
      </w:pPr>
      <w:r w:rsidRPr="00E75265">
        <w:rPr>
          <w:rFonts w:asciiTheme="minorHAnsi" w:hAnsiTheme="minorHAnsi" w:cstheme="minorHAnsi"/>
        </w:rPr>
        <w:t>issue with device</w:t>
      </w:r>
    </w:p>
    <w:p w14:paraId="16C2568E" w14:textId="77777777" w:rsidR="004C512D" w:rsidRPr="00E75265" w:rsidRDefault="004C512D" w:rsidP="004C512D">
      <w:pPr>
        <w:pStyle w:val="NoSpacing"/>
        <w:numPr>
          <w:ilvl w:val="4"/>
          <w:numId w:val="10"/>
        </w:numPr>
        <w:textboxTightWrap w:val="none"/>
        <w:rPr>
          <w:rFonts w:asciiTheme="minorHAnsi" w:hAnsiTheme="minorHAnsi" w:cstheme="minorHAnsi"/>
        </w:rPr>
      </w:pPr>
      <w:r w:rsidRPr="00E75265">
        <w:rPr>
          <w:rFonts w:asciiTheme="minorHAnsi" w:hAnsiTheme="minorHAnsi" w:cstheme="minorHAnsi"/>
        </w:rPr>
        <w:t>issue with formulation</w:t>
      </w:r>
    </w:p>
    <w:p w14:paraId="387F4DBE"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patient reports lack of efficacy</w:t>
      </w:r>
    </w:p>
    <w:p w14:paraId="06D648CB"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patient reports problem with dosage regimen</w:t>
      </w:r>
    </w:p>
    <w:p w14:paraId="65B35442"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patient reports unresolved concern about the use of the medicine</w:t>
      </w:r>
    </w:p>
    <w:p w14:paraId="2BB450E1"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other – free text option</w:t>
      </w:r>
    </w:p>
    <w:p w14:paraId="3F8F869A"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other action – free text option</w:t>
      </w:r>
    </w:p>
    <w:p w14:paraId="002BAB00"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action for patient to take:</w:t>
      </w:r>
    </w:p>
    <w:p w14:paraId="264BC571"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carry on using medicine as prescribed</w:t>
      </w:r>
    </w:p>
    <w:p w14:paraId="43E23A7F"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 xml:space="preserve">use medicine as agreed during the </w:t>
      </w:r>
      <w:r w:rsidRPr="00E75265">
        <w:rPr>
          <w:rFonts w:asciiTheme="minorHAnsi" w:hAnsiTheme="minorHAnsi" w:cstheme="minorHAnsi"/>
          <w:i/>
        </w:rPr>
        <w:t>intervention</w:t>
      </w:r>
    </w:p>
    <w:p w14:paraId="58EAF613"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submit Yellow Card report to MHRA</w:t>
      </w:r>
    </w:p>
    <w:p w14:paraId="48EF0BDF"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other action – free text option</w:t>
      </w:r>
    </w:p>
    <w:p w14:paraId="15A7431B" w14:textId="77777777" w:rsidR="004C512D" w:rsidRPr="00126665" w:rsidRDefault="004C512D" w:rsidP="004C512D">
      <w:pPr>
        <w:pStyle w:val="NoSpacing"/>
        <w:rPr>
          <w:rFonts w:asciiTheme="minorHAnsi" w:hAnsiTheme="minorHAnsi" w:cstheme="minorHAnsi"/>
          <w:i/>
          <w:iCs/>
          <w:sz w:val="22"/>
          <w:szCs w:val="22"/>
        </w:rPr>
      </w:pPr>
      <w:r w:rsidRPr="00126665">
        <w:rPr>
          <w:rFonts w:asciiTheme="minorHAnsi" w:hAnsiTheme="minorHAnsi" w:cstheme="minorHAnsi"/>
          <w:i/>
          <w:iCs/>
          <w:sz w:val="22"/>
          <w:szCs w:val="22"/>
        </w:rPr>
        <w:t>If the NMS relates to more than one medicine for an individual patient, this data should be captured for each medicine.</w:t>
      </w:r>
    </w:p>
    <w:p w14:paraId="4CC61529" w14:textId="77777777" w:rsidR="004C512D" w:rsidRPr="00E75265" w:rsidRDefault="004C512D" w:rsidP="004C512D">
      <w:pPr>
        <w:pStyle w:val="NoSpacing"/>
        <w:rPr>
          <w:rFonts w:asciiTheme="minorHAnsi" w:hAnsiTheme="minorHAnsi" w:cstheme="minorHAnsi"/>
        </w:rPr>
      </w:pPr>
    </w:p>
    <w:p w14:paraId="6626A221" w14:textId="77777777" w:rsidR="004C512D" w:rsidRPr="00E75265" w:rsidRDefault="004C512D" w:rsidP="004C512D">
      <w:pPr>
        <w:pStyle w:val="NoSpacing"/>
        <w:numPr>
          <w:ilvl w:val="0"/>
          <w:numId w:val="10"/>
        </w:numPr>
        <w:textboxTightWrap w:val="none"/>
        <w:rPr>
          <w:rFonts w:asciiTheme="minorHAnsi" w:hAnsiTheme="minorHAnsi" w:cstheme="minorHAnsi"/>
        </w:rPr>
      </w:pPr>
      <w:r w:rsidRPr="00E75265">
        <w:rPr>
          <w:rFonts w:asciiTheme="minorHAnsi" w:hAnsiTheme="minorHAnsi" w:cstheme="minorHAnsi"/>
        </w:rPr>
        <w:t xml:space="preserve">where appropriate, reason why a patient does not take part in the </w:t>
      </w:r>
      <w:r w:rsidRPr="00E75265">
        <w:rPr>
          <w:rFonts w:asciiTheme="minorHAnsi" w:hAnsiTheme="minorHAnsi" w:cstheme="minorHAnsi"/>
          <w:i/>
        </w:rPr>
        <w:t>follow up</w:t>
      </w:r>
      <w:r w:rsidRPr="00E75265">
        <w:rPr>
          <w:rFonts w:asciiTheme="minorHAnsi" w:hAnsiTheme="minorHAnsi" w:cstheme="minorHAnsi"/>
        </w:rPr>
        <w:t xml:space="preserve"> phase of the service:</w:t>
      </w:r>
    </w:p>
    <w:p w14:paraId="7326BCD4"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prescriber has stopped new medicine</w:t>
      </w:r>
    </w:p>
    <w:p w14:paraId="3026FFFC"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has withdrawn consent for information sharing</w:t>
      </w:r>
    </w:p>
    <w:p w14:paraId="633740D5"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 xml:space="preserve">patient has withdrawn consent to receive the service </w:t>
      </w:r>
    </w:p>
    <w:p w14:paraId="59BF26DC"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could not be contacted</w:t>
      </w:r>
    </w:p>
    <w:p w14:paraId="39F1B6C0"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other</w:t>
      </w:r>
    </w:p>
    <w:p w14:paraId="08FCC0BD" w14:textId="77777777" w:rsidR="004C512D" w:rsidRPr="00E75265" w:rsidRDefault="004C512D" w:rsidP="004C512D">
      <w:pPr>
        <w:pStyle w:val="NoSpacing"/>
        <w:rPr>
          <w:rFonts w:asciiTheme="minorHAnsi" w:hAnsiTheme="minorHAnsi" w:cstheme="minorHAnsi"/>
        </w:rPr>
      </w:pPr>
    </w:p>
    <w:p w14:paraId="637AD618" w14:textId="77777777" w:rsidR="004C512D" w:rsidRPr="00E75265" w:rsidRDefault="004C512D" w:rsidP="004C512D">
      <w:pPr>
        <w:pStyle w:val="NoSpacing"/>
        <w:numPr>
          <w:ilvl w:val="0"/>
          <w:numId w:val="10"/>
        </w:numPr>
        <w:textboxTightWrap w:val="none"/>
        <w:rPr>
          <w:rFonts w:asciiTheme="minorHAnsi" w:hAnsiTheme="minorHAnsi" w:cstheme="minorHAnsi"/>
        </w:rPr>
      </w:pPr>
      <w:r w:rsidRPr="00E75265">
        <w:rPr>
          <w:rFonts w:asciiTheme="minorHAnsi" w:hAnsiTheme="minorHAnsi" w:cstheme="minorHAnsi"/>
        </w:rPr>
        <w:t xml:space="preserve">matters identified during the discussion with the patient at the </w:t>
      </w:r>
      <w:r w:rsidRPr="00E75265">
        <w:rPr>
          <w:rFonts w:asciiTheme="minorHAnsi" w:hAnsiTheme="minorHAnsi" w:cstheme="minorHAnsi"/>
          <w:i/>
        </w:rPr>
        <w:t>follow up</w:t>
      </w:r>
      <w:r w:rsidRPr="00E75265">
        <w:rPr>
          <w:rFonts w:asciiTheme="minorHAnsi" w:hAnsiTheme="minorHAnsi" w:cstheme="minorHAnsi"/>
        </w:rPr>
        <w:t>. This data should be captured using the following standard descriptors:</w:t>
      </w:r>
    </w:p>
    <w:p w14:paraId="7A7442D6"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reports using the medicine as prescribed</w:t>
      </w:r>
    </w:p>
    <w:p w14:paraId="59351010"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reports not using the medicine as prescribed</w:t>
      </w:r>
    </w:p>
    <w:p w14:paraId="63B62D9F"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patient has not started using the medicine</w:t>
      </w:r>
    </w:p>
    <w:p w14:paraId="5F01179C"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prescriber has stopped new medicine</w:t>
      </w:r>
    </w:p>
    <w:p w14:paraId="47F39643"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patient is not using the medicine in line with the directions of the prescriber</w:t>
      </w:r>
    </w:p>
    <w:p w14:paraId="66D852F7"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patient reports missing a dose in the past 7 days</w:t>
      </w:r>
    </w:p>
    <w:p w14:paraId="13F3CAA4"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reports need for more information about the medicine (information needs will be addressed by the pharmacist and this will be captured in the data set out below)</w:t>
      </w:r>
    </w:p>
    <w:p w14:paraId="0AB1A131"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reports side effects</w:t>
      </w:r>
    </w:p>
    <w:p w14:paraId="5B817D56"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lastRenderedPageBreak/>
        <w:t>patient reports negative feelings about the medicine (the pharmacist should provide further details about this using a free text box)</w:t>
      </w:r>
    </w:p>
    <w:p w14:paraId="11B23059"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reports uncertainty on whether the medicine is working</w:t>
      </w:r>
    </w:p>
    <w:p w14:paraId="7BF59394"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reports concern about remembering to take the medicine</w:t>
      </w:r>
    </w:p>
    <w:p w14:paraId="172B9F63"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patient reports difficulty using the medicine due to its pharmaceutical form / formulation</w:t>
      </w:r>
    </w:p>
    <w:p w14:paraId="7F8E4DF0"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other - free text option</w:t>
      </w:r>
    </w:p>
    <w:p w14:paraId="1150DA24" w14:textId="77777777" w:rsidR="004C512D" w:rsidRPr="00126665" w:rsidRDefault="004C512D" w:rsidP="004C512D">
      <w:pPr>
        <w:pStyle w:val="NoSpacing"/>
        <w:rPr>
          <w:rFonts w:asciiTheme="minorHAnsi" w:hAnsiTheme="minorHAnsi" w:cstheme="minorHAnsi"/>
          <w:i/>
          <w:iCs/>
          <w:sz w:val="22"/>
          <w:szCs w:val="22"/>
        </w:rPr>
      </w:pPr>
      <w:r w:rsidRPr="00126665">
        <w:rPr>
          <w:rFonts w:asciiTheme="minorHAnsi" w:hAnsiTheme="minorHAnsi" w:cstheme="minorHAnsi"/>
          <w:i/>
          <w:iCs/>
          <w:sz w:val="22"/>
          <w:szCs w:val="22"/>
        </w:rPr>
        <w:t>If the NMS relates to more than one medicine for an individual patient, this data should be captured for each medicine.</w:t>
      </w:r>
    </w:p>
    <w:p w14:paraId="65CD448F" w14:textId="77777777" w:rsidR="004C512D" w:rsidRPr="00E75265" w:rsidRDefault="004C512D" w:rsidP="004C512D">
      <w:pPr>
        <w:pStyle w:val="NoSpacing"/>
        <w:rPr>
          <w:rFonts w:asciiTheme="minorHAnsi" w:hAnsiTheme="minorHAnsi" w:cstheme="minorHAnsi"/>
        </w:rPr>
      </w:pPr>
    </w:p>
    <w:p w14:paraId="0ECC059B" w14:textId="77777777" w:rsidR="004C512D" w:rsidRPr="00E75265" w:rsidRDefault="004C512D" w:rsidP="004C512D">
      <w:pPr>
        <w:pStyle w:val="NoSpacing"/>
        <w:numPr>
          <w:ilvl w:val="0"/>
          <w:numId w:val="10"/>
        </w:numPr>
        <w:textboxTightWrap w:val="none"/>
        <w:rPr>
          <w:rFonts w:asciiTheme="minorHAnsi" w:hAnsiTheme="minorHAnsi" w:cstheme="minorHAnsi"/>
        </w:rPr>
      </w:pPr>
      <w:r w:rsidRPr="00E75265">
        <w:rPr>
          <w:rFonts w:asciiTheme="minorHAnsi" w:hAnsiTheme="minorHAnsi" w:cstheme="minorHAnsi"/>
        </w:rPr>
        <w:t xml:space="preserve">outcome of the discussion with the patient at the </w:t>
      </w:r>
      <w:r w:rsidRPr="00E75265">
        <w:rPr>
          <w:rFonts w:asciiTheme="minorHAnsi" w:hAnsiTheme="minorHAnsi" w:cstheme="minorHAnsi"/>
          <w:i/>
        </w:rPr>
        <w:t>follow up</w:t>
      </w:r>
      <w:r w:rsidRPr="00E75265">
        <w:rPr>
          <w:rFonts w:asciiTheme="minorHAnsi" w:hAnsiTheme="minorHAnsi" w:cstheme="minorHAnsi"/>
        </w:rPr>
        <w:t>. This data should be captured using the following standard descriptors:</w:t>
      </w:r>
    </w:p>
    <w:p w14:paraId="43FFD51D"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action taken / to be taken by pharmacist:</w:t>
      </w:r>
    </w:p>
    <w:p w14:paraId="489F9027"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information provided – interactions with other medicines</w:t>
      </w:r>
    </w:p>
    <w:p w14:paraId="2C6A011C"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information provided – why am I using the medicine / what is it for</w:t>
      </w:r>
    </w:p>
    <w:p w14:paraId="79B959F2"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information provided – how to use the medicine</w:t>
      </w:r>
    </w:p>
    <w:p w14:paraId="56BCA3C1"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information provided – correct dose of the medicine</w:t>
      </w:r>
    </w:p>
    <w:p w14:paraId="1DE31349"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information provided – effects of the medicine on the body / how it works</w:t>
      </w:r>
    </w:p>
    <w:p w14:paraId="2B6787C6"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information provided – why should I take the medicine</w:t>
      </w:r>
    </w:p>
    <w:p w14:paraId="3DD08FDF"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information provided – timing of the dose</w:t>
      </w:r>
    </w:p>
    <w:p w14:paraId="052C28CB"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information provided – interpretation of side effect information</w:t>
      </w:r>
    </w:p>
    <w:p w14:paraId="0A25B1DE"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advice provided – reminder strategies to support use of medicine</w:t>
      </w:r>
    </w:p>
    <w:p w14:paraId="63253503"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advice provided – change to timing of doses to support adherence</w:t>
      </w:r>
    </w:p>
    <w:p w14:paraId="256FAA1B"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advice provided – how to manage or minimise side effects</w:t>
      </w:r>
    </w:p>
    <w:p w14:paraId="47DD8482"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Yellow Card report submitted to MHRA</w:t>
      </w:r>
    </w:p>
    <w:p w14:paraId="183139A2"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reminder chart / MAR chart provided</w:t>
      </w:r>
    </w:p>
    <w:p w14:paraId="337CBD7D"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referral – patient’s issues raised with the new medicine need to be considered by the prescriber. The reason(s) for the referral should be captured using the following standard descriptors:</w:t>
      </w:r>
    </w:p>
    <w:p w14:paraId="537E42BE"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drug interaction(s)</w:t>
      </w:r>
    </w:p>
    <w:p w14:paraId="2DD3672A"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potential side effect(s) / adverse drug reaction preventing use of medicine</w:t>
      </w:r>
    </w:p>
    <w:p w14:paraId="22297E91"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patient reports not using medicine any more</w:t>
      </w:r>
    </w:p>
    <w:p w14:paraId="2CE93F05"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patient reports never having started using medicine</w:t>
      </w:r>
    </w:p>
    <w:p w14:paraId="0B235B17"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patient reports difficulty using the medicine</w:t>
      </w:r>
    </w:p>
    <w:p w14:paraId="666A44A4" w14:textId="77777777" w:rsidR="004C512D" w:rsidRPr="00E75265" w:rsidRDefault="004C512D" w:rsidP="004C512D">
      <w:pPr>
        <w:pStyle w:val="NoSpacing"/>
        <w:numPr>
          <w:ilvl w:val="4"/>
          <w:numId w:val="10"/>
        </w:numPr>
        <w:textboxTightWrap w:val="none"/>
        <w:rPr>
          <w:rFonts w:asciiTheme="minorHAnsi" w:hAnsiTheme="minorHAnsi" w:cstheme="minorHAnsi"/>
        </w:rPr>
      </w:pPr>
      <w:r w:rsidRPr="00E75265">
        <w:rPr>
          <w:rFonts w:asciiTheme="minorHAnsi" w:hAnsiTheme="minorHAnsi" w:cstheme="minorHAnsi"/>
        </w:rPr>
        <w:t>issue with device</w:t>
      </w:r>
    </w:p>
    <w:p w14:paraId="15D825C4" w14:textId="77777777" w:rsidR="004C512D" w:rsidRPr="00E75265" w:rsidRDefault="004C512D" w:rsidP="004C512D">
      <w:pPr>
        <w:pStyle w:val="NoSpacing"/>
        <w:numPr>
          <w:ilvl w:val="4"/>
          <w:numId w:val="10"/>
        </w:numPr>
        <w:textboxTightWrap w:val="none"/>
        <w:rPr>
          <w:rFonts w:asciiTheme="minorHAnsi" w:hAnsiTheme="minorHAnsi" w:cstheme="minorHAnsi"/>
        </w:rPr>
      </w:pPr>
      <w:r w:rsidRPr="00E75265">
        <w:rPr>
          <w:rFonts w:asciiTheme="minorHAnsi" w:hAnsiTheme="minorHAnsi" w:cstheme="minorHAnsi"/>
        </w:rPr>
        <w:t>issue with formulation</w:t>
      </w:r>
    </w:p>
    <w:p w14:paraId="202D900B"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patient reports lack of efficacy</w:t>
      </w:r>
    </w:p>
    <w:p w14:paraId="0EFBC68C"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patient reports problem with dosage regimen</w:t>
      </w:r>
    </w:p>
    <w:p w14:paraId="6BFCA673"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patient reports unresolved concern about the use of the medicine</w:t>
      </w:r>
    </w:p>
    <w:p w14:paraId="568A6F74" w14:textId="77777777" w:rsidR="004C512D" w:rsidRPr="00E75265" w:rsidRDefault="004C512D" w:rsidP="004C512D">
      <w:pPr>
        <w:pStyle w:val="NoSpacing"/>
        <w:numPr>
          <w:ilvl w:val="3"/>
          <w:numId w:val="10"/>
        </w:numPr>
        <w:textboxTightWrap w:val="none"/>
        <w:rPr>
          <w:rFonts w:asciiTheme="minorHAnsi" w:hAnsiTheme="minorHAnsi" w:cstheme="minorHAnsi"/>
        </w:rPr>
      </w:pPr>
      <w:r w:rsidRPr="00E75265">
        <w:rPr>
          <w:rFonts w:asciiTheme="minorHAnsi" w:hAnsiTheme="minorHAnsi" w:cstheme="minorHAnsi"/>
        </w:rPr>
        <w:t>other – free text option</w:t>
      </w:r>
    </w:p>
    <w:p w14:paraId="17E2A1B7"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other action – free text option</w:t>
      </w:r>
    </w:p>
    <w:p w14:paraId="6C62A486" w14:textId="77777777" w:rsidR="004C512D" w:rsidRPr="00E75265" w:rsidRDefault="004C512D" w:rsidP="004C512D">
      <w:pPr>
        <w:pStyle w:val="NoSpacing"/>
        <w:numPr>
          <w:ilvl w:val="1"/>
          <w:numId w:val="10"/>
        </w:numPr>
        <w:textboxTightWrap w:val="none"/>
        <w:rPr>
          <w:rFonts w:asciiTheme="minorHAnsi" w:hAnsiTheme="minorHAnsi" w:cstheme="minorHAnsi"/>
        </w:rPr>
      </w:pPr>
      <w:r w:rsidRPr="00E75265">
        <w:rPr>
          <w:rFonts w:asciiTheme="minorHAnsi" w:hAnsiTheme="minorHAnsi" w:cstheme="minorHAnsi"/>
        </w:rPr>
        <w:t>action for patient to take:</w:t>
      </w:r>
    </w:p>
    <w:p w14:paraId="1F4E879E"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carry on using medicine as prescribed</w:t>
      </w:r>
    </w:p>
    <w:p w14:paraId="22B57145"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 xml:space="preserve">use medicine as agreed during the </w:t>
      </w:r>
      <w:r w:rsidRPr="00E75265">
        <w:rPr>
          <w:rFonts w:asciiTheme="minorHAnsi" w:hAnsiTheme="minorHAnsi" w:cstheme="minorHAnsi"/>
          <w:i/>
        </w:rPr>
        <w:t>follow up</w:t>
      </w:r>
    </w:p>
    <w:p w14:paraId="25C738BD"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submit Yellow Card report to MHRA</w:t>
      </w:r>
    </w:p>
    <w:p w14:paraId="66D867E0" w14:textId="77777777" w:rsidR="004C512D" w:rsidRPr="00E75265" w:rsidRDefault="004C512D" w:rsidP="004C512D">
      <w:pPr>
        <w:pStyle w:val="NoSpacing"/>
        <w:numPr>
          <w:ilvl w:val="2"/>
          <w:numId w:val="10"/>
        </w:numPr>
        <w:textboxTightWrap w:val="none"/>
        <w:rPr>
          <w:rFonts w:asciiTheme="minorHAnsi" w:hAnsiTheme="minorHAnsi" w:cstheme="minorHAnsi"/>
        </w:rPr>
      </w:pPr>
      <w:r w:rsidRPr="00E75265">
        <w:rPr>
          <w:rFonts w:asciiTheme="minorHAnsi" w:hAnsiTheme="minorHAnsi" w:cstheme="minorHAnsi"/>
        </w:rPr>
        <w:t>other action – free text option</w:t>
      </w:r>
    </w:p>
    <w:p w14:paraId="1715E594" w14:textId="77777777" w:rsidR="004C512D" w:rsidRPr="00126665" w:rsidRDefault="004C512D" w:rsidP="004C512D">
      <w:pPr>
        <w:pStyle w:val="NoSpacing"/>
        <w:rPr>
          <w:rFonts w:asciiTheme="minorHAnsi" w:hAnsiTheme="minorHAnsi" w:cstheme="minorHAnsi"/>
          <w:i/>
          <w:iCs/>
          <w:sz w:val="22"/>
          <w:szCs w:val="22"/>
        </w:rPr>
      </w:pPr>
      <w:r w:rsidRPr="00126665">
        <w:rPr>
          <w:rFonts w:asciiTheme="minorHAnsi" w:hAnsiTheme="minorHAnsi" w:cstheme="minorHAnsi"/>
          <w:i/>
          <w:iCs/>
          <w:sz w:val="22"/>
          <w:szCs w:val="22"/>
        </w:rPr>
        <w:t>If the NMS relates to more than one medicine for an individual patient, this data should be captured for each medicine.</w:t>
      </w:r>
    </w:p>
    <w:p w14:paraId="7248AF40" w14:textId="77777777" w:rsidR="00D021B0" w:rsidRDefault="00D021B0" w:rsidP="00E07DBB"/>
    <w:p w14:paraId="321C5EE0" w14:textId="648F49D2" w:rsidR="003B1A9B" w:rsidRPr="00A64F08" w:rsidRDefault="003B1A9B" w:rsidP="003B1A9B">
      <w:pPr>
        <w:pStyle w:val="Heading2"/>
      </w:pPr>
      <w:bookmarkStart w:id="33" w:name="_Toc205207922"/>
      <w:r w:rsidRPr="00A64F08">
        <w:lastRenderedPageBreak/>
        <w:t xml:space="preserve">Annex </w:t>
      </w:r>
      <w:r>
        <w:t>B</w:t>
      </w:r>
      <w:r w:rsidRPr="00A64F08">
        <w:t xml:space="preserve">: </w:t>
      </w:r>
      <w:r>
        <w:t>NHSBSA API d</w:t>
      </w:r>
      <w:r w:rsidRPr="00A64F08">
        <w:t>ataset for monitoring</w:t>
      </w:r>
      <w:r>
        <w:t xml:space="preserve"> and </w:t>
      </w:r>
      <w:r w:rsidRPr="00A64F08">
        <w:t>evaluation</w:t>
      </w:r>
      <w:bookmarkEnd w:id="33"/>
    </w:p>
    <w:p w14:paraId="05707711" w14:textId="30F6F1CF" w:rsidR="003B1A9B" w:rsidRPr="000A44E7" w:rsidRDefault="003B1A9B" w:rsidP="003B1A9B">
      <w:r w:rsidRPr="000A44E7">
        <w:t xml:space="preserve">Where an IT </w:t>
      </w:r>
      <w:r w:rsidRPr="00551428">
        <w:t xml:space="preserve">system </w:t>
      </w:r>
      <w:r w:rsidR="00B57D51" w:rsidRPr="0050697C">
        <w:t>which integrates with the NHSBSA API is used</w:t>
      </w:r>
      <w:r w:rsidRPr="00551428">
        <w:t>, data</w:t>
      </w:r>
      <w:r w:rsidRPr="000A44E7">
        <w:t xml:space="preserve"> will be collected automatically via an application programming interface (API) for this service. For each service provision, the dataset outlined below will be reported for monitoring and evaluation purposes:</w:t>
      </w:r>
    </w:p>
    <w:p w14:paraId="469489C9" w14:textId="77777777" w:rsidR="003B1A9B" w:rsidRPr="00A6189B" w:rsidRDefault="003B1A9B" w:rsidP="003B1A9B">
      <w:pPr>
        <w:pStyle w:val="ListParagraphBullet"/>
        <w:rPr>
          <w:sz w:val="24"/>
          <w:szCs w:val="24"/>
        </w:rPr>
      </w:pPr>
      <w:r w:rsidRPr="00A6189B">
        <w:rPr>
          <w:sz w:val="24"/>
          <w:szCs w:val="24"/>
        </w:rPr>
        <w:t>System ID</w:t>
      </w:r>
    </w:p>
    <w:p w14:paraId="4B76D037" w14:textId="77777777" w:rsidR="003B1A9B" w:rsidRPr="00A6189B" w:rsidRDefault="003B1A9B" w:rsidP="003B1A9B">
      <w:pPr>
        <w:pStyle w:val="ListParagraphBullet"/>
        <w:rPr>
          <w:sz w:val="24"/>
          <w:szCs w:val="24"/>
        </w:rPr>
      </w:pPr>
      <w:r w:rsidRPr="00A6189B">
        <w:rPr>
          <w:sz w:val="24"/>
          <w:szCs w:val="24"/>
        </w:rPr>
        <w:t>NHS number</w:t>
      </w:r>
    </w:p>
    <w:p w14:paraId="281EB2E9" w14:textId="77777777" w:rsidR="003B1A9B" w:rsidRPr="00A6189B" w:rsidRDefault="003B1A9B" w:rsidP="003B1A9B">
      <w:pPr>
        <w:pStyle w:val="ListParagraphBullet"/>
        <w:rPr>
          <w:sz w:val="24"/>
          <w:szCs w:val="24"/>
        </w:rPr>
      </w:pPr>
      <w:r w:rsidRPr="00A6189B">
        <w:rPr>
          <w:sz w:val="24"/>
          <w:szCs w:val="24"/>
        </w:rPr>
        <w:t>GP practice identifier</w:t>
      </w:r>
    </w:p>
    <w:p w14:paraId="3CC261D2" w14:textId="77777777" w:rsidR="003B1A9B" w:rsidRPr="00A6189B" w:rsidRDefault="003B1A9B" w:rsidP="003B1A9B">
      <w:pPr>
        <w:pStyle w:val="ListParagraphBullet"/>
        <w:rPr>
          <w:sz w:val="24"/>
          <w:szCs w:val="24"/>
        </w:rPr>
      </w:pPr>
      <w:r w:rsidRPr="00A6189B">
        <w:rPr>
          <w:sz w:val="24"/>
          <w:szCs w:val="24"/>
        </w:rPr>
        <w:t xml:space="preserve">Referral date </w:t>
      </w:r>
    </w:p>
    <w:p w14:paraId="082F9294" w14:textId="77777777" w:rsidR="003B1A9B" w:rsidRPr="00A6189B" w:rsidRDefault="003B1A9B" w:rsidP="003B1A9B">
      <w:pPr>
        <w:pStyle w:val="ListParagraphBullet"/>
        <w:rPr>
          <w:sz w:val="24"/>
          <w:szCs w:val="24"/>
        </w:rPr>
      </w:pPr>
      <w:r w:rsidRPr="00A6189B">
        <w:rPr>
          <w:sz w:val="24"/>
          <w:szCs w:val="24"/>
        </w:rPr>
        <w:t>Referrer details</w:t>
      </w:r>
    </w:p>
    <w:p w14:paraId="2416F0B7" w14:textId="77777777" w:rsidR="003B1A9B" w:rsidRPr="00A6189B" w:rsidRDefault="003B1A9B" w:rsidP="003B1A9B">
      <w:pPr>
        <w:pStyle w:val="ListParagraphBullet"/>
        <w:rPr>
          <w:sz w:val="24"/>
          <w:szCs w:val="24"/>
        </w:rPr>
      </w:pPr>
      <w:r w:rsidRPr="00A6189B">
        <w:rPr>
          <w:sz w:val="24"/>
          <w:szCs w:val="24"/>
        </w:rPr>
        <w:t xml:space="preserve">Referrer organisation </w:t>
      </w:r>
    </w:p>
    <w:p w14:paraId="1F1D51C2" w14:textId="77777777" w:rsidR="003B1A9B" w:rsidRPr="00A6189B" w:rsidRDefault="003B1A9B" w:rsidP="003B1A9B">
      <w:pPr>
        <w:pStyle w:val="ListParagraphBullet"/>
        <w:rPr>
          <w:sz w:val="24"/>
          <w:szCs w:val="24"/>
        </w:rPr>
      </w:pPr>
      <w:r w:rsidRPr="00A6189B">
        <w:rPr>
          <w:sz w:val="24"/>
          <w:szCs w:val="24"/>
        </w:rPr>
        <w:t>Organisation identifier</w:t>
      </w:r>
    </w:p>
    <w:p w14:paraId="42D63892" w14:textId="77777777" w:rsidR="003B1A9B" w:rsidRPr="00A6189B" w:rsidRDefault="003B1A9B" w:rsidP="003B1A9B">
      <w:pPr>
        <w:pStyle w:val="ListParagraphBullet"/>
        <w:rPr>
          <w:sz w:val="24"/>
          <w:szCs w:val="24"/>
        </w:rPr>
      </w:pPr>
      <w:r w:rsidRPr="00A6189B">
        <w:rPr>
          <w:sz w:val="24"/>
          <w:szCs w:val="24"/>
        </w:rPr>
        <w:t xml:space="preserve">Date </w:t>
      </w:r>
    </w:p>
    <w:p w14:paraId="2F45229D" w14:textId="77777777" w:rsidR="003B1A9B" w:rsidRPr="00A6189B" w:rsidRDefault="003B1A9B" w:rsidP="003B1A9B">
      <w:pPr>
        <w:pStyle w:val="ListParagraphBullet"/>
        <w:rPr>
          <w:sz w:val="24"/>
          <w:szCs w:val="24"/>
        </w:rPr>
      </w:pPr>
      <w:r w:rsidRPr="00A6189B">
        <w:rPr>
          <w:sz w:val="24"/>
          <w:szCs w:val="24"/>
        </w:rPr>
        <w:t>Service (i.e. stage of the NMS delivered)</w:t>
      </w:r>
    </w:p>
    <w:p w14:paraId="0A4DB841" w14:textId="77777777" w:rsidR="003B1A9B" w:rsidRPr="00A6189B" w:rsidRDefault="003B1A9B" w:rsidP="003B1A9B">
      <w:pPr>
        <w:pStyle w:val="ListParagraphBullet"/>
        <w:rPr>
          <w:sz w:val="24"/>
          <w:szCs w:val="24"/>
        </w:rPr>
      </w:pPr>
      <w:r w:rsidRPr="00A6189B">
        <w:rPr>
          <w:sz w:val="24"/>
          <w:szCs w:val="24"/>
        </w:rPr>
        <w:t>Professional role</w:t>
      </w:r>
    </w:p>
    <w:p w14:paraId="62A25992" w14:textId="77777777" w:rsidR="003B1A9B" w:rsidRPr="00A6189B" w:rsidRDefault="003B1A9B" w:rsidP="003B1A9B">
      <w:pPr>
        <w:pStyle w:val="ListParagraphBullet"/>
        <w:rPr>
          <w:sz w:val="24"/>
          <w:szCs w:val="24"/>
        </w:rPr>
      </w:pPr>
      <w:r w:rsidRPr="00A6189B">
        <w:rPr>
          <w:sz w:val="24"/>
          <w:szCs w:val="24"/>
        </w:rPr>
        <w:t>Reason for non-provision of service</w:t>
      </w:r>
    </w:p>
    <w:p w14:paraId="09532C94" w14:textId="77777777" w:rsidR="003B1A9B" w:rsidRPr="00A6189B" w:rsidRDefault="003B1A9B" w:rsidP="003B1A9B">
      <w:pPr>
        <w:pStyle w:val="ListParagraphBullet"/>
        <w:rPr>
          <w:sz w:val="24"/>
          <w:szCs w:val="24"/>
        </w:rPr>
      </w:pPr>
      <w:r w:rsidRPr="00A6189B">
        <w:rPr>
          <w:sz w:val="24"/>
          <w:szCs w:val="24"/>
        </w:rPr>
        <w:t xml:space="preserve">Consultation method (e.g. face-to-face in pharmacy, telephone etc.) </w:t>
      </w:r>
    </w:p>
    <w:p w14:paraId="56E1EAE1" w14:textId="77777777" w:rsidR="003B1A9B" w:rsidRPr="00A6189B" w:rsidRDefault="003B1A9B" w:rsidP="003B1A9B">
      <w:pPr>
        <w:pStyle w:val="ListParagraphBullet"/>
        <w:rPr>
          <w:sz w:val="24"/>
          <w:szCs w:val="24"/>
        </w:rPr>
      </w:pPr>
      <w:r w:rsidRPr="00A6189B">
        <w:rPr>
          <w:sz w:val="24"/>
          <w:szCs w:val="24"/>
        </w:rPr>
        <w:t>Prescription date</w:t>
      </w:r>
    </w:p>
    <w:p w14:paraId="33FC8DA9" w14:textId="77777777" w:rsidR="003B1A9B" w:rsidRPr="00A6189B" w:rsidRDefault="003B1A9B" w:rsidP="003B1A9B">
      <w:pPr>
        <w:pStyle w:val="ListParagraphBullet"/>
        <w:rPr>
          <w:sz w:val="24"/>
          <w:szCs w:val="24"/>
        </w:rPr>
      </w:pPr>
      <w:r w:rsidRPr="00A6189B">
        <w:rPr>
          <w:sz w:val="24"/>
          <w:szCs w:val="24"/>
        </w:rPr>
        <w:t>Medication name</w:t>
      </w:r>
    </w:p>
    <w:p w14:paraId="7AD350A7" w14:textId="77777777" w:rsidR="003B1A9B" w:rsidRPr="00A6189B" w:rsidRDefault="003B1A9B" w:rsidP="003B1A9B">
      <w:pPr>
        <w:pStyle w:val="ListParagraphBullet"/>
        <w:rPr>
          <w:sz w:val="24"/>
          <w:szCs w:val="24"/>
        </w:rPr>
      </w:pPr>
      <w:r w:rsidRPr="00A6189B">
        <w:rPr>
          <w:sz w:val="24"/>
          <w:szCs w:val="24"/>
        </w:rPr>
        <w:t>Condition</w:t>
      </w:r>
    </w:p>
    <w:p w14:paraId="17CA02B8" w14:textId="77777777" w:rsidR="003B1A9B" w:rsidRPr="00A6189B" w:rsidRDefault="003B1A9B" w:rsidP="003B1A9B">
      <w:pPr>
        <w:pStyle w:val="ListParagraphBullet"/>
        <w:rPr>
          <w:sz w:val="24"/>
          <w:szCs w:val="24"/>
        </w:rPr>
      </w:pPr>
      <w:r w:rsidRPr="00A6189B">
        <w:rPr>
          <w:sz w:val="24"/>
          <w:szCs w:val="24"/>
        </w:rPr>
        <w:t xml:space="preserve">Matters identified during discussion </w:t>
      </w:r>
    </w:p>
    <w:p w14:paraId="3BD6FD9F" w14:textId="77777777" w:rsidR="003B1A9B" w:rsidRPr="00A6189B" w:rsidRDefault="003B1A9B" w:rsidP="003B1A9B">
      <w:pPr>
        <w:pStyle w:val="ListParagraphBullet"/>
        <w:rPr>
          <w:sz w:val="24"/>
          <w:szCs w:val="24"/>
        </w:rPr>
      </w:pPr>
      <w:r w:rsidRPr="00A6189B">
        <w:rPr>
          <w:sz w:val="24"/>
          <w:szCs w:val="24"/>
        </w:rPr>
        <w:t xml:space="preserve">Not using medicine as prescribed </w:t>
      </w:r>
    </w:p>
    <w:p w14:paraId="41CCA01E" w14:textId="77777777" w:rsidR="003B1A9B" w:rsidRPr="00A6189B" w:rsidRDefault="003B1A9B" w:rsidP="003B1A9B">
      <w:pPr>
        <w:pStyle w:val="ListParagraphBullet"/>
        <w:rPr>
          <w:sz w:val="24"/>
          <w:szCs w:val="24"/>
        </w:rPr>
      </w:pPr>
      <w:r w:rsidRPr="00A6189B">
        <w:rPr>
          <w:sz w:val="24"/>
          <w:szCs w:val="24"/>
        </w:rPr>
        <w:t>Consultation outcome</w:t>
      </w:r>
    </w:p>
    <w:p w14:paraId="62277331" w14:textId="77777777" w:rsidR="003B1A9B" w:rsidRPr="00A6189B" w:rsidRDefault="003B1A9B" w:rsidP="003B1A9B">
      <w:pPr>
        <w:pStyle w:val="ListParagraphBullet"/>
        <w:rPr>
          <w:sz w:val="24"/>
          <w:szCs w:val="24"/>
        </w:rPr>
      </w:pPr>
      <w:r w:rsidRPr="00A6189B">
        <w:rPr>
          <w:sz w:val="24"/>
          <w:szCs w:val="24"/>
        </w:rPr>
        <w:t>Reason for onward referral</w:t>
      </w:r>
    </w:p>
    <w:p w14:paraId="1E7B05E8" w14:textId="77777777" w:rsidR="003B1A9B" w:rsidRPr="00A6189B" w:rsidRDefault="003B1A9B" w:rsidP="003B1A9B">
      <w:pPr>
        <w:pStyle w:val="ListParagraphBullet"/>
        <w:rPr>
          <w:sz w:val="24"/>
          <w:szCs w:val="24"/>
        </w:rPr>
      </w:pPr>
      <w:r w:rsidRPr="00A6189B">
        <w:rPr>
          <w:sz w:val="24"/>
          <w:szCs w:val="24"/>
        </w:rPr>
        <w:t>Referral to (i.e. details of where patient has been signposted to)</w:t>
      </w:r>
    </w:p>
    <w:p w14:paraId="709E465B" w14:textId="77777777" w:rsidR="003B1A9B" w:rsidRPr="00A6189B" w:rsidRDefault="003B1A9B" w:rsidP="003B1A9B">
      <w:pPr>
        <w:pStyle w:val="ListParagraphBullet"/>
        <w:rPr>
          <w:sz w:val="24"/>
          <w:szCs w:val="24"/>
        </w:rPr>
      </w:pPr>
      <w:r w:rsidRPr="00A6189B">
        <w:rPr>
          <w:sz w:val="24"/>
          <w:szCs w:val="24"/>
        </w:rPr>
        <w:t>Receiving organisation identifier</w:t>
      </w:r>
    </w:p>
    <w:p w14:paraId="02FE104A" w14:textId="77777777" w:rsidR="003B1A9B" w:rsidRPr="00A6189B" w:rsidRDefault="003B1A9B" w:rsidP="003B1A9B">
      <w:pPr>
        <w:pStyle w:val="ListParagraphBullet"/>
        <w:rPr>
          <w:sz w:val="24"/>
          <w:szCs w:val="24"/>
        </w:rPr>
      </w:pPr>
      <w:r w:rsidRPr="00A6189B">
        <w:rPr>
          <w:sz w:val="24"/>
          <w:szCs w:val="24"/>
        </w:rPr>
        <w:t>Onward referral date</w:t>
      </w:r>
    </w:p>
    <w:p w14:paraId="67C3AAD7" w14:textId="77777777" w:rsidR="003B1A9B" w:rsidRDefault="003B1A9B" w:rsidP="003B1A9B">
      <w:pPr>
        <w:pStyle w:val="TOC1"/>
      </w:pPr>
    </w:p>
    <w:p w14:paraId="45E99B00" w14:textId="77777777" w:rsidR="003B1A9B" w:rsidRDefault="003B1A9B" w:rsidP="00E07DBB"/>
    <w:sectPr w:rsidR="003B1A9B" w:rsidSect="00651042">
      <w:headerReference w:type="first" r:id="rId25"/>
      <w:footerReference w:type="first" r:id="rId26"/>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68C57" w14:textId="77777777" w:rsidR="003A4710" w:rsidRDefault="003A4710" w:rsidP="000C24AF">
      <w:pPr>
        <w:spacing w:after="0"/>
      </w:pPr>
      <w:r>
        <w:separator/>
      </w:r>
    </w:p>
  </w:endnote>
  <w:endnote w:type="continuationSeparator" w:id="0">
    <w:p w14:paraId="5C501535" w14:textId="77777777" w:rsidR="003A4710" w:rsidRDefault="003A4710" w:rsidP="000C24AF">
      <w:pPr>
        <w:spacing w:after="0"/>
      </w:pPr>
      <w:r>
        <w:continuationSeparator/>
      </w:r>
    </w:p>
  </w:endnote>
  <w:endnote w:type="continuationNotice" w:id="1">
    <w:p w14:paraId="4E6F1763" w14:textId="77777777" w:rsidR="003A4710" w:rsidRDefault="003A4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2F70" w14:textId="77777777" w:rsidR="00603A2C" w:rsidRDefault="00603A2C" w:rsidP="00603A2C">
    <w:pPr>
      <w:pStyle w:val="Footer"/>
      <w:pBdr>
        <w:top w:val="single" w:sz="4" w:space="1" w:color="005EB8"/>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2DBD5F85" w14:textId="77777777" w:rsidR="008A3E2F" w:rsidRDefault="008A3E2F" w:rsidP="008A3E2F">
        <w:pPr>
          <w:pStyle w:val="Footer"/>
          <w:pBdr>
            <w:top w:val="single" w:sz="4" w:space="1" w:color="005EB8"/>
          </w:pBdr>
        </w:pPr>
      </w:p>
      <w:p w14:paraId="55062A1C" w14:textId="77777777" w:rsidR="00B72132" w:rsidRPr="008A3E2F" w:rsidRDefault="008A3E2F" w:rsidP="008A3E2F">
        <w:pPr>
          <w:pStyle w:val="Footer"/>
        </w:pPr>
        <w:r w:rsidRPr="00AC35F8">
          <w:rPr>
            <w:sz w:val="24"/>
          </w:rPr>
          <w:t>© NHS England 202</w:t>
        </w:r>
        <w:r w:rsidR="00E661AF">
          <w:rPr>
            <w:sz w:val="24"/>
          </w:rPr>
          <w:t>5</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68537"/>
      <w:docPartObj>
        <w:docPartGallery w:val="Page Numbers (Bottom of Page)"/>
        <w:docPartUnique/>
      </w:docPartObj>
    </w:sdtPr>
    <w:sdtEndPr/>
    <w:sdtContent>
      <w:p w14:paraId="26E9F8B0" w14:textId="25AD0BAC" w:rsidR="003C4C03" w:rsidRDefault="003C4C03">
        <w:pPr>
          <w:pStyle w:val="Footer"/>
          <w:jc w:val="right"/>
        </w:pPr>
        <w:r>
          <w:fldChar w:fldCharType="begin"/>
        </w:r>
        <w:r>
          <w:instrText>PAGE   \* MERGEFORMAT</w:instrText>
        </w:r>
        <w:r>
          <w:fldChar w:fldCharType="separate"/>
        </w:r>
        <w:r>
          <w:t>2</w:t>
        </w:r>
        <w:r>
          <w:fldChar w:fldCharType="end"/>
        </w:r>
      </w:p>
    </w:sdtContent>
  </w:sdt>
  <w:p w14:paraId="0D85C9F7" w14:textId="77777777" w:rsidR="00FF6C25" w:rsidRDefault="00FF6C25">
    <w:pPr>
      <w:pStyle w:val="BodyText"/>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EndPr/>
    <w:sdtContent>
      <w:p w14:paraId="29E86980" w14:textId="77777777" w:rsidR="00603A2C" w:rsidRDefault="00603A2C" w:rsidP="00603A2C">
        <w:pPr>
          <w:pStyle w:val="Footer"/>
          <w:pBdr>
            <w:top w:val="single" w:sz="4" w:space="1" w:color="005EB8"/>
          </w:pBdr>
        </w:pPr>
      </w:p>
      <w:p w14:paraId="54240C4B"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1D5BC" w14:textId="77777777" w:rsidR="003A4710" w:rsidRDefault="003A4710" w:rsidP="000C24AF">
      <w:pPr>
        <w:spacing w:after="0"/>
      </w:pPr>
      <w:r>
        <w:separator/>
      </w:r>
    </w:p>
  </w:footnote>
  <w:footnote w:type="continuationSeparator" w:id="0">
    <w:p w14:paraId="1B4CD497" w14:textId="77777777" w:rsidR="003A4710" w:rsidRDefault="003A4710" w:rsidP="000C24AF">
      <w:pPr>
        <w:spacing w:after="0"/>
      </w:pPr>
      <w:r>
        <w:continuationSeparator/>
      </w:r>
    </w:p>
  </w:footnote>
  <w:footnote w:type="continuationNotice" w:id="1">
    <w:p w14:paraId="0D9E941E" w14:textId="77777777" w:rsidR="003A4710" w:rsidRDefault="003A4710">
      <w:pPr>
        <w:spacing w:after="0" w:line="240" w:lineRule="auto"/>
      </w:pPr>
    </w:p>
  </w:footnote>
  <w:footnote w:id="2">
    <w:p w14:paraId="522A9BA4" w14:textId="42E7DA62" w:rsidR="002D162C" w:rsidRDefault="002D162C" w:rsidP="00333BF8">
      <w:pPr>
        <w:pStyle w:val="FootnoteText"/>
      </w:pPr>
      <w:r>
        <w:rPr>
          <w:rStyle w:val="FootnoteReference"/>
        </w:rPr>
        <w:footnoteRef/>
      </w:r>
      <w:r>
        <w:t xml:space="preserve"> </w:t>
      </w:r>
      <w:r w:rsidRPr="002D162C">
        <w:t>Elliott R, Boyd M, Salema Nde, et al (2011) Supporting adherence for people starting a new medication for a long-term condition through community pharmacies: a pragmatic randomised controlled trial of the New Medicine Service. (</w:t>
      </w:r>
      <w:hyperlink r:id="rId1" w:history="1">
        <w:r w:rsidR="00167E94" w:rsidRPr="00D537B3">
          <w:rPr>
            <w:rStyle w:val="Hyperlink"/>
            <w:rFonts w:ascii="Arial" w:hAnsi="Arial"/>
          </w:rPr>
          <w:t>https://www.nottingham.ac.uk/~pazmjb/nms/</w:t>
        </w:r>
      </w:hyperlink>
      <w:r w:rsidRPr="002D162C">
        <w:t>)</w:t>
      </w:r>
    </w:p>
  </w:footnote>
  <w:footnote w:id="3">
    <w:p w14:paraId="2AAAA385" w14:textId="49BFD97E" w:rsidR="00B119FB" w:rsidRPr="00B119FB" w:rsidRDefault="00B119FB" w:rsidP="00B119FB">
      <w:pPr>
        <w:pStyle w:val="FootnoteText"/>
      </w:pPr>
      <w:r>
        <w:rPr>
          <w:rStyle w:val="FootnoteReference"/>
        </w:rPr>
        <w:footnoteRef/>
      </w:r>
      <w:r>
        <w:t xml:space="preserve"> </w:t>
      </w:r>
      <w:r w:rsidRPr="00B119FB">
        <w:t>Elliott, R.A., Tanajewski, L., Gkountouras, G. </w:t>
      </w:r>
      <w:r w:rsidRPr="00B119FB">
        <w:rPr>
          <w:i/>
          <w:iCs/>
        </w:rPr>
        <w:t>et al.</w:t>
      </w:r>
      <w:r w:rsidRPr="00B119FB">
        <w:t> Cost Effectiveness of Support for People Starting a New Medication for a Long-Term Condition Through Community Pharmacies: An Economic Evaluation of the New Medicine Service (NMS) Compared with Normal Practice. </w:t>
      </w:r>
      <w:r w:rsidRPr="00B119FB">
        <w:rPr>
          <w:i/>
          <w:iCs/>
        </w:rPr>
        <w:t>PharmacoEconomics</w:t>
      </w:r>
      <w:r w:rsidRPr="00B119FB">
        <w:t> </w:t>
      </w:r>
      <w:r w:rsidRPr="00B119FB">
        <w:rPr>
          <w:b/>
          <w:bCs/>
        </w:rPr>
        <w:t>35, </w:t>
      </w:r>
      <w:r w:rsidRPr="00B119FB">
        <w:t xml:space="preserve">1237–1255 (2017). </w:t>
      </w:r>
      <w:hyperlink r:id="rId2" w:history="1">
        <w:r w:rsidRPr="00B119FB">
          <w:rPr>
            <w:rStyle w:val="Hyperlink"/>
            <w:rFonts w:ascii="Arial" w:hAnsi="Arial"/>
          </w:rPr>
          <w:t>https://doi.org/10.1007/s40273-017-0554-9</w:t>
        </w:r>
      </w:hyperlink>
    </w:p>
    <w:p w14:paraId="5DFB89E9" w14:textId="6F50018D" w:rsidR="00B119FB" w:rsidRDefault="00B119FB">
      <w:pPr>
        <w:pStyle w:val="FootnoteText"/>
      </w:pPr>
    </w:p>
  </w:footnote>
  <w:footnote w:id="4">
    <w:p w14:paraId="40CAA84B" w14:textId="131A9486" w:rsidR="005519F2" w:rsidRDefault="005519F2">
      <w:pPr>
        <w:pStyle w:val="FootnoteText"/>
      </w:pPr>
      <w:r>
        <w:rPr>
          <w:rStyle w:val="FootnoteReference"/>
        </w:rPr>
        <w:footnoteRef/>
      </w:r>
      <w:r>
        <w:t xml:space="preserve"> </w:t>
      </w:r>
      <w:r w:rsidRPr="00B367DD">
        <w:t xml:space="preserve">The form can be downloaded from </w:t>
      </w:r>
      <w:hyperlink r:id="rId3" w:history="1">
        <w:r w:rsidR="00034029">
          <w:rPr>
            <w:rStyle w:val="Hyperlink"/>
            <w:rFonts w:ascii="Arial" w:hAnsi="Arial"/>
          </w:rPr>
          <w:t>cpe.org.uk/nms</w:t>
        </w:r>
      </w:hyperlink>
    </w:p>
  </w:footnote>
  <w:footnote w:id="5">
    <w:p w14:paraId="0F243AB8" w14:textId="794E5454" w:rsidR="008E0233" w:rsidRDefault="008E0233">
      <w:pPr>
        <w:pStyle w:val="FootnoteText"/>
      </w:pPr>
      <w:r>
        <w:rPr>
          <w:rStyle w:val="FootnoteReference"/>
        </w:rPr>
        <w:footnoteRef/>
      </w:r>
      <w:r>
        <w:t xml:space="preserve"> A </w:t>
      </w:r>
      <w:r w:rsidRPr="00497599">
        <w:t xml:space="preserve">group </w:t>
      </w:r>
      <w:r>
        <w:t xml:space="preserve">is defined here as </w:t>
      </w:r>
      <w:r w:rsidRPr="00497599">
        <w:t>a parent undertaking and its subsidiary undertakings as defined in the Companies Act 2006</w:t>
      </w:r>
    </w:p>
  </w:footnote>
  <w:footnote w:id="6">
    <w:p w14:paraId="48689D36" w14:textId="31776A8A" w:rsidR="00D4189F" w:rsidRPr="00B367DD" w:rsidRDefault="00D4189F" w:rsidP="00D4189F">
      <w:pPr>
        <w:pStyle w:val="FootnoteText"/>
      </w:pPr>
      <w:r w:rsidRPr="00B367DD">
        <w:rPr>
          <w:rStyle w:val="FootnoteReference"/>
        </w:rPr>
        <w:footnoteRef/>
      </w:r>
      <w:r w:rsidRPr="00B367DD">
        <w:t xml:space="preserve"> The form can be downloaded from </w:t>
      </w:r>
      <w:hyperlink r:id="rId4" w:history="1">
        <w:r w:rsidR="00034029" w:rsidRPr="00666C10">
          <w:rPr>
            <w:rStyle w:val="Hyperlink"/>
            <w:rFonts w:ascii="Arial" w:hAnsi="Arial"/>
          </w:rPr>
          <w:t>cpe.org.uk/nms</w:t>
        </w:r>
      </w:hyperlink>
    </w:p>
  </w:footnote>
  <w:footnote w:id="7">
    <w:p w14:paraId="2D33425C" w14:textId="77777777" w:rsidR="00E56E49" w:rsidRPr="00F10190" w:rsidRDefault="00E56E49" w:rsidP="00E56E49">
      <w:pPr>
        <w:pStyle w:val="FootnoteText"/>
        <w:ind w:left="142" w:hanging="142"/>
        <w:rPr>
          <w:sz w:val="16"/>
          <w:szCs w:val="16"/>
        </w:rPr>
      </w:pPr>
      <w:r w:rsidRPr="00F10190">
        <w:rPr>
          <w:rStyle w:val="FootnoteReference"/>
          <w:sz w:val="16"/>
          <w:szCs w:val="16"/>
        </w:rPr>
        <w:footnoteRef/>
      </w:r>
      <w:r w:rsidRPr="00F10190">
        <w:rPr>
          <w:sz w:val="16"/>
          <w:szCs w:val="16"/>
        </w:rPr>
        <w:t xml:space="preserve"> </w:t>
      </w:r>
      <w:r w:rsidRPr="003310BD">
        <w:t xml:space="preserve">If more than one medicine covered by the service is prescribed at the same time, that instance of the service will cover all those medicines.  </w:t>
      </w:r>
    </w:p>
  </w:footnote>
  <w:footnote w:id="8">
    <w:p w14:paraId="5B72D881" w14:textId="0553A070" w:rsidR="00CE2545" w:rsidRPr="00083041" w:rsidRDefault="00CE2545">
      <w:pPr>
        <w:pStyle w:val="FootnoteText"/>
      </w:pPr>
      <w:r w:rsidRPr="00083041">
        <w:rPr>
          <w:rStyle w:val="FootnoteReference"/>
        </w:rPr>
        <w:footnoteRef/>
      </w:r>
      <w:r w:rsidRPr="00083041">
        <w:t xml:space="preserve"> </w:t>
      </w:r>
      <w:r w:rsidR="00083041" w:rsidRPr="00083041">
        <w:t xml:space="preserve">The form can be downloaded from </w:t>
      </w:r>
      <w:hyperlink r:id="rId5" w:history="1">
        <w:r w:rsidR="00034029">
          <w:rPr>
            <w:rStyle w:val="Hyperlink"/>
            <w:rFonts w:ascii="Arial" w:hAnsi="Arial"/>
          </w:rPr>
          <w:t>cpe.org.uk/nms</w:t>
        </w:r>
      </w:hyperlink>
    </w:p>
  </w:footnote>
  <w:footnote w:id="9">
    <w:p w14:paraId="38D1BCBC" w14:textId="758210F9" w:rsidR="005A2991" w:rsidRDefault="005A2991">
      <w:pPr>
        <w:pStyle w:val="FootnoteText"/>
      </w:pPr>
      <w:r>
        <w:rPr>
          <w:rStyle w:val="FootnoteReference"/>
        </w:rPr>
        <w:footnoteRef/>
      </w:r>
      <w:r>
        <w:t xml:space="preserve"> </w:t>
      </w:r>
      <w:r w:rsidRPr="00083041">
        <w:t xml:space="preserve">The form can be downloaded from </w:t>
      </w:r>
      <w:hyperlink r:id="rId6" w:history="1">
        <w:r>
          <w:rPr>
            <w:rStyle w:val="Hyperlink"/>
            <w:rFonts w:ascii="Arial" w:hAnsi="Arial"/>
          </w:rPr>
          <w:t>cpe.org.uk/nms</w:t>
        </w:r>
      </w:hyperlink>
    </w:p>
  </w:footnote>
  <w:footnote w:id="10">
    <w:p w14:paraId="34249DE2" w14:textId="24E1076A" w:rsidR="001D60A4" w:rsidRPr="00083041" w:rsidRDefault="001D60A4" w:rsidP="001D60A4">
      <w:pPr>
        <w:pStyle w:val="FootnoteText"/>
      </w:pPr>
      <w:r w:rsidRPr="00083041">
        <w:rPr>
          <w:rStyle w:val="FootnoteReference"/>
        </w:rPr>
        <w:footnoteRef/>
      </w:r>
      <w:r w:rsidRPr="00083041">
        <w:t xml:space="preserve"> The form can be downloaded from </w:t>
      </w:r>
      <w:hyperlink r:id="rId7" w:history="1">
        <w:r w:rsidR="00034029" w:rsidRPr="00126665">
          <w:rPr>
            <w:rStyle w:val="Hyperlink"/>
            <w:rFonts w:ascii="Arial" w:hAnsi="Arial"/>
          </w:rPr>
          <w:t>cpe.org.uk/nms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E14C"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028CECE2" wp14:editId="736851FF">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504767031" name="Picture 15047670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BB90BE8" w14:textId="5ED94EDE" w:rsidR="00F126B3" w:rsidRPr="00AC35F8" w:rsidRDefault="00A73DAF"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D22C8E">
          <w:rPr>
            <w:sz w:val="24"/>
          </w:rPr>
          <w:t xml:space="preserve">NHS </w:t>
        </w:r>
        <w:r w:rsidR="00A05BAE">
          <w:rPr>
            <w:sz w:val="24"/>
          </w:rPr>
          <w:t>New Medicine</w:t>
        </w:r>
        <w:r w:rsidR="00D22C8E">
          <w:rPr>
            <w:sz w:val="24"/>
          </w:rPr>
          <w:t xml:space="preserve"> Service</w:t>
        </w:r>
      </w:sdtContent>
    </w:sdt>
  </w:p>
  <w:p w14:paraId="150AA152"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37611090" w14:textId="77777777" w:rsidTr="00F47299">
      <w:trPr>
        <w:trHeight w:val="642"/>
      </w:trPr>
      <w:tc>
        <w:tcPr>
          <w:tcW w:w="6727" w:type="dxa"/>
        </w:tcPr>
        <w:p w14:paraId="25B1F718" w14:textId="03CB0C1A" w:rsidR="00B72132" w:rsidRDefault="00B72132" w:rsidP="00B72132">
          <w:pPr>
            <w:pStyle w:val="Classification"/>
          </w:pPr>
        </w:p>
      </w:tc>
    </w:tr>
  </w:tbl>
  <w:p w14:paraId="21C52AAC"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041E90D0" wp14:editId="23A638A2">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579028194" name="Picture 1579028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2402D177" w14:textId="77777777" w:rsidR="00B72132" w:rsidRDefault="00B72132" w:rsidP="00B72132">
    <w:pPr>
      <w:pStyle w:val="Header"/>
      <w:pBdr>
        <w:bottom w:val="none" w:sz="0" w:space="0" w:color="auto"/>
      </w:pBdr>
    </w:pPr>
  </w:p>
  <w:p w14:paraId="1B2A98ED" w14:textId="77777777" w:rsidR="00B72132" w:rsidRPr="001D243C" w:rsidRDefault="00B72132" w:rsidP="00B72132">
    <w:pPr>
      <w:pStyle w:val="Header"/>
      <w:pBdr>
        <w:bottom w:val="none" w:sz="0" w:space="0" w:color="auto"/>
      </w:pBdr>
    </w:pPr>
  </w:p>
  <w:p w14:paraId="4C3975A4"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7A74C"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1" behindDoc="1" locked="1" layoutInCell="1" allowOverlap="0" wp14:anchorId="3AD753C0" wp14:editId="71B4CFBA">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7B89DB08" w14:textId="100FAE84" w:rsidR="00F126B3" w:rsidRPr="009F3A1D" w:rsidRDefault="00A73DAF" w:rsidP="00F126B3">
    <w:pPr>
      <w:pStyle w:val="Header"/>
      <w:pBdr>
        <w:bottom w:val="single" w:sz="4" w:space="4" w:color="auto"/>
      </w:pBdr>
      <w:rPr>
        <w:sz w:val="24"/>
      </w:rPr>
    </w:pPr>
    <w:sdt>
      <w:sdtPr>
        <w:alias w:val="Title"/>
        <w:tag w:val="title"/>
        <w:id w:val="-644359137"/>
        <w:placeholder>
          <w:docPart w:val="616CB93B9B8641F98AFC095B7BF957B8"/>
        </w:placeholder>
        <w:dataBinding w:prefixMappings="xmlns:ns0='http://purl.org/dc/elements/1.1/' xmlns:ns1='http://schemas.openxmlformats.org/package/2006/metadata/core-properties' " w:xpath="/ns1:coreProperties[1]/ns0:title[1]" w:storeItemID="{6C3C8BC8-F283-45AE-878A-BAB7291924A1}"/>
        <w:text/>
      </w:sdtPr>
      <w:sdtEndPr/>
      <w:sdtContent>
        <w:r w:rsidR="00A05BAE">
          <w:t>NHS New Medicine Service</w:t>
        </w:r>
      </w:sdtContent>
    </w:sdt>
  </w:p>
  <w:p w14:paraId="72A4CC99"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1B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74BB9"/>
    <w:multiLevelType w:val="hybridMultilevel"/>
    <w:tmpl w:val="0B32F2FA"/>
    <w:lvl w:ilvl="0" w:tplc="02885748">
      <w:start w:val="1"/>
      <w:numFmt w:val="bullet"/>
      <w:pStyle w:val="ListParagraphBullet"/>
      <w:lvlText w:val=""/>
      <w:lvlJc w:val="left"/>
      <w:pPr>
        <w:ind w:left="720" w:hanging="360"/>
      </w:pPr>
      <w:rPr>
        <w:rFonts w:ascii="Symbol" w:hAnsi="Symbol" w:hint="default"/>
        <w:color w:val="00A499" w:themeColor="accent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70B8B"/>
    <w:multiLevelType w:val="multilevel"/>
    <w:tmpl w:val="10969666"/>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BodyText21"/>
      <w:lvlText w:val="%1.%4"/>
      <w:lvlJc w:val="left"/>
      <w:pPr>
        <w:ind w:left="567" w:hanging="567"/>
      </w:pPr>
      <w:rPr>
        <w:rFonts w:hint="default"/>
      </w:rPr>
    </w:lvl>
    <w:lvl w:ilvl="4">
      <w:start w:val="1"/>
      <w:numFmt w:val="decimal"/>
      <w:pStyle w:val="BodyText211"/>
      <w:lvlText w:val="%1.%2.%5"/>
      <w:lvlJc w:val="left"/>
      <w:pPr>
        <w:ind w:left="851"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883796"/>
    <w:multiLevelType w:val="multilevel"/>
    <w:tmpl w:val="10969666"/>
    <w:numStyleLink w:val="NHSHeadings"/>
  </w:abstractNum>
  <w:abstractNum w:abstractNumId="5" w15:restartNumberingAfterBreak="0">
    <w:nsid w:val="250C0591"/>
    <w:multiLevelType w:val="hybridMultilevel"/>
    <w:tmpl w:val="B1160AAC"/>
    <w:lvl w:ilvl="0" w:tplc="C31A4704">
      <w:start w:val="1"/>
      <w:numFmt w:val="decimal"/>
      <w:pStyle w:val="ListParagraph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BC969E3"/>
    <w:multiLevelType w:val="multilevel"/>
    <w:tmpl w:val="ECFABD74"/>
    <w:lvl w:ilvl="0">
      <w:start w:val="1"/>
      <w:numFmt w:val="decimal"/>
      <w:pStyle w:val="Heading2-numbered"/>
      <w:suff w:val="space"/>
      <w:lvlText w:val="%1."/>
      <w:lvlJc w:val="left"/>
      <w:pPr>
        <w:ind w:left="0" w:firstLine="0"/>
      </w:pPr>
      <w:rPr>
        <w:rFonts w:hint="default"/>
      </w:rPr>
    </w:lvl>
    <w:lvl w:ilvl="1">
      <w:start w:val="1"/>
      <w:numFmt w:val="decimal"/>
      <w:pStyle w:val="Heading3-numbered"/>
      <w:lvlText w:val="%1.%2"/>
      <w:lvlJc w:val="left"/>
      <w:pPr>
        <w:ind w:left="624" w:hanging="624"/>
      </w:pPr>
      <w:rPr>
        <w:rFonts w:hint="default"/>
      </w:rPr>
    </w:lvl>
    <w:lvl w:ilvl="2">
      <w:start w:val="1"/>
      <w:numFmt w:val="decimal"/>
      <w:pStyle w:val="Heading4-numbered"/>
      <w:lvlText w:val="%1.%2.%3"/>
      <w:lvlJc w:val="left"/>
      <w:pPr>
        <w:ind w:left="794" w:hanging="794"/>
      </w:pPr>
      <w:rPr>
        <w:rFonts w:hint="default"/>
      </w:rPr>
    </w:lvl>
    <w:lvl w:ilvl="3">
      <w:start w:val="1"/>
      <w:numFmt w:val="decimal"/>
      <w:pStyle w:val="Heading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level2"/>
      <w:lvlText w:val="%5.%6."/>
      <w:lvlJc w:val="left"/>
      <w:pPr>
        <w:ind w:left="1191" w:hanging="624"/>
      </w:pPr>
      <w:rPr>
        <w:rFonts w:hint="default"/>
      </w:rPr>
    </w:lvl>
    <w:lvl w:ilvl="6">
      <w:start w:val="1"/>
      <w:numFmt w:val="decimal"/>
      <w:pStyle w:val="Bodytext-numbered-level3"/>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05625B"/>
    <w:multiLevelType w:val="hybridMultilevel"/>
    <w:tmpl w:val="23AA841A"/>
    <w:lvl w:ilvl="0" w:tplc="08090019">
      <w:start w:val="1"/>
      <w:numFmt w:val="lowerLetter"/>
      <w:lvlText w:val="%1."/>
      <w:lvlJc w:val="left"/>
      <w:pPr>
        <w:ind w:left="720" w:hanging="360"/>
      </w:pPr>
    </w:lvl>
    <w:lvl w:ilvl="1" w:tplc="6A1E6B72">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2009C"/>
    <w:multiLevelType w:val="multilevel"/>
    <w:tmpl w:val="B0CAC58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4"/>
      <w:lvlJc w:val="left"/>
      <w:pPr>
        <w:ind w:left="567" w:hanging="567"/>
      </w:pPr>
      <w:rPr>
        <w:rFonts w:hint="default"/>
      </w:rPr>
    </w:lvl>
    <w:lvl w:ilvl="4">
      <w:start w:val="1"/>
      <w:numFmt w:val="bullet"/>
      <w:lvlText w:val=""/>
      <w:lvlJc w:val="left"/>
      <w:pPr>
        <w:ind w:left="36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9795252">
    <w:abstractNumId w:val="1"/>
  </w:num>
  <w:num w:numId="2" w16cid:durableId="1394693074">
    <w:abstractNumId w:val="7"/>
  </w:num>
  <w:num w:numId="3" w16cid:durableId="570964709">
    <w:abstractNumId w:val="6"/>
  </w:num>
  <w:num w:numId="4" w16cid:durableId="1219130456">
    <w:abstractNumId w:val="5"/>
  </w:num>
  <w:num w:numId="5" w16cid:durableId="1656254558">
    <w:abstractNumId w:val="2"/>
  </w:num>
  <w:num w:numId="6" w16cid:durableId="777678518">
    <w:abstractNumId w:val="0"/>
  </w:num>
  <w:num w:numId="7" w16cid:durableId="2118212662">
    <w:abstractNumId w:val="3"/>
  </w:num>
  <w:num w:numId="8" w16cid:durableId="1493376965">
    <w:abstractNumId w:val="4"/>
    <w:lvlOverride w:ilvl="0">
      <w:lvl w:ilvl="0">
        <w:start w:val="1"/>
        <w:numFmt w:val="decimal"/>
        <w:pStyle w:val="Heading1Numbered"/>
        <w:suff w:val="space"/>
        <w:lvlText w:val="%1."/>
        <w:lvlJc w:val="left"/>
        <w:pPr>
          <w:ind w:left="0" w:firstLine="0"/>
        </w:pPr>
        <w:rPr>
          <w:rFonts w:hint="default"/>
        </w:rPr>
      </w:lvl>
    </w:lvlOverride>
    <w:lvlOverride w:ilvl="1">
      <w:lvl w:ilvl="1">
        <w:start w:val="1"/>
        <w:numFmt w:val="decimal"/>
        <w:pStyle w:val="Heading2Numbered"/>
        <w:suff w:val="space"/>
        <w:lvlText w:val="%1.%2"/>
        <w:lvlJc w:val="left"/>
        <w:pPr>
          <w:ind w:left="0" w:firstLine="0"/>
        </w:pPr>
        <w:rPr>
          <w:rFonts w:hint="default"/>
        </w:rPr>
      </w:lvl>
    </w:lvlOverride>
    <w:lvlOverride w:ilvl="2">
      <w:lvl w:ilvl="2">
        <w:start w:val="1"/>
        <w:numFmt w:val="decimal"/>
        <w:pStyle w:val="Heading3Numbered"/>
        <w:suff w:val="space"/>
        <w:lvlText w:val="%1.%2.%3"/>
        <w:lvlJc w:val="left"/>
        <w:pPr>
          <w:ind w:left="0" w:firstLine="0"/>
        </w:pPr>
        <w:rPr>
          <w:rFonts w:hint="default"/>
        </w:rPr>
      </w:lvl>
    </w:lvlOverride>
    <w:lvlOverride w:ilvl="3">
      <w:lvl w:ilvl="3">
        <w:start w:val="1"/>
        <w:numFmt w:val="decimal"/>
        <w:pStyle w:val="BodyText21"/>
        <w:lvlText w:val="%1.%4"/>
        <w:lvlJc w:val="left"/>
        <w:pPr>
          <w:ind w:left="567" w:hanging="567"/>
        </w:pPr>
        <w:rPr>
          <w:rFonts w:hint="default"/>
          <w:sz w:val="24"/>
          <w:szCs w:val="24"/>
        </w:rPr>
      </w:lvl>
    </w:lvlOverride>
    <w:lvlOverride w:ilvl="4">
      <w:lvl w:ilvl="4">
        <w:start w:val="1"/>
        <w:numFmt w:val="decimal"/>
        <w:pStyle w:val="BodyText211"/>
        <w:lvlText w:val="%1.%2.%5"/>
        <w:lvlJc w:val="left"/>
        <w:pPr>
          <w:ind w:left="851" w:hanging="85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51780294">
    <w:abstractNumId w:val="9"/>
  </w:num>
  <w:num w:numId="10" w16cid:durableId="67011047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49"/>
    <w:rsid w:val="00000197"/>
    <w:rsid w:val="000005C7"/>
    <w:rsid w:val="00000F07"/>
    <w:rsid w:val="00003EE8"/>
    <w:rsid w:val="0000416F"/>
    <w:rsid w:val="000042CC"/>
    <w:rsid w:val="000054C0"/>
    <w:rsid w:val="00006985"/>
    <w:rsid w:val="000100DC"/>
    <w:rsid w:val="00010619"/>
    <w:rsid w:val="000108B8"/>
    <w:rsid w:val="0001164C"/>
    <w:rsid w:val="0001265D"/>
    <w:rsid w:val="00012954"/>
    <w:rsid w:val="00013042"/>
    <w:rsid w:val="00017C63"/>
    <w:rsid w:val="00020020"/>
    <w:rsid w:val="000217DA"/>
    <w:rsid w:val="0002184C"/>
    <w:rsid w:val="000218DA"/>
    <w:rsid w:val="000231F5"/>
    <w:rsid w:val="0002334C"/>
    <w:rsid w:val="00024398"/>
    <w:rsid w:val="000271F6"/>
    <w:rsid w:val="0003024E"/>
    <w:rsid w:val="00030FA6"/>
    <w:rsid w:val="0003139D"/>
    <w:rsid w:val="0003185C"/>
    <w:rsid w:val="00031FD0"/>
    <w:rsid w:val="00034029"/>
    <w:rsid w:val="00037F50"/>
    <w:rsid w:val="00042717"/>
    <w:rsid w:val="00042797"/>
    <w:rsid w:val="00042941"/>
    <w:rsid w:val="00043B3C"/>
    <w:rsid w:val="000458CA"/>
    <w:rsid w:val="000461F8"/>
    <w:rsid w:val="000469D8"/>
    <w:rsid w:val="00047A1F"/>
    <w:rsid w:val="00050694"/>
    <w:rsid w:val="00052D76"/>
    <w:rsid w:val="000537DF"/>
    <w:rsid w:val="00053D37"/>
    <w:rsid w:val="000547BB"/>
    <w:rsid w:val="00055630"/>
    <w:rsid w:val="00055C7B"/>
    <w:rsid w:val="000567D4"/>
    <w:rsid w:val="000577BA"/>
    <w:rsid w:val="000579BC"/>
    <w:rsid w:val="00061452"/>
    <w:rsid w:val="000618CD"/>
    <w:rsid w:val="00065102"/>
    <w:rsid w:val="000659FC"/>
    <w:rsid w:val="00066401"/>
    <w:rsid w:val="00067387"/>
    <w:rsid w:val="000733A2"/>
    <w:rsid w:val="00073645"/>
    <w:rsid w:val="00073F8F"/>
    <w:rsid w:val="00074F4B"/>
    <w:rsid w:val="00075262"/>
    <w:rsid w:val="00077ACF"/>
    <w:rsid w:val="00083041"/>
    <w:rsid w:val="0008313C"/>
    <w:rsid w:val="0008525F"/>
    <w:rsid w:val="000853D2"/>
    <w:rsid w:val="00086038"/>
    <w:rsid w:val="000863E2"/>
    <w:rsid w:val="000864D9"/>
    <w:rsid w:val="00086DF2"/>
    <w:rsid w:val="00086F56"/>
    <w:rsid w:val="00091227"/>
    <w:rsid w:val="00091581"/>
    <w:rsid w:val="000935A1"/>
    <w:rsid w:val="000940E6"/>
    <w:rsid w:val="00095621"/>
    <w:rsid w:val="000971BA"/>
    <w:rsid w:val="000973DD"/>
    <w:rsid w:val="000A120C"/>
    <w:rsid w:val="000A266D"/>
    <w:rsid w:val="000A4383"/>
    <w:rsid w:val="000A44E7"/>
    <w:rsid w:val="000A4EFC"/>
    <w:rsid w:val="000A51AD"/>
    <w:rsid w:val="000A5AA6"/>
    <w:rsid w:val="000A64E4"/>
    <w:rsid w:val="000B0651"/>
    <w:rsid w:val="000B0B7B"/>
    <w:rsid w:val="000B3A00"/>
    <w:rsid w:val="000B5087"/>
    <w:rsid w:val="000B5B73"/>
    <w:rsid w:val="000C0149"/>
    <w:rsid w:val="000C07E9"/>
    <w:rsid w:val="000C0B12"/>
    <w:rsid w:val="000C2447"/>
    <w:rsid w:val="000C24AF"/>
    <w:rsid w:val="000C36E9"/>
    <w:rsid w:val="000C3A2A"/>
    <w:rsid w:val="000C483F"/>
    <w:rsid w:val="000C4962"/>
    <w:rsid w:val="000C4AAA"/>
    <w:rsid w:val="000D13DF"/>
    <w:rsid w:val="000D171C"/>
    <w:rsid w:val="000D1F75"/>
    <w:rsid w:val="000D2758"/>
    <w:rsid w:val="000D39C3"/>
    <w:rsid w:val="000D496C"/>
    <w:rsid w:val="000D7C5B"/>
    <w:rsid w:val="000E0456"/>
    <w:rsid w:val="000E0B97"/>
    <w:rsid w:val="000E2E52"/>
    <w:rsid w:val="000E2EBE"/>
    <w:rsid w:val="000E3765"/>
    <w:rsid w:val="000E44EF"/>
    <w:rsid w:val="000E5BBE"/>
    <w:rsid w:val="000F05AF"/>
    <w:rsid w:val="000F0E33"/>
    <w:rsid w:val="000F19F9"/>
    <w:rsid w:val="000F3A10"/>
    <w:rsid w:val="000F4604"/>
    <w:rsid w:val="000F512E"/>
    <w:rsid w:val="000F64E5"/>
    <w:rsid w:val="000F7399"/>
    <w:rsid w:val="000F7581"/>
    <w:rsid w:val="00101883"/>
    <w:rsid w:val="0010192E"/>
    <w:rsid w:val="0010223C"/>
    <w:rsid w:val="00102FA7"/>
    <w:rsid w:val="001031C7"/>
    <w:rsid w:val="0010359D"/>
    <w:rsid w:val="00103F4D"/>
    <w:rsid w:val="00104018"/>
    <w:rsid w:val="00105914"/>
    <w:rsid w:val="0010592F"/>
    <w:rsid w:val="001064DF"/>
    <w:rsid w:val="0011030B"/>
    <w:rsid w:val="00110FC7"/>
    <w:rsid w:val="00111481"/>
    <w:rsid w:val="00112F80"/>
    <w:rsid w:val="00113BF4"/>
    <w:rsid w:val="00113EEC"/>
    <w:rsid w:val="001140E8"/>
    <w:rsid w:val="001141CC"/>
    <w:rsid w:val="001178D1"/>
    <w:rsid w:val="00120BCE"/>
    <w:rsid w:val="00121A3A"/>
    <w:rsid w:val="001239D7"/>
    <w:rsid w:val="00123B51"/>
    <w:rsid w:val="00125F32"/>
    <w:rsid w:val="00126563"/>
    <w:rsid w:val="00126665"/>
    <w:rsid w:val="00126E2C"/>
    <w:rsid w:val="00127086"/>
    <w:rsid w:val="00127C11"/>
    <w:rsid w:val="00130410"/>
    <w:rsid w:val="001307FB"/>
    <w:rsid w:val="00130F77"/>
    <w:rsid w:val="00131D6F"/>
    <w:rsid w:val="00134CF0"/>
    <w:rsid w:val="0013505B"/>
    <w:rsid w:val="00135420"/>
    <w:rsid w:val="00136432"/>
    <w:rsid w:val="00136483"/>
    <w:rsid w:val="00137904"/>
    <w:rsid w:val="001411B4"/>
    <w:rsid w:val="00141222"/>
    <w:rsid w:val="00141679"/>
    <w:rsid w:val="001416C9"/>
    <w:rsid w:val="00143F5C"/>
    <w:rsid w:val="00144495"/>
    <w:rsid w:val="00147158"/>
    <w:rsid w:val="00147765"/>
    <w:rsid w:val="001507B4"/>
    <w:rsid w:val="001515F0"/>
    <w:rsid w:val="00151E62"/>
    <w:rsid w:val="001545EE"/>
    <w:rsid w:val="00155612"/>
    <w:rsid w:val="00155DC4"/>
    <w:rsid w:val="0016124D"/>
    <w:rsid w:val="001625EF"/>
    <w:rsid w:val="00167269"/>
    <w:rsid w:val="00167E94"/>
    <w:rsid w:val="001716E5"/>
    <w:rsid w:val="00174C2E"/>
    <w:rsid w:val="00174E90"/>
    <w:rsid w:val="0017589D"/>
    <w:rsid w:val="0017751C"/>
    <w:rsid w:val="001804EE"/>
    <w:rsid w:val="001828CC"/>
    <w:rsid w:val="0018291C"/>
    <w:rsid w:val="00186D0E"/>
    <w:rsid w:val="00187794"/>
    <w:rsid w:val="00187F7F"/>
    <w:rsid w:val="001900DF"/>
    <w:rsid w:val="00194EDE"/>
    <w:rsid w:val="0019592C"/>
    <w:rsid w:val="00197E5E"/>
    <w:rsid w:val="001A290C"/>
    <w:rsid w:val="001A3D77"/>
    <w:rsid w:val="001A433D"/>
    <w:rsid w:val="001A4E4D"/>
    <w:rsid w:val="001A51D4"/>
    <w:rsid w:val="001A6F72"/>
    <w:rsid w:val="001B0256"/>
    <w:rsid w:val="001B0701"/>
    <w:rsid w:val="001B11AE"/>
    <w:rsid w:val="001B32C6"/>
    <w:rsid w:val="001B3DA9"/>
    <w:rsid w:val="001B4652"/>
    <w:rsid w:val="001B5933"/>
    <w:rsid w:val="001B703C"/>
    <w:rsid w:val="001B70C7"/>
    <w:rsid w:val="001B72FC"/>
    <w:rsid w:val="001B742E"/>
    <w:rsid w:val="001C3565"/>
    <w:rsid w:val="001C419D"/>
    <w:rsid w:val="001C43CD"/>
    <w:rsid w:val="001C588F"/>
    <w:rsid w:val="001C5C63"/>
    <w:rsid w:val="001C6937"/>
    <w:rsid w:val="001C7B2C"/>
    <w:rsid w:val="001D1BFA"/>
    <w:rsid w:val="001D243C"/>
    <w:rsid w:val="001D2BED"/>
    <w:rsid w:val="001D496E"/>
    <w:rsid w:val="001D5E84"/>
    <w:rsid w:val="001D60A4"/>
    <w:rsid w:val="001D6148"/>
    <w:rsid w:val="001D75EB"/>
    <w:rsid w:val="001E004E"/>
    <w:rsid w:val="001E1325"/>
    <w:rsid w:val="001E27F8"/>
    <w:rsid w:val="001E30E0"/>
    <w:rsid w:val="001E5330"/>
    <w:rsid w:val="001E798B"/>
    <w:rsid w:val="001F3126"/>
    <w:rsid w:val="001F6AC3"/>
    <w:rsid w:val="00200678"/>
    <w:rsid w:val="00200941"/>
    <w:rsid w:val="002017E9"/>
    <w:rsid w:val="00202C54"/>
    <w:rsid w:val="00202EDF"/>
    <w:rsid w:val="002048C4"/>
    <w:rsid w:val="002052C0"/>
    <w:rsid w:val="00207060"/>
    <w:rsid w:val="0020706B"/>
    <w:rsid w:val="0021052F"/>
    <w:rsid w:val="00210892"/>
    <w:rsid w:val="00210C1A"/>
    <w:rsid w:val="00211645"/>
    <w:rsid w:val="00220358"/>
    <w:rsid w:val="0022134A"/>
    <w:rsid w:val="00222FBD"/>
    <w:rsid w:val="0022596F"/>
    <w:rsid w:val="00227534"/>
    <w:rsid w:val="002312A2"/>
    <w:rsid w:val="00231646"/>
    <w:rsid w:val="0023374A"/>
    <w:rsid w:val="0023396B"/>
    <w:rsid w:val="00235492"/>
    <w:rsid w:val="002365A0"/>
    <w:rsid w:val="00236FF8"/>
    <w:rsid w:val="00237C46"/>
    <w:rsid w:val="002409F6"/>
    <w:rsid w:val="00240B6E"/>
    <w:rsid w:val="0024181B"/>
    <w:rsid w:val="00241DA6"/>
    <w:rsid w:val="00242AE3"/>
    <w:rsid w:val="002444F0"/>
    <w:rsid w:val="00245394"/>
    <w:rsid w:val="00245F98"/>
    <w:rsid w:val="00245FE3"/>
    <w:rsid w:val="00246075"/>
    <w:rsid w:val="00247387"/>
    <w:rsid w:val="00247E7E"/>
    <w:rsid w:val="00251B94"/>
    <w:rsid w:val="00255765"/>
    <w:rsid w:val="002558D6"/>
    <w:rsid w:val="002575AD"/>
    <w:rsid w:val="00257770"/>
    <w:rsid w:val="00260EEB"/>
    <w:rsid w:val="002622F1"/>
    <w:rsid w:val="00262C6F"/>
    <w:rsid w:val="0026329F"/>
    <w:rsid w:val="00264BEF"/>
    <w:rsid w:val="0026507E"/>
    <w:rsid w:val="00267556"/>
    <w:rsid w:val="00267F61"/>
    <w:rsid w:val="00270DAD"/>
    <w:rsid w:val="002710B6"/>
    <w:rsid w:val="0027493C"/>
    <w:rsid w:val="002767FF"/>
    <w:rsid w:val="00276AD5"/>
    <w:rsid w:val="0028046D"/>
    <w:rsid w:val="002805DA"/>
    <w:rsid w:val="00281FFC"/>
    <w:rsid w:val="002833F5"/>
    <w:rsid w:val="002845DD"/>
    <w:rsid w:val="002855F7"/>
    <w:rsid w:val="00287178"/>
    <w:rsid w:val="00290BD2"/>
    <w:rsid w:val="00291328"/>
    <w:rsid w:val="002925B0"/>
    <w:rsid w:val="00292C09"/>
    <w:rsid w:val="00292C68"/>
    <w:rsid w:val="00292E74"/>
    <w:rsid w:val="002938D4"/>
    <w:rsid w:val="00294488"/>
    <w:rsid w:val="00294CFA"/>
    <w:rsid w:val="002953B3"/>
    <w:rsid w:val="002A03D4"/>
    <w:rsid w:val="002A3054"/>
    <w:rsid w:val="002A3149"/>
    <w:rsid w:val="002A3893"/>
    <w:rsid w:val="002A3F48"/>
    <w:rsid w:val="002A45CD"/>
    <w:rsid w:val="002A5831"/>
    <w:rsid w:val="002A5D01"/>
    <w:rsid w:val="002A64E1"/>
    <w:rsid w:val="002A6CE8"/>
    <w:rsid w:val="002A74A2"/>
    <w:rsid w:val="002A765A"/>
    <w:rsid w:val="002B06C4"/>
    <w:rsid w:val="002B24BD"/>
    <w:rsid w:val="002B3210"/>
    <w:rsid w:val="002B3BFD"/>
    <w:rsid w:val="002B3CA5"/>
    <w:rsid w:val="002B4992"/>
    <w:rsid w:val="002B52F9"/>
    <w:rsid w:val="002C0816"/>
    <w:rsid w:val="002C2CE4"/>
    <w:rsid w:val="002C4A24"/>
    <w:rsid w:val="002C73DC"/>
    <w:rsid w:val="002C7A8D"/>
    <w:rsid w:val="002D1076"/>
    <w:rsid w:val="002D162C"/>
    <w:rsid w:val="002D249F"/>
    <w:rsid w:val="002D51E0"/>
    <w:rsid w:val="002D71AD"/>
    <w:rsid w:val="002D75FA"/>
    <w:rsid w:val="002E22E6"/>
    <w:rsid w:val="002E2EFD"/>
    <w:rsid w:val="002E2FBA"/>
    <w:rsid w:val="002E3A26"/>
    <w:rsid w:val="002E45D3"/>
    <w:rsid w:val="002E58A7"/>
    <w:rsid w:val="002E72BD"/>
    <w:rsid w:val="002E75CD"/>
    <w:rsid w:val="002F1EAA"/>
    <w:rsid w:val="002F364B"/>
    <w:rsid w:val="002F3793"/>
    <w:rsid w:val="002F3BA8"/>
    <w:rsid w:val="002F45CE"/>
    <w:rsid w:val="002F5E65"/>
    <w:rsid w:val="002F7B8F"/>
    <w:rsid w:val="002F7F22"/>
    <w:rsid w:val="003008C8"/>
    <w:rsid w:val="00300D17"/>
    <w:rsid w:val="00302876"/>
    <w:rsid w:val="00304BC2"/>
    <w:rsid w:val="00306455"/>
    <w:rsid w:val="0030708E"/>
    <w:rsid w:val="003134EE"/>
    <w:rsid w:val="00313740"/>
    <w:rsid w:val="00313BA6"/>
    <w:rsid w:val="00315917"/>
    <w:rsid w:val="00316008"/>
    <w:rsid w:val="00316372"/>
    <w:rsid w:val="00316ED2"/>
    <w:rsid w:val="0031712C"/>
    <w:rsid w:val="00320183"/>
    <w:rsid w:val="0032089A"/>
    <w:rsid w:val="00320D9B"/>
    <w:rsid w:val="00322142"/>
    <w:rsid w:val="003258BE"/>
    <w:rsid w:val="00325C15"/>
    <w:rsid w:val="003310BD"/>
    <w:rsid w:val="0033114E"/>
    <w:rsid w:val="00331BB9"/>
    <w:rsid w:val="003325EF"/>
    <w:rsid w:val="00333BF8"/>
    <w:rsid w:val="00336822"/>
    <w:rsid w:val="00336858"/>
    <w:rsid w:val="0033715E"/>
    <w:rsid w:val="003410C3"/>
    <w:rsid w:val="003435BC"/>
    <w:rsid w:val="00343B84"/>
    <w:rsid w:val="0034439B"/>
    <w:rsid w:val="003444C7"/>
    <w:rsid w:val="003447BD"/>
    <w:rsid w:val="0034560E"/>
    <w:rsid w:val="00346400"/>
    <w:rsid w:val="003464A7"/>
    <w:rsid w:val="00347617"/>
    <w:rsid w:val="00347E88"/>
    <w:rsid w:val="003503D1"/>
    <w:rsid w:val="0035065F"/>
    <w:rsid w:val="00350780"/>
    <w:rsid w:val="003528C8"/>
    <w:rsid w:val="00352BA3"/>
    <w:rsid w:val="003535D2"/>
    <w:rsid w:val="0035386A"/>
    <w:rsid w:val="0035464A"/>
    <w:rsid w:val="00355C51"/>
    <w:rsid w:val="003561AC"/>
    <w:rsid w:val="00360B15"/>
    <w:rsid w:val="00362ED3"/>
    <w:rsid w:val="0036418A"/>
    <w:rsid w:val="003642BE"/>
    <w:rsid w:val="00364AE9"/>
    <w:rsid w:val="00365E28"/>
    <w:rsid w:val="003673E0"/>
    <w:rsid w:val="00367860"/>
    <w:rsid w:val="00371E3F"/>
    <w:rsid w:val="00372B0D"/>
    <w:rsid w:val="00373FE8"/>
    <w:rsid w:val="00374C6F"/>
    <w:rsid w:val="003777AA"/>
    <w:rsid w:val="00377C2C"/>
    <w:rsid w:val="00380272"/>
    <w:rsid w:val="00380B32"/>
    <w:rsid w:val="00380C73"/>
    <w:rsid w:val="003812C8"/>
    <w:rsid w:val="0038177C"/>
    <w:rsid w:val="003822B1"/>
    <w:rsid w:val="003825D6"/>
    <w:rsid w:val="0038356C"/>
    <w:rsid w:val="00384BA1"/>
    <w:rsid w:val="003850E5"/>
    <w:rsid w:val="00385FC9"/>
    <w:rsid w:val="00386BE1"/>
    <w:rsid w:val="00387838"/>
    <w:rsid w:val="00387AE3"/>
    <w:rsid w:val="0039114B"/>
    <w:rsid w:val="003914C6"/>
    <w:rsid w:val="00391522"/>
    <w:rsid w:val="0039243B"/>
    <w:rsid w:val="00394B31"/>
    <w:rsid w:val="00397A0C"/>
    <w:rsid w:val="00397F2D"/>
    <w:rsid w:val="003A07C1"/>
    <w:rsid w:val="003A1878"/>
    <w:rsid w:val="003A2B93"/>
    <w:rsid w:val="003A2ED3"/>
    <w:rsid w:val="003A4710"/>
    <w:rsid w:val="003A4B22"/>
    <w:rsid w:val="003A6893"/>
    <w:rsid w:val="003A74EF"/>
    <w:rsid w:val="003B164A"/>
    <w:rsid w:val="003B1A9B"/>
    <w:rsid w:val="003B2686"/>
    <w:rsid w:val="003B427B"/>
    <w:rsid w:val="003B64BB"/>
    <w:rsid w:val="003B6BB4"/>
    <w:rsid w:val="003B7312"/>
    <w:rsid w:val="003B73E8"/>
    <w:rsid w:val="003B79CC"/>
    <w:rsid w:val="003B7FFB"/>
    <w:rsid w:val="003C2A53"/>
    <w:rsid w:val="003C4C03"/>
    <w:rsid w:val="003C5080"/>
    <w:rsid w:val="003C716A"/>
    <w:rsid w:val="003D1BBE"/>
    <w:rsid w:val="003D3516"/>
    <w:rsid w:val="003D3A42"/>
    <w:rsid w:val="003D4089"/>
    <w:rsid w:val="003D4A88"/>
    <w:rsid w:val="003D4ECA"/>
    <w:rsid w:val="003D763D"/>
    <w:rsid w:val="003D7A9E"/>
    <w:rsid w:val="003E15E8"/>
    <w:rsid w:val="003E57B6"/>
    <w:rsid w:val="003F2785"/>
    <w:rsid w:val="003F4F6A"/>
    <w:rsid w:val="003F6EC7"/>
    <w:rsid w:val="003F729F"/>
    <w:rsid w:val="003F7B0C"/>
    <w:rsid w:val="003F7C89"/>
    <w:rsid w:val="00400E31"/>
    <w:rsid w:val="0040141D"/>
    <w:rsid w:val="004019F6"/>
    <w:rsid w:val="004024EC"/>
    <w:rsid w:val="0040488E"/>
    <w:rsid w:val="00404A81"/>
    <w:rsid w:val="004051A7"/>
    <w:rsid w:val="00406224"/>
    <w:rsid w:val="00411D1D"/>
    <w:rsid w:val="0041363F"/>
    <w:rsid w:val="004146E3"/>
    <w:rsid w:val="00414911"/>
    <w:rsid w:val="004149EE"/>
    <w:rsid w:val="00415382"/>
    <w:rsid w:val="00415C1A"/>
    <w:rsid w:val="00416365"/>
    <w:rsid w:val="00417959"/>
    <w:rsid w:val="00420140"/>
    <w:rsid w:val="004209B8"/>
    <w:rsid w:val="00420E7F"/>
    <w:rsid w:val="004216CE"/>
    <w:rsid w:val="00423FAF"/>
    <w:rsid w:val="00424991"/>
    <w:rsid w:val="00425FD5"/>
    <w:rsid w:val="00427636"/>
    <w:rsid w:val="00430131"/>
    <w:rsid w:val="00430EFD"/>
    <w:rsid w:val="0043119A"/>
    <w:rsid w:val="00431DF3"/>
    <w:rsid w:val="00432627"/>
    <w:rsid w:val="0043428D"/>
    <w:rsid w:val="00434595"/>
    <w:rsid w:val="004359D0"/>
    <w:rsid w:val="00436493"/>
    <w:rsid w:val="00436736"/>
    <w:rsid w:val="00436CAA"/>
    <w:rsid w:val="0044145C"/>
    <w:rsid w:val="004414B2"/>
    <w:rsid w:val="00443088"/>
    <w:rsid w:val="004444E4"/>
    <w:rsid w:val="00444A3C"/>
    <w:rsid w:val="00445D2F"/>
    <w:rsid w:val="004473A9"/>
    <w:rsid w:val="00447E51"/>
    <w:rsid w:val="00451CBC"/>
    <w:rsid w:val="00452734"/>
    <w:rsid w:val="00455A3F"/>
    <w:rsid w:val="004562C4"/>
    <w:rsid w:val="00460165"/>
    <w:rsid w:val="004645C1"/>
    <w:rsid w:val="00464D8F"/>
    <w:rsid w:val="004651FB"/>
    <w:rsid w:val="00465361"/>
    <w:rsid w:val="004656EF"/>
    <w:rsid w:val="00470341"/>
    <w:rsid w:val="0047079C"/>
    <w:rsid w:val="004709ED"/>
    <w:rsid w:val="00470D1E"/>
    <w:rsid w:val="00471B55"/>
    <w:rsid w:val="00471BEB"/>
    <w:rsid w:val="00472D33"/>
    <w:rsid w:val="00473E9F"/>
    <w:rsid w:val="00474AD3"/>
    <w:rsid w:val="00475E27"/>
    <w:rsid w:val="00476D3A"/>
    <w:rsid w:val="004801C9"/>
    <w:rsid w:val="00483611"/>
    <w:rsid w:val="00483911"/>
    <w:rsid w:val="00483F01"/>
    <w:rsid w:val="00484AF2"/>
    <w:rsid w:val="00487827"/>
    <w:rsid w:val="00487BCC"/>
    <w:rsid w:val="0049149D"/>
    <w:rsid w:val="00491977"/>
    <w:rsid w:val="00491E56"/>
    <w:rsid w:val="0049254C"/>
    <w:rsid w:val="00492CAB"/>
    <w:rsid w:val="004964FA"/>
    <w:rsid w:val="00497599"/>
    <w:rsid w:val="00497CC4"/>
    <w:rsid w:val="00497DE0"/>
    <w:rsid w:val="004A2E7E"/>
    <w:rsid w:val="004A3766"/>
    <w:rsid w:val="004A5F68"/>
    <w:rsid w:val="004A67C1"/>
    <w:rsid w:val="004B0848"/>
    <w:rsid w:val="004B2655"/>
    <w:rsid w:val="004B3310"/>
    <w:rsid w:val="004B5C40"/>
    <w:rsid w:val="004B626E"/>
    <w:rsid w:val="004B648A"/>
    <w:rsid w:val="004B6FFA"/>
    <w:rsid w:val="004C2BFB"/>
    <w:rsid w:val="004C4794"/>
    <w:rsid w:val="004C512D"/>
    <w:rsid w:val="004C6A1F"/>
    <w:rsid w:val="004C75CC"/>
    <w:rsid w:val="004D0214"/>
    <w:rsid w:val="004D18F2"/>
    <w:rsid w:val="004D6EC5"/>
    <w:rsid w:val="004D763F"/>
    <w:rsid w:val="004E234D"/>
    <w:rsid w:val="004E3F68"/>
    <w:rsid w:val="004E72F2"/>
    <w:rsid w:val="004E7774"/>
    <w:rsid w:val="004E7C16"/>
    <w:rsid w:val="004F0096"/>
    <w:rsid w:val="004F06FE"/>
    <w:rsid w:val="004F0A67"/>
    <w:rsid w:val="004F1337"/>
    <w:rsid w:val="004F28CE"/>
    <w:rsid w:val="004F4084"/>
    <w:rsid w:val="004F6303"/>
    <w:rsid w:val="00500423"/>
    <w:rsid w:val="005014AF"/>
    <w:rsid w:val="0050159E"/>
    <w:rsid w:val="00503530"/>
    <w:rsid w:val="005039B3"/>
    <w:rsid w:val="005049F2"/>
    <w:rsid w:val="00505281"/>
    <w:rsid w:val="0050697C"/>
    <w:rsid w:val="00507ECC"/>
    <w:rsid w:val="005103A1"/>
    <w:rsid w:val="005118D6"/>
    <w:rsid w:val="00512105"/>
    <w:rsid w:val="0051233A"/>
    <w:rsid w:val="00512EA2"/>
    <w:rsid w:val="005135C1"/>
    <w:rsid w:val="00513AF2"/>
    <w:rsid w:val="00516F40"/>
    <w:rsid w:val="005202EA"/>
    <w:rsid w:val="00521081"/>
    <w:rsid w:val="0052302B"/>
    <w:rsid w:val="00524021"/>
    <w:rsid w:val="0052427B"/>
    <w:rsid w:val="00524A5C"/>
    <w:rsid w:val="0052756A"/>
    <w:rsid w:val="00531E66"/>
    <w:rsid w:val="00532DF6"/>
    <w:rsid w:val="00532FFF"/>
    <w:rsid w:val="00534180"/>
    <w:rsid w:val="0053499D"/>
    <w:rsid w:val="0053627E"/>
    <w:rsid w:val="00540761"/>
    <w:rsid w:val="00544C0C"/>
    <w:rsid w:val="00544E97"/>
    <w:rsid w:val="00545637"/>
    <w:rsid w:val="00546997"/>
    <w:rsid w:val="00546F74"/>
    <w:rsid w:val="005477F4"/>
    <w:rsid w:val="00550277"/>
    <w:rsid w:val="00550E03"/>
    <w:rsid w:val="00551428"/>
    <w:rsid w:val="005519F2"/>
    <w:rsid w:val="00552683"/>
    <w:rsid w:val="00552CD9"/>
    <w:rsid w:val="00553C22"/>
    <w:rsid w:val="0055763C"/>
    <w:rsid w:val="0056104E"/>
    <w:rsid w:val="00561552"/>
    <w:rsid w:val="0056165E"/>
    <w:rsid w:val="00561EA1"/>
    <w:rsid w:val="005634F0"/>
    <w:rsid w:val="005645E2"/>
    <w:rsid w:val="0056539C"/>
    <w:rsid w:val="00565543"/>
    <w:rsid w:val="00566FDB"/>
    <w:rsid w:val="00570BF0"/>
    <w:rsid w:val="00571AD4"/>
    <w:rsid w:val="00573F8E"/>
    <w:rsid w:val="005762E9"/>
    <w:rsid w:val="00577A42"/>
    <w:rsid w:val="0058121B"/>
    <w:rsid w:val="00584516"/>
    <w:rsid w:val="00584720"/>
    <w:rsid w:val="00584D6A"/>
    <w:rsid w:val="005852ED"/>
    <w:rsid w:val="00585AF8"/>
    <w:rsid w:val="00585DF1"/>
    <w:rsid w:val="00585F04"/>
    <w:rsid w:val="005908B4"/>
    <w:rsid w:val="00590D21"/>
    <w:rsid w:val="005926AD"/>
    <w:rsid w:val="0059351C"/>
    <w:rsid w:val="00593CC9"/>
    <w:rsid w:val="00593F5A"/>
    <w:rsid w:val="00594E35"/>
    <w:rsid w:val="00597943"/>
    <w:rsid w:val="005A1A07"/>
    <w:rsid w:val="005A2493"/>
    <w:rsid w:val="005A2991"/>
    <w:rsid w:val="005A3B89"/>
    <w:rsid w:val="005B1E55"/>
    <w:rsid w:val="005B30AA"/>
    <w:rsid w:val="005B313B"/>
    <w:rsid w:val="005B40D5"/>
    <w:rsid w:val="005B4CC8"/>
    <w:rsid w:val="005B51A2"/>
    <w:rsid w:val="005C068C"/>
    <w:rsid w:val="005C2644"/>
    <w:rsid w:val="005C3745"/>
    <w:rsid w:val="005C799B"/>
    <w:rsid w:val="005C7A0B"/>
    <w:rsid w:val="005C7A32"/>
    <w:rsid w:val="005D283B"/>
    <w:rsid w:val="005D3427"/>
    <w:rsid w:val="005D4E5A"/>
    <w:rsid w:val="005D564F"/>
    <w:rsid w:val="005D61B4"/>
    <w:rsid w:val="005D6D4C"/>
    <w:rsid w:val="005E044E"/>
    <w:rsid w:val="005E1D78"/>
    <w:rsid w:val="005E2098"/>
    <w:rsid w:val="005E250C"/>
    <w:rsid w:val="005E39E2"/>
    <w:rsid w:val="005E54CC"/>
    <w:rsid w:val="005E63E3"/>
    <w:rsid w:val="005E6F74"/>
    <w:rsid w:val="005F0359"/>
    <w:rsid w:val="005F1504"/>
    <w:rsid w:val="005F212A"/>
    <w:rsid w:val="005F2B2B"/>
    <w:rsid w:val="005F3568"/>
    <w:rsid w:val="005F5E8D"/>
    <w:rsid w:val="00601B92"/>
    <w:rsid w:val="00601DBA"/>
    <w:rsid w:val="00603A2C"/>
    <w:rsid w:val="00603EE2"/>
    <w:rsid w:val="00603F57"/>
    <w:rsid w:val="006052A2"/>
    <w:rsid w:val="00607216"/>
    <w:rsid w:val="00610145"/>
    <w:rsid w:val="0061198D"/>
    <w:rsid w:val="00612952"/>
    <w:rsid w:val="00613251"/>
    <w:rsid w:val="0061423F"/>
    <w:rsid w:val="00614F79"/>
    <w:rsid w:val="006153D6"/>
    <w:rsid w:val="00616632"/>
    <w:rsid w:val="00617527"/>
    <w:rsid w:val="00622C82"/>
    <w:rsid w:val="00622E17"/>
    <w:rsid w:val="00626ADA"/>
    <w:rsid w:val="006270E0"/>
    <w:rsid w:val="00627F15"/>
    <w:rsid w:val="00631E46"/>
    <w:rsid w:val="006341C1"/>
    <w:rsid w:val="0063460D"/>
    <w:rsid w:val="0063502E"/>
    <w:rsid w:val="00636E54"/>
    <w:rsid w:val="00637820"/>
    <w:rsid w:val="00641930"/>
    <w:rsid w:val="00641D77"/>
    <w:rsid w:val="0064466D"/>
    <w:rsid w:val="00644805"/>
    <w:rsid w:val="00645F3A"/>
    <w:rsid w:val="00650195"/>
    <w:rsid w:val="0065067C"/>
    <w:rsid w:val="00650894"/>
    <w:rsid w:val="00650A67"/>
    <w:rsid w:val="00651042"/>
    <w:rsid w:val="00651094"/>
    <w:rsid w:val="0065198E"/>
    <w:rsid w:val="00654EE0"/>
    <w:rsid w:val="00655ADB"/>
    <w:rsid w:val="00655DB2"/>
    <w:rsid w:val="00656ED1"/>
    <w:rsid w:val="00661DDF"/>
    <w:rsid w:val="00661FE4"/>
    <w:rsid w:val="00662381"/>
    <w:rsid w:val="00665271"/>
    <w:rsid w:val="006659C8"/>
    <w:rsid w:val="006660B9"/>
    <w:rsid w:val="006669DA"/>
    <w:rsid w:val="00666C10"/>
    <w:rsid w:val="006679DE"/>
    <w:rsid w:val="00667C8F"/>
    <w:rsid w:val="00667DB2"/>
    <w:rsid w:val="006707A2"/>
    <w:rsid w:val="00670843"/>
    <w:rsid w:val="00671B7A"/>
    <w:rsid w:val="00672717"/>
    <w:rsid w:val="00675E35"/>
    <w:rsid w:val="00676118"/>
    <w:rsid w:val="00682102"/>
    <w:rsid w:val="0068312E"/>
    <w:rsid w:val="00683A25"/>
    <w:rsid w:val="00683DAE"/>
    <w:rsid w:val="00684633"/>
    <w:rsid w:val="00685E75"/>
    <w:rsid w:val="006865F4"/>
    <w:rsid w:val="00686AED"/>
    <w:rsid w:val="00691A8F"/>
    <w:rsid w:val="00691FAB"/>
    <w:rsid w:val="00692041"/>
    <w:rsid w:val="00694A39"/>
    <w:rsid w:val="00694FC4"/>
    <w:rsid w:val="00695EF6"/>
    <w:rsid w:val="00697976"/>
    <w:rsid w:val="006A089F"/>
    <w:rsid w:val="006A0A47"/>
    <w:rsid w:val="006A1308"/>
    <w:rsid w:val="006A1914"/>
    <w:rsid w:val="006A3E95"/>
    <w:rsid w:val="006A4597"/>
    <w:rsid w:val="006A4B29"/>
    <w:rsid w:val="006A4BE1"/>
    <w:rsid w:val="006A4D22"/>
    <w:rsid w:val="006A5274"/>
    <w:rsid w:val="006A52B5"/>
    <w:rsid w:val="006A545D"/>
    <w:rsid w:val="006A6BD3"/>
    <w:rsid w:val="006A72FC"/>
    <w:rsid w:val="006B0027"/>
    <w:rsid w:val="006B1A81"/>
    <w:rsid w:val="006B1CA4"/>
    <w:rsid w:val="006B401C"/>
    <w:rsid w:val="006B4090"/>
    <w:rsid w:val="006B4F7D"/>
    <w:rsid w:val="006C00ED"/>
    <w:rsid w:val="006C60D8"/>
    <w:rsid w:val="006C7386"/>
    <w:rsid w:val="006D02E8"/>
    <w:rsid w:val="006D043E"/>
    <w:rsid w:val="006D0AD1"/>
    <w:rsid w:val="006D0B8A"/>
    <w:rsid w:val="006D129C"/>
    <w:rsid w:val="006D3DD5"/>
    <w:rsid w:val="006D474D"/>
    <w:rsid w:val="006D6229"/>
    <w:rsid w:val="006E176F"/>
    <w:rsid w:val="006E2FE7"/>
    <w:rsid w:val="006E66E2"/>
    <w:rsid w:val="006F1551"/>
    <w:rsid w:val="006F2214"/>
    <w:rsid w:val="006F32AC"/>
    <w:rsid w:val="006F37F0"/>
    <w:rsid w:val="006F3C18"/>
    <w:rsid w:val="006F3C36"/>
    <w:rsid w:val="006F5FFC"/>
    <w:rsid w:val="006F63A4"/>
    <w:rsid w:val="006F6F4D"/>
    <w:rsid w:val="006F706F"/>
    <w:rsid w:val="00702990"/>
    <w:rsid w:val="007029A8"/>
    <w:rsid w:val="00702B4D"/>
    <w:rsid w:val="00703C82"/>
    <w:rsid w:val="00703FAA"/>
    <w:rsid w:val="00705092"/>
    <w:rsid w:val="00705786"/>
    <w:rsid w:val="00705FA5"/>
    <w:rsid w:val="00707ED5"/>
    <w:rsid w:val="00707FFD"/>
    <w:rsid w:val="007101B8"/>
    <w:rsid w:val="00710E40"/>
    <w:rsid w:val="007127D6"/>
    <w:rsid w:val="00714574"/>
    <w:rsid w:val="0071497F"/>
    <w:rsid w:val="007149DD"/>
    <w:rsid w:val="007165BF"/>
    <w:rsid w:val="007179F3"/>
    <w:rsid w:val="00721273"/>
    <w:rsid w:val="007213A1"/>
    <w:rsid w:val="007215A8"/>
    <w:rsid w:val="007228F6"/>
    <w:rsid w:val="00723136"/>
    <w:rsid w:val="00723A85"/>
    <w:rsid w:val="00724916"/>
    <w:rsid w:val="00726980"/>
    <w:rsid w:val="00732020"/>
    <w:rsid w:val="00732240"/>
    <w:rsid w:val="0073429A"/>
    <w:rsid w:val="00735018"/>
    <w:rsid w:val="0073714B"/>
    <w:rsid w:val="007375BC"/>
    <w:rsid w:val="007379DD"/>
    <w:rsid w:val="00737AB5"/>
    <w:rsid w:val="00740573"/>
    <w:rsid w:val="00742303"/>
    <w:rsid w:val="00745985"/>
    <w:rsid w:val="00746140"/>
    <w:rsid w:val="00746D59"/>
    <w:rsid w:val="00747C3A"/>
    <w:rsid w:val="00750B73"/>
    <w:rsid w:val="007513F9"/>
    <w:rsid w:val="0075151D"/>
    <w:rsid w:val="007524B8"/>
    <w:rsid w:val="007538D6"/>
    <w:rsid w:val="00753953"/>
    <w:rsid w:val="007544F2"/>
    <w:rsid w:val="007562D9"/>
    <w:rsid w:val="00760569"/>
    <w:rsid w:val="0076185A"/>
    <w:rsid w:val="00761E45"/>
    <w:rsid w:val="00763400"/>
    <w:rsid w:val="00763FA3"/>
    <w:rsid w:val="007645CE"/>
    <w:rsid w:val="00765576"/>
    <w:rsid w:val="00765BF9"/>
    <w:rsid w:val="007663CB"/>
    <w:rsid w:val="00772DBD"/>
    <w:rsid w:val="007745FE"/>
    <w:rsid w:val="00775C1A"/>
    <w:rsid w:val="00776DB3"/>
    <w:rsid w:val="00776FDD"/>
    <w:rsid w:val="00777EBE"/>
    <w:rsid w:val="00780CEF"/>
    <w:rsid w:val="007819D5"/>
    <w:rsid w:val="00782ADE"/>
    <w:rsid w:val="0078581B"/>
    <w:rsid w:val="00785998"/>
    <w:rsid w:val="00786F91"/>
    <w:rsid w:val="007902EF"/>
    <w:rsid w:val="0079053E"/>
    <w:rsid w:val="00790C41"/>
    <w:rsid w:val="00790C5F"/>
    <w:rsid w:val="00791463"/>
    <w:rsid w:val="007916F7"/>
    <w:rsid w:val="00794262"/>
    <w:rsid w:val="00796304"/>
    <w:rsid w:val="00796E96"/>
    <w:rsid w:val="007A02D5"/>
    <w:rsid w:val="007A19BA"/>
    <w:rsid w:val="007A1D0E"/>
    <w:rsid w:val="007A67B2"/>
    <w:rsid w:val="007B25F0"/>
    <w:rsid w:val="007B2822"/>
    <w:rsid w:val="007B375B"/>
    <w:rsid w:val="007B3FFF"/>
    <w:rsid w:val="007B462D"/>
    <w:rsid w:val="007B5E33"/>
    <w:rsid w:val="007B62EE"/>
    <w:rsid w:val="007B69DA"/>
    <w:rsid w:val="007B7052"/>
    <w:rsid w:val="007B7CEA"/>
    <w:rsid w:val="007C1BB4"/>
    <w:rsid w:val="007C266D"/>
    <w:rsid w:val="007C27D0"/>
    <w:rsid w:val="007C315D"/>
    <w:rsid w:val="007C481A"/>
    <w:rsid w:val="007C6D2B"/>
    <w:rsid w:val="007C7630"/>
    <w:rsid w:val="007C773B"/>
    <w:rsid w:val="007D0453"/>
    <w:rsid w:val="007D05BE"/>
    <w:rsid w:val="007D1A39"/>
    <w:rsid w:val="007D1E52"/>
    <w:rsid w:val="007D34A1"/>
    <w:rsid w:val="007D4F91"/>
    <w:rsid w:val="007D61A3"/>
    <w:rsid w:val="007D663F"/>
    <w:rsid w:val="007D6DEE"/>
    <w:rsid w:val="007E1AF9"/>
    <w:rsid w:val="007E224E"/>
    <w:rsid w:val="007E2B40"/>
    <w:rsid w:val="007E2CD0"/>
    <w:rsid w:val="007E4138"/>
    <w:rsid w:val="007E4181"/>
    <w:rsid w:val="007E4E97"/>
    <w:rsid w:val="007E5B38"/>
    <w:rsid w:val="007E5CDF"/>
    <w:rsid w:val="007E60BA"/>
    <w:rsid w:val="007E6513"/>
    <w:rsid w:val="007F0B45"/>
    <w:rsid w:val="007F5073"/>
    <w:rsid w:val="007F5954"/>
    <w:rsid w:val="007F71DB"/>
    <w:rsid w:val="008003C5"/>
    <w:rsid w:val="00800E27"/>
    <w:rsid w:val="00801629"/>
    <w:rsid w:val="0080245F"/>
    <w:rsid w:val="00803983"/>
    <w:rsid w:val="008047E8"/>
    <w:rsid w:val="00807BB3"/>
    <w:rsid w:val="00811505"/>
    <w:rsid w:val="008116B7"/>
    <w:rsid w:val="00811876"/>
    <w:rsid w:val="00811F77"/>
    <w:rsid w:val="0081273E"/>
    <w:rsid w:val="008130A1"/>
    <w:rsid w:val="008137A6"/>
    <w:rsid w:val="00813D18"/>
    <w:rsid w:val="00814093"/>
    <w:rsid w:val="0081544B"/>
    <w:rsid w:val="008163DD"/>
    <w:rsid w:val="00820A49"/>
    <w:rsid w:val="008211F1"/>
    <w:rsid w:val="008228AE"/>
    <w:rsid w:val="008234DC"/>
    <w:rsid w:val="00823A26"/>
    <w:rsid w:val="00825E96"/>
    <w:rsid w:val="00827959"/>
    <w:rsid w:val="008312E4"/>
    <w:rsid w:val="00831B98"/>
    <w:rsid w:val="00832885"/>
    <w:rsid w:val="00832C02"/>
    <w:rsid w:val="00835F7F"/>
    <w:rsid w:val="008367D6"/>
    <w:rsid w:val="00837C38"/>
    <w:rsid w:val="0084253F"/>
    <w:rsid w:val="00842614"/>
    <w:rsid w:val="008428DA"/>
    <w:rsid w:val="00842D21"/>
    <w:rsid w:val="00842F86"/>
    <w:rsid w:val="008446A8"/>
    <w:rsid w:val="00851036"/>
    <w:rsid w:val="008521D5"/>
    <w:rsid w:val="00852F6D"/>
    <w:rsid w:val="00853A57"/>
    <w:rsid w:val="00855D19"/>
    <w:rsid w:val="00856061"/>
    <w:rsid w:val="0085732D"/>
    <w:rsid w:val="008616EE"/>
    <w:rsid w:val="00861CD1"/>
    <w:rsid w:val="008625E8"/>
    <w:rsid w:val="00863111"/>
    <w:rsid w:val="008639C0"/>
    <w:rsid w:val="00864885"/>
    <w:rsid w:val="008679A5"/>
    <w:rsid w:val="00871459"/>
    <w:rsid w:val="00871E6C"/>
    <w:rsid w:val="00872EC8"/>
    <w:rsid w:val="00873874"/>
    <w:rsid w:val="008744B1"/>
    <w:rsid w:val="008759B0"/>
    <w:rsid w:val="00875E41"/>
    <w:rsid w:val="00880425"/>
    <w:rsid w:val="00880D4A"/>
    <w:rsid w:val="00881343"/>
    <w:rsid w:val="00881836"/>
    <w:rsid w:val="00881F59"/>
    <w:rsid w:val="00883082"/>
    <w:rsid w:val="00883EE0"/>
    <w:rsid w:val="008850DB"/>
    <w:rsid w:val="00885756"/>
    <w:rsid w:val="00886543"/>
    <w:rsid w:val="00886C84"/>
    <w:rsid w:val="00886EB5"/>
    <w:rsid w:val="008901EC"/>
    <w:rsid w:val="00890343"/>
    <w:rsid w:val="00891AED"/>
    <w:rsid w:val="0089347D"/>
    <w:rsid w:val="00894373"/>
    <w:rsid w:val="00894F57"/>
    <w:rsid w:val="0089529A"/>
    <w:rsid w:val="00896928"/>
    <w:rsid w:val="00897087"/>
    <w:rsid w:val="00897829"/>
    <w:rsid w:val="00897948"/>
    <w:rsid w:val="008A0299"/>
    <w:rsid w:val="008A1639"/>
    <w:rsid w:val="008A26A1"/>
    <w:rsid w:val="008A2C5E"/>
    <w:rsid w:val="008A3E2F"/>
    <w:rsid w:val="008A4169"/>
    <w:rsid w:val="008A4631"/>
    <w:rsid w:val="008A48E6"/>
    <w:rsid w:val="008A507F"/>
    <w:rsid w:val="008A617D"/>
    <w:rsid w:val="008A6436"/>
    <w:rsid w:val="008B094C"/>
    <w:rsid w:val="008B2418"/>
    <w:rsid w:val="008B5864"/>
    <w:rsid w:val="008B7DC4"/>
    <w:rsid w:val="008B7F90"/>
    <w:rsid w:val="008C0076"/>
    <w:rsid w:val="008C02C9"/>
    <w:rsid w:val="008C18B6"/>
    <w:rsid w:val="008C3B8C"/>
    <w:rsid w:val="008C52FD"/>
    <w:rsid w:val="008C55C2"/>
    <w:rsid w:val="008C7569"/>
    <w:rsid w:val="008D1187"/>
    <w:rsid w:val="008D1591"/>
    <w:rsid w:val="008D2816"/>
    <w:rsid w:val="008D2FDB"/>
    <w:rsid w:val="008D50ED"/>
    <w:rsid w:val="008D5572"/>
    <w:rsid w:val="008D5953"/>
    <w:rsid w:val="008E0233"/>
    <w:rsid w:val="008E0484"/>
    <w:rsid w:val="008E1802"/>
    <w:rsid w:val="008E2296"/>
    <w:rsid w:val="008E24EF"/>
    <w:rsid w:val="008E2E47"/>
    <w:rsid w:val="008E3A60"/>
    <w:rsid w:val="008E5E12"/>
    <w:rsid w:val="008E6CBE"/>
    <w:rsid w:val="008E7EE1"/>
    <w:rsid w:val="008E7F88"/>
    <w:rsid w:val="008F159F"/>
    <w:rsid w:val="008F48F7"/>
    <w:rsid w:val="008F6069"/>
    <w:rsid w:val="008F60FF"/>
    <w:rsid w:val="008F724E"/>
    <w:rsid w:val="008F7C5A"/>
    <w:rsid w:val="00902004"/>
    <w:rsid w:val="0090303E"/>
    <w:rsid w:val="00905552"/>
    <w:rsid w:val="00906EB2"/>
    <w:rsid w:val="0090704F"/>
    <w:rsid w:val="009075F3"/>
    <w:rsid w:val="0090765F"/>
    <w:rsid w:val="00910D84"/>
    <w:rsid w:val="00910FE3"/>
    <w:rsid w:val="00912E3B"/>
    <w:rsid w:val="00913193"/>
    <w:rsid w:val="00913CE0"/>
    <w:rsid w:val="00916934"/>
    <w:rsid w:val="00917854"/>
    <w:rsid w:val="00922251"/>
    <w:rsid w:val="00922889"/>
    <w:rsid w:val="00922AD1"/>
    <w:rsid w:val="00923F81"/>
    <w:rsid w:val="00924FCA"/>
    <w:rsid w:val="00926BB6"/>
    <w:rsid w:val="00927F98"/>
    <w:rsid w:val="00932A70"/>
    <w:rsid w:val="0093331E"/>
    <w:rsid w:val="00933BF9"/>
    <w:rsid w:val="00936784"/>
    <w:rsid w:val="009378E3"/>
    <w:rsid w:val="0094128E"/>
    <w:rsid w:val="0094362E"/>
    <w:rsid w:val="00943EC5"/>
    <w:rsid w:val="00944178"/>
    <w:rsid w:val="00946F2B"/>
    <w:rsid w:val="00953460"/>
    <w:rsid w:val="00953DA6"/>
    <w:rsid w:val="009564F3"/>
    <w:rsid w:val="009573F6"/>
    <w:rsid w:val="0096189D"/>
    <w:rsid w:val="00961DEE"/>
    <w:rsid w:val="009633C5"/>
    <w:rsid w:val="00964B48"/>
    <w:rsid w:val="00967A2A"/>
    <w:rsid w:val="00967CBE"/>
    <w:rsid w:val="00970C89"/>
    <w:rsid w:val="00973209"/>
    <w:rsid w:val="00974422"/>
    <w:rsid w:val="00975A11"/>
    <w:rsid w:val="00977955"/>
    <w:rsid w:val="00981C0D"/>
    <w:rsid w:val="00983A4E"/>
    <w:rsid w:val="009845C0"/>
    <w:rsid w:val="00985C39"/>
    <w:rsid w:val="0098602B"/>
    <w:rsid w:val="00987163"/>
    <w:rsid w:val="00990E1C"/>
    <w:rsid w:val="00994041"/>
    <w:rsid w:val="009940EA"/>
    <w:rsid w:val="00994F1E"/>
    <w:rsid w:val="00994F79"/>
    <w:rsid w:val="009A0001"/>
    <w:rsid w:val="009A12D0"/>
    <w:rsid w:val="009A30B2"/>
    <w:rsid w:val="009A3BF7"/>
    <w:rsid w:val="009A4917"/>
    <w:rsid w:val="009A6E09"/>
    <w:rsid w:val="009B0321"/>
    <w:rsid w:val="009B05B6"/>
    <w:rsid w:val="009B129F"/>
    <w:rsid w:val="009B19C6"/>
    <w:rsid w:val="009B47EA"/>
    <w:rsid w:val="009B4F44"/>
    <w:rsid w:val="009B6565"/>
    <w:rsid w:val="009C0E74"/>
    <w:rsid w:val="009C27F0"/>
    <w:rsid w:val="009C5566"/>
    <w:rsid w:val="009C57BD"/>
    <w:rsid w:val="009C6337"/>
    <w:rsid w:val="009D1853"/>
    <w:rsid w:val="009D1BFD"/>
    <w:rsid w:val="009D24D4"/>
    <w:rsid w:val="009D2908"/>
    <w:rsid w:val="009D609A"/>
    <w:rsid w:val="009D7A3B"/>
    <w:rsid w:val="009E1FEC"/>
    <w:rsid w:val="009E45AB"/>
    <w:rsid w:val="009F09FD"/>
    <w:rsid w:val="009F1650"/>
    <w:rsid w:val="009F1F47"/>
    <w:rsid w:val="009F2388"/>
    <w:rsid w:val="009F3EC6"/>
    <w:rsid w:val="009F4912"/>
    <w:rsid w:val="009F57F8"/>
    <w:rsid w:val="009F7412"/>
    <w:rsid w:val="00A00F9B"/>
    <w:rsid w:val="00A02EEF"/>
    <w:rsid w:val="00A03469"/>
    <w:rsid w:val="00A05BAE"/>
    <w:rsid w:val="00A06598"/>
    <w:rsid w:val="00A06B74"/>
    <w:rsid w:val="00A072E0"/>
    <w:rsid w:val="00A107B0"/>
    <w:rsid w:val="00A10FB7"/>
    <w:rsid w:val="00A119B9"/>
    <w:rsid w:val="00A124B9"/>
    <w:rsid w:val="00A124CF"/>
    <w:rsid w:val="00A14E59"/>
    <w:rsid w:val="00A16EA8"/>
    <w:rsid w:val="00A20916"/>
    <w:rsid w:val="00A226B8"/>
    <w:rsid w:val="00A235C9"/>
    <w:rsid w:val="00A241DE"/>
    <w:rsid w:val="00A24245"/>
    <w:rsid w:val="00A24407"/>
    <w:rsid w:val="00A268E2"/>
    <w:rsid w:val="00A27115"/>
    <w:rsid w:val="00A27670"/>
    <w:rsid w:val="00A27CD5"/>
    <w:rsid w:val="00A30D9D"/>
    <w:rsid w:val="00A31348"/>
    <w:rsid w:val="00A3506E"/>
    <w:rsid w:val="00A3585B"/>
    <w:rsid w:val="00A362C3"/>
    <w:rsid w:val="00A37D6A"/>
    <w:rsid w:val="00A40283"/>
    <w:rsid w:val="00A40BFD"/>
    <w:rsid w:val="00A44B71"/>
    <w:rsid w:val="00A45401"/>
    <w:rsid w:val="00A4577B"/>
    <w:rsid w:val="00A45E60"/>
    <w:rsid w:val="00A50B38"/>
    <w:rsid w:val="00A52942"/>
    <w:rsid w:val="00A52A38"/>
    <w:rsid w:val="00A52F1B"/>
    <w:rsid w:val="00A531E8"/>
    <w:rsid w:val="00A53E6F"/>
    <w:rsid w:val="00A53EF5"/>
    <w:rsid w:val="00A548F5"/>
    <w:rsid w:val="00A55554"/>
    <w:rsid w:val="00A6189B"/>
    <w:rsid w:val="00A61C0A"/>
    <w:rsid w:val="00A623CD"/>
    <w:rsid w:val="00A645F3"/>
    <w:rsid w:val="00A646B3"/>
    <w:rsid w:val="00A646D7"/>
    <w:rsid w:val="00A64F08"/>
    <w:rsid w:val="00A6575D"/>
    <w:rsid w:val="00A66047"/>
    <w:rsid w:val="00A66376"/>
    <w:rsid w:val="00A66950"/>
    <w:rsid w:val="00A669D2"/>
    <w:rsid w:val="00A703DD"/>
    <w:rsid w:val="00A7182A"/>
    <w:rsid w:val="00A71B22"/>
    <w:rsid w:val="00A73DAF"/>
    <w:rsid w:val="00A742C6"/>
    <w:rsid w:val="00A7510D"/>
    <w:rsid w:val="00A75B7E"/>
    <w:rsid w:val="00A8081F"/>
    <w:rsid w:val="00A812B3"/>
    <w:rsid w:val="00A81B06"/>
    <w:rsid w:val="00A83852"/>
    <w:rsid w:val="00A83A6E"/>
    <w:rsid w:val="00A83F56"/>
    <w:rsid w:val="00A847BF"/>
    <w:rsid w:val="00A859A8"/>
    <w:rsid w:val="00A86DDF"/>
    <w:rsid w:val="00A9099E"/>
    <w:rsid w:val="00A917B3"/>
    <w:rsid w:val="00A91E2B"/>
    <w:rsid w:val="00A923D5"/>
    <w:rsid w:val="00A931E2"/>
    <w:rsid w:val="00A93D51"/>
    <w:rsid w:val="00A93EF0"/>
    <w:rsid w:val="00A94159"/>
    <w:rsid w:val="00A94E7E"/>
    <w:rsid w:val="00A96B85"/>
    <w:rsid w:val="00A97566"/>
    <w:rsid w:val="00AA0B27"/>
    <w:rsid w:val="00AA4CBE"/>
    <w:rsid w:val="00AA5B5E"/>
    <w:rsid w:val="00AA5F13"/>
    <w:rsid w:val="00AA724A"/>
    <w:rsid w:val="00AB0B37"/>
    <w:rsid w:val="00AB2113"/>
    <w:rsid w:val="00AB21EA"/>
    <w:rsid w:val="00AB3248"/>
    <w:rsid w:val="00AB3478"/>
    <w:rsid w:val="00AB5AAA"/>
    <w:rsid w:val="00AB60AC"/>
    <w:rsid w:val="00AB731C"/>
    <w:rsid w:val="00AC0CAF"/>
    <w:rsid w:val="00AC103C"/>
    <w:rsid w:val="00AC231E"/>
    <w:rsid w:val="00AC2A2B"/>
    <w:rsid w:val="00AC35F8"/>
    <w:rsid w:val="00AC4386"/>
    <w:rsid w:val="00AC4D5F"/>
    <w:rsid w:val="00AC5367"/>
    <w:rsid w:val="00AC70FE"/>
    <w:rsid w:val="00AC7958"/>
    <w:rsid w:val="00AD13C4"/>
    <w:rsid w:val="00AD3EC9"/>
    <w:rsid w:val="00AD58CA"/>
    <w:rsid w:val="00AD66DD"/>
    <w:rsid w:val="00AE12E0"/>
    <w:rsid w:val="00AE16E5"/>
    <w:rsid w:val="00AE1808"/>
    <w:rsid w:val="00AE45DB"/>
    <w:rsid w:val="00AE47A9"/>
    <w:rsid w:val="00AE554A"/>
    <w:rsid w:val="00AE65AB"/>
    <w:rsid w:val="00AE6B55"/>
    <w:rsid w:val="00AF4379"/>
    <w:rsid w:val="00AF43B8"/>
    <w:rsid w:val="00AF6962"/>
    <w:rsid w:val="00AF7217"/>
    <w:rsid w:val="00B0246A"/>
    <w:rsid w:val="00B03003"/>
    <w:rsid w:val="00B051B5"/>
    <w:rsid w:val="00B0570B"/>
    <w:rsid w:val="00B05DE8"/>
    <w:rsid w:val="00B0610E"/>
    <w:rsid w:val="00B07482"/>
    <w:rsid w:val="00B07E0B"/>
    <w:rsid w:val="00B119FB"/>
    <w:rsid w:val="00B14EB6"/>
    <w:rsid w:val="00B157B6"/>
    <w:rsid w:val="00B16255"/>
    <w:rsid w:val="00B167EB"/>
    <w:rsid w:val="00B17618"/>
    <w:rsid w:val="00B177AF"/>
    <w:rsid w:val="00B22C65"/>
    <w:rsid w:val="00B23723"/>
    <w:rsid w:val="00B239A6"/>
    <w:rsid w:val="00B24D55"/>
    <w:rsid w:val="00B252E2"/>
    <w:rsid w:val="00B2565A"/>
    <w:rsid w:val="00B314EE"/>
    <w:rsid w:val="00B33EA4"/>
    <w:rsid w:val="00B34EE5"/>
    <w:rsid w:val="00B367DD"/>
    <w:rsid w:val="00B36F0C"/>
    <w:rsid w:val="00B36FBB"/>
    <w:rsid w:val="00B3733D"/>
    <w:rsid w:val="00B376AE"/>
    <w:rsid w:val="00B41BE0"/>
    <w:rsid w:val="00B4359E"/>
    <w:rsid w:val="00B43889"/>
    <w:rsid w:val="00B44DD5"/>
    <w:rsid w:val="00B461EC"/>
    <w:rsid w:val="00B4656A"/>
    <w:rsid w:val="00B50C8E"/>
    <w:rsid w:val="00B5153D"/>
    <w:rsid w:val="00B51EC3"/>
    <w:rsid w:val="00B520D4"/>
    <w:rsid w:val="00B53078"/>
    <w:rsid w:val="00B54212"/>
    <w:rsid w:val="00B55B2A"/>
    <w:rsid w:val="00B55C89"/>
    <w:rsid w:val="00B57496"/>
    <w:rsid w:val="00B5789A"/>
    <w:rsid w:val="00B57D51"/>
    <w:rsid w:val="00B60F06"/>
    <w:rsid w:val="00B619E7"/>
    <w:rsid w:val="00B62D0F"/>
    <w:rsid w:val="00B649BC"/>
    <w:rsid w:val="00B663A2"/>
    <w:rsid w:val="00B70818"/>
    <w:rsid w:val="00B718AC"/>
    <w:rsid w:val="00B719F2"/>
    <w:rsid w:val="00B71AB6"/>
    <w:rsid w:val="00B71B25"/>
    <w:rsid w:val="00B72132"/>
    <w:rsid w:val="00B725FE"/>
    <w:rsid w:val="00B738AB"/>
    <w:rsid w:val="00B757F4"/>
    <w:rsid w:val="00B7582C"/>
    <w:rsid w:val="00B7725C"/>
    <w:rsid w:val="00B77C41"/>
    <w:rsid w:val="00B81669"/>
    <w:rsid w:val="00B8412B"/>
    <w:rsid w:val="00B84B4E"/>
    <w:rsid w:val="00B85682"/>
    <w:rsid w:val="00B907B5"/>
    <w:rsid w:val="00B93F0F"/>
    <w:rsid w:val="00B966C3"/>
    <w:rsid w:val="00B976F1"/>
    <w:rsid w:val="00B977CD"/>
    <w:rsid w:val="00BA0A1C"/>
    <w:rsid w:val="00BA1188"/>
    <w:rsid w:val="00BA246E"/>
    <w:rsid w:val="00BA4CAE"/>
    <w:rsid w:val="00BA6DA0"/>
    <w:rsid w:val="00BA7BA9"/>
    <w:rsid w:val="00BA7EE5"/>
    <w:rsid w:val="00BA7FE0"/>
    <w:rsid w:val="00BB05F7"/>
    <w:rsid w:val="00BB1991"/>
    <w:rsid w:val="00BB1EF7"/>
    <w:rsid w:val="00BB2BBD"/>
    <w:rsid w:val="00BB3999"/>
    <w:rsid w:val="00BB44AB"/>
    <w:rsid w:val="00BB56F4"/>
    <w:rsid w:val="00BB5D36"/>
    <w:rsid w:val="00BB5DB4"/>
    <w:rsid w:val="00BB6C95"/>
    <w:rsid w:val="00BB7196"/>
    <w:rsid w:val="00BC09EF"/>
    <w:rsid w:val="00BC0F7C"/>
    <w:rsid w:val="00BC198F"/>
    <w:rsid w:val="00BC2764"/>
    <w:rsid w:val="00BC294E"/>
    <w:rsid w:val="00BC2A0B"/>
    <w:rsid w:val="00BC5961"/>
    <w:rsid w:val="00BC5F53"/>
    <w:rsid w:val="00BC78C6"/>
    <w:rsid w:val="00BC7A3F"/>
    <w:rsid w:val="00BD27D5"/>
    <w:rsid w:val="00BD5052"/>
    <w:rsid w:val="00BD6087"/>
    <w:rsid w:val="00BD62AC"/>
    <w:rsid w:val="00BD67C6"/>
    <w:rsid w:val="00BE0046"/>
    <w:rsid w:val="00BE0590"/>
    <w:rsid w:val="00BE27D7"/>
    <w:rsid w:val="00BE2980"/>
    <w:rsid w:val="00BE2DBB"/>
    <w:rsid w:val="00BE4671"/>
    <w:rsid w:val="00BE6447"/>
    <w:rsid w:val="00BF0244"/>
    <w:rsid w:val="00BF0872"/>
    <w:rsid w:val="00BF0A22"/>
    <w:rsid w:val="00BF0F25"/>
    <w:rsid w:val="00BF13CA"/>
    <w:rsid w:val="00BF154E"/>
    <w:rsid w:val="00BF198E"/>
    <w:rsid w:val="00BF31EF"/>
    <w:rsid w:val="00BF3B44"/>
    <w:rsid w:val="00BF3C7D"/>
    <w:rsid w:val="00BF3FEB"/>
    <w:rsid w:val="00BF4439"/>
    <w:rsid w:val="00BF5026"/>
    <w:rsid w:val="00BF5CBB"/>
    <w:rsid w:val="00BF631F"/>
    <w:rsid w:val="00C01D97"/>
    <w:rsid w:val="00C021AB"/>
    <w:rsid w:val="00C02C63"/>
    <w:rsid w:val="00C03A36"/>
    <w:rsid w:val="00C0464F"/>
    <w:rsid w:val="00C04DEE"/>
    <w:rsid w:val="00C06686"/>
    <w:rsid w:val="00C06B76"/>
    <w:rsid w:val="00C07F6B"/>
    <w:rsid w:val="00C104A1"/>
    <w:rsid w:val="00C12426"/>
    <w:rsid w:val="00C1252F"/>
    <w:rsid w:val="00C14F68"/>
    <w:rsid w:val="00C15176"/>
    <w:rsid w:val="00C15804"/>
    <w:rsid w:val="00C16BC9"/>
    <w:rsid w:val="00C22698"/>
    <w:rsid w:val="00C23BB3"/>
    <w:rsid w:val="00C2506B"/>
    <w:rsid w:val="00C25403"/>
    <w:rsid w:val="00C25811"/>
    <w:rsid w:val="00C25FFA"/>
    <w:rsid w:val="00C266B8"/>
    <w:rsid w:val="00C3270E"/>
    <w:rsid w:val="00C34A38"/>
    <w:rsid w:val="00C34E9F"/>
    <w:rsid w:val="00C354AD"/>
    <w:rsid w:val="00C37063"/>
    <w:rsid w:val="00C40AAB"/>
    <w:rsid w:val="00C41524"/>
    <w:rsid w:val="00C418B9"/>
    <w:rsid w:val="00C422B0"/>
    <w:rsid w:val="00C44314"/>
    <w:rsid w:val="00C451DD"/>
    <w:rsid w:val="00C471F7"/>
    <w:rsid w:val="00C47DE4"/>
    <w:rsid w:val="00C47F8C"/>
    <w:rsid w:val="00C505E3"/>
    <w:rsid w:val="00C5070D"/>
    <w:rsid w:val="00C50E13"/>
    <w:rsid w:val="00C52947"/>
    <w:rsid w:val="00C5309D"/>
    <w:rsid w:val="00C53504"/>
    <w:rsid w:val="00C54077"/>
    <w:rsid w:val="00C54712"/>
    <w:rsid w:val="00C564B6"/>
    <w:rsid w:val="00C5733C"/>
    <w:rsid w:val="00C57395"/>
    <w:rsid w:val="00C606B3"/>
    <w:rsid w:val="00C614C3"/>
    <w:rsid w:val="00C619E6"/>
    <w:rsid w:val="00C62997"/>
    <w:rsid w:val="00C630CC"/>
    <w:rsid w:val="00C6382C"/>
    <w:rsid w:val="00C63EBA"/>
    <w:rsid w:val="00C657AC"/>
    <w:rsid w:val="00C665DB"/>
    <w:rsid w:val="00C669E0"/>
    <w:rsid w:val="00C67367"/>
    <w:rsid w:val="00C7175A"/>
    <w:rsid w:val="00C7284C"/>
    <w:rsid w:val="00C73996"/>
    <w:rsid w:val="00C75495"/>
    <w:rsid w:val="00C76112"/>
    <w:rsid w:val="00C76CE6"/>
    <w:rsid w:val="00C77EC1"/>
    <w:rsid w:val="00C820B7"/>
    <w:rsid w:val="00C82E1A"/>
    <w:rsid w:val="00C846FE"/>
    <w:rsid w:val="00C84B0A"/>
    <w:rsid w:val="00C85F4A"/>
    <w:rsid w:val="00C87205"/>
    <w:rsid w:val="00C902A9"/>
    <w:rsid w:val="00C90A56"/>
    <w:rsid w:val="00C9196A"/>
    <w:rsid w:val="00C92413"/>
    <w:rsid w:val="00C9254E"/>
    <w:rsid w:val="00C93ECB"/>
    <w:rsid w:val="00C94E46"/>
    <w:rsid w:val="00C96A66"/>
    <w:rsid w:val="00CA0FAC"/>
    <w:rsid w:val="00CA1189"/>
    <w:rsid w:val="00CA21FF"/>
    <w:rsid w:val="00CA545D"/>
    <w:rsid w:val="00CA5D96"/>
    <w:rsid w:val="00CA667A"/>
    <w:rsid w:val="00CB1E1D"/>
    <w:rsid w:val="00CB2311"/>
    <w:rsid w:val="00CB31C6"/>
    <w:rsid w:val="00CB3599"/>
    <w:rsid w:val="00CB463D"/>
    <w:rsid w:val="00CB4CA9"/>
    <w:rsid w:val="00CB4DF7"/>
    <w:rsid w:val="00CB6510"/>
    <w:rsid w:val="00CC0507"/>
    <w:rsid w:val="00CC23ED"/>
    <w:rsid w:val="00CC3C19"/>
    <w:rsid w:val="00CC4F8D"/>
    <w:rsid w:val="00CC53AC"/>
    <w:rsid w:val="00CC5E29"/>
    <w:rsid w:val="00CC63EA"/>
    <w:rsid w:val="00CC7B1C"/>
    <w:rsid w:val="00CD27F2"/>
    <w:rsid w:val="00CD360D"/>
    <w:rsid w:val="00CD3A41"/>
    <w:rsid w:val="00CD7316"/>
    <w:rsid w:val="00CE086C"/>
    <w:rsid w:val="00CE2545"/>
    <w:rsid w:val="00CE3CA6"/>
    <w:rsid w:val="00CE4558"/>
    <w:rsid w:val="00CE575C"/>
    <w:rsid w:val="00CE5B69"/>
    <w:rsid w:val="00CF0371"/>
    <w:rsid w:val="00CF0B80"/>
    <w:rsid w:val="00CF23E0"/>
    <w:rsid w:val="00CF25CE"/>
    <w:rsid w:val="00CF2FDF"/>
    <w:rsid w:val="00CF459F"/>
    <w:rsid w:val="00CF4C68"/>
    <w:rsid w:val="00CF59E5"/>
    <w:rsid w:val="00CF7DA5"/>
    <w:rsid w:val="00D0120F"/>
    <w:rsid w:val="00D01D86"/>
    <w:rsid w:val="00D021B0"/>
    <w:rsid w:val="00D0413A"/>
    <w:rsid w:val="00D0461C"/>
    <w:rsid w:val="00D06FC2"/>
    <w:rsid w:val="00D1075B"/>
    <w:rsid w:val="00D1080C"/>
    <w:rsid w:val="00D1228E"/>
    <w:rsid w:val="00D14576"/>
    <w:rsid w:val="00D16610"/>
    <w:rsid w:val="00D17246"/>
    <w:rsid w:val="00D17411"/>
    <w:rsid w:val="00D17557"/>
    <w:rsid w:val="00D20250"/>
    <w:rsid w:val="00D21008"/>
    <w:rsid w:val="00D215A2"/>
    <w:rsid w:val="00D215A9"/>
    <w:rsid w:val="00D222F9"/>
    <w:rsid w:val="00D22C8E"/>
    <w:rsid w:val="00D2315A"/>
    <w:rsid w:val="00D247D1"/>
    <w:rsid w:val="00D247F8"/>
    <w:rsid w:val="00D25101"/>
    <w:rsid w:val="00D2561E"/>
    <w:rsid w:val="00D27940"/>
    <w:rsid w:val="00D308D8"/>
    <w:rsid w:val="00D311B5"/>
    <w:rsid w:val="00D328D7"/>
    <w:rsid w:val="00D330BF"/>
    <w:rsid w:val="00D356F8"/>
    <w:rsid w:val="00D37487"/>
    <w:rsid w:val="00D40491"/>
    <w:rsid w:val="00D4189F"/>
    <w:rsid w:val="00D41B16"/>
    <w:rsid w:val="00D425F2"/>
    <w:rsid w:val="00D43A46"/>
    <w:rsid w:val="00D444BD"/>
    <w:rsid w:val="00D44BC2"/>
    <w:rsid w:val="00D45A18"/>
    <w:rsid w:val="00D50FF0"/>
    <w:rsid w:val="00D522DB"/>
    <w:rsid w:val="00D53B8B"/>
    <w:rsid w:val="00D53DFC"/>
    <w:rsid w:val="00D5465B"/>
    <w:rsid w:val="00D55134"/>
    <w:rsid w:val="00D568BB"/>
    <w:rsid w:val="00D57574"/>
    <w:rsid w:val="00D613AB"/>
    <w:rsid w:val="00D633D7"/>
    <w:rsid w:val="00D63A17"/>
    <w:rsid w:val="00D644C0"/>
    <w:rsid w:val="00D64C78"/>
    <w:rsid w:val="00D65D4C"/>
    <w:rsid w:val="00D66537"/>
    <w:rsid w:val="00D66F77"/>
    <w:rsid w:val="00D6774C"/>
    <w:rsid w:val="00D731E6"/>
    <w:rsid w:val="00D75ED5"/>
    <w:rsid w:val="00D807B1"/>
    <w:rsid w:val="00D82B97"/>
    <w:rsid w:val="00D85C7A"/>
    <w:rsid w:val="00D904DE"/>
    <w:rsid w:val="00D90528"/>
    <w:rsid w:val="00D92BBC"/>
    <w:rsid w:val="00D92EDE"/>
    <w:rsid w:val="00D93D0D"/>
    <w:rsid w:val="00D95C03"/>
    <w:rsid w:val="00D978DB"/>
    <w:rsid w:val="00DA087D"/>
    <w:rsid w:val="00DA5512"/>
    <w:rsid w:val="00DA589B"/>
    <w:rsid w:val="00DA6733"/>
    <w:rsid w:val="00DA7D05"/>
    <w:rsid w:val="00DB074A"/>
    <w:rsid w:val="00DB1BAF"/>
    <w:rsid w:val="00DB3172"/>
    <w:rsid w:val="00DB5805"/>
    <w:rsid w:val="00DB6080"/>
    <w:rsid w:val="00DC03F6"/>
    <w:rsid w:val="00DC0EAB"/>
    <w:rsid w:val="00DC2D99"/>
    <w:rsid w:val="00DC5E75"/>
    <w:rsid w:val="00DC6C4A"/>
    <w:rsid w:val="00DC78AE"/>
    <w:rsid w:val="00DC7A9D"/>
    <w:rsid w:val="00DD1729"/>
    <w:rsid w:val="00DD2705"/>
    <w:rsid w:val="00DD3757"/>
    <w:rsid w:val="00DD3B24"/>
    <w:rsid w:val="00DD77F0"/>
    <w:rsid w:val="00DD7C30"/>
    <w:rsid w:val="00DE05FD"/>
    <w:rsid w:val="00DE1108"/>
    <w:rsid w:val="00DE1380"/>
    <w:rsid w:val="00DE2F9D"/>
    <w:rsid w:val="00DE325A"/>
    <w:rsid w:val="00DE3AB8"/>
    <w:rsid w:val="00DE5F02"/>
    <w:rsid w:val="00DE6696"/>
    <w:rsid w:val="00DF0825"/>
    <w:rsid w:val="00DF0D87"/>
    <w:rsid w:val="00DF1706"/>
    <w:rsid w:val="00DF1E31"/>
    <w:rsid w:val="00DF24FB"/>
    <w:rsid w:val="00DF4DBC"/>
    <w:rsid w:val="00DF70C0"/>
    <w:rsid w:val="00DF7AB6"/>
    <w:rsid w:val="00DF7BB3"/>
    <w:rsid w:val="00E030A1"/>
    <w:rsid w:val="00E0533E"/>
    <w:rsid w:val="00E05588"/>
    <w:rsid w:val="00E073A1"/>
    <w:rsid w:val="00E07475"/>
    <w:rsid w:val="00E07DBB"/>
    <w:rsid w:val="00E10C60"/>
    <w:rsid w:val="00E1409B"/>
    <w:rsid w:val="00E20C68"/>
    <w:rsid w:val="00E25D48"/>
    <w:rsid w:val="00E313FF"/>
    <w:rsid w:val="00E3165B"/>
    <w:rsid w:val="00E32994"/>
    <w:rsid w:val="00E334B8"/>
    <w:rsid w:val="00E347A9"/>
    <w:rsid w:val="00E3689F"/>
    <w:rsid w:val="00E42283"/>
    <w:rsid w:val="00E438E6"/>
    <w:rsid w:val="00E45412"/>
    <w:rsid w:val="00E45C31"/>
    <w:rsid w:val="00E46BC9"/>
    <w:rsid w:val="00E503E0"/>
    <w:rsid w:val="00E5122E"/>
    <w:rsid w:val="00E51C5C"/>
    <w:rsid w:val="00E54471"/>
    <w:rsid w:val="00E55032"/>
    <w:rsid w:val="00E56647"/>
    <w:rsid w:val="00E569F3"/>
    <w:rsid w:val="00E56A8C"/>
    <w:rsid w:val="00E56E49"/>
    <w:rsid w:val="00E5704B"/>
    <w:rsid w:val="00E6037C"/>
    <w:rsid w:val="00E6052E"/>
    <w:rsid w:val="00E61524"/>
    <w:rsid w:val="00E661AF"/>
    <w:rsid w:val="00E7225D"/>
    <w:rsid w:val="00E72AA8"/>
    <w:rsid w:val="00E753A0"/>
    <w:rsid w:val="00E767C8"/>
    <w:rsid w:val="00E77D97"/>
    <w:rsid w:val="00E81F20"/>
    <w:rsid w:val="00E836FD"/>
    <w:rsid w:val="00E83A8A"/>
    <w:rsid w:val="00E84FD6"/>
    <w:rsid w:val="00E85295"/>
    <w:rsid w:val="00E86395"/>
    <w:rsid w:val="00E86A78"/>
    <w:rsid w:val="00E87685"/>
    <w:rsid w:val="00E905D7"/>
    <w:rsid w:val="00E915D7"/>
    <w:rsid w:val="00E916DA"/>
    <w:rsid w:val="00E91B9C"/>
    <w:rsid w:val="00E95845"/>
    <w:rsid w:val="00E9735D"/>
    <w:rsid w:val="00E975A4"/>
    <w:rsid w:val="00E97F39"/>
    <w:rsid w:val="00EA098D"/>
    <w:rsid w:val="00EA1B03"/>
    <w:rsid w:val="00EA2B65"/>
    <w:rsid w:val="00EA50C8"/>
    <w:rsid w:val="00EA58C7"/>
    <w:rsid w:val="00EA6B75"/>
    <w:rsid w:val="00EA71D3"/>
    <w:rsid w:val="00EB10B1"/>
    <w:rsid w:val="00EB1195"/>
    <w:rsid w:val="00EB119B"/>
    <w:rsid w:val="00EB394E"/>
    <w:rsid w:val="00EB4106"/>
    <w:rsid w:val="00EB4C88"/>
    <w:rsid w:val="00EB5D9D"/>
    <w:rsid w:val="00EB6372"/>
    <w:rsid w:val="00EB698A"/>
    <w:rsid w:val="00EB6B71"/>
    <w:rsid w:val="00EB6BD4"/>
    <w:rsid w:val="00EC01A9"/>
    <w:rsid w:val="00EC1359"/>
    <w:rsid w:val="00EC37E3"/>
    <w:rsid w:val="00EC5299"/>
    <w:rsid w:val="00EC64FA"/>
    <w:rsid w:val="00EC7EEC"/>
    <w:rsid w:val="00ED09B9"/>
    <w:rsid w:val="00ED1390"/>
    <w:rsid w:val="00ED3649"/>
    <w:rsid w:val="00ED690B"/>
    <w:rsid w:val="00ED6D5A"/>
    <w:rsid w:val="00ED7BFC"/>
    <w:rsid w:val="00EE009F"/>
    <w:rsid w:val="00EE0481"/>
    <w:rsid w:val="00EE0E45"/>
    <w:rsid w:val="00EE0E5E"/>
    <w:rsid w:val="00EE1574"/>
    <w:rsid w:val="00EE49F2"/>
    <w:rsid w:val="00EE5779"/>
    <w:rsid w:val="00EE5968"/>
    <w:rsid w:val="00EE70D3"/>
    <w:rsid w:val="00EF1AD8"/>
    <w:rsid w:val="00EF227D"/>
    <w:rsid w:val="00EF2E17"/>
    <w:rsid w:val="00EF4376"/>
    <w:rsid w:val="00EF58FD"/>
    <w:rsid w:val="00EF6416"/>
    <w:rsid w:val="00EF7E20"/>
    <w:rsid w:val="00EF7F11"/>
    <w:rsid w:val="00F0026B"/>
    <w:rsid w:val="00F00B5C"/>
    <w:rsid w:val="00F04F4B"/>
    <w:rsid w:val="00F05DBD"/>
    <w:rsid w:val="00F064C0"/>
    <w:rsid w:val="00F06F3B"/>
    <w:rsid w:val="00F10DA5"/>
    <w:rsid w:val="00F126B3"/>
    <w:rsid w:val="00F13D85"/>
    <w:rsid w:val="00F1433D"/>
    <w:rsid w:val="00F14D63"/>
    <w:rsid w:val="00F14E7F"/>
    <w:rsid w:val="00F164B2"/>
    <w:rsid w:val="00F17744"/>
    <w:rsid w:val="00F17C47"/>
    <w:rsid w:val="00F20E2F"/>
    <w:rsid w:val="00F210E1"/>
    <w:rsid w:val="00F21401"/>
    <w:rsid w:val="00F22ABB"/>
    <w:rsid w:val="00F22CFE"/>
    <w:rsid w:val="00F25CC7"/>
    <w:rsid w:val="00F2641F"/>
    <w:rsid w:val="00F3093D"/>
    <w:rsid w:val="00F30F01"/>
    <w:rsid w:val="00F317D1"/>
    <w:rsid w:val="00F32855"/>
    <w:rsid w:val="00F340EB"/>
    <w:rsid w:val="00F42EB9"/>
    <w:rsid w:val="00F4313E"/>
    <w:rsid w:val="00F45002"/>
    <w:rsid w:val="00F454BD"/>
    <w:rsid w:val="00F47299"/>
    <w:rsid w:val="00F523E6"/>
    <w:rsid w:val="00F52C3F"/>
    <w:rsid w:val="00F53C00"/>
    <w:rsid w:val="00F53EB4"/>
    <w:rsid w:val="00F54CCA"/>
    <w:rsid w:val="00F55C0E"/>
    <w:rsid w:val="00F56BBF"/>
    <w:rsid w:val="00F56CE4"/>
    <w:rsid w:val="00F56F22"/>
    <w:rsid w:val="00F5718C"/>
    <w:rsid w:val="00F609E1"/>
    <w:rsid w:val="00F61204"/>
    <w:rsid w:val="00F62192"/>
    <w:rsid w:val="00F62D11"/>
    <w:rsid w:val="00F63FBF"/>
    <w:rsid w:val="00F64933"/>
    <w:rsid w:val="00F65D50"/>
    <w:rsid w:val="00F66D91"/>
    <w:rsid w:val="00F713CE"/>
    <w:rsid w:val="00F735AD"/>
    <w:rsid w:val="00F7373D"/>
    <w:rsid w:val="00F7397B"/>
    <w:rsid w:val="00F81B26"/>
    <w:rsid w:val="00F823C9"/>
    <w:rsid w:val="00F8244D"/>
    <w:rsid w:val="00F836AA"/>
    <w:rsid w:val="00F83A69"/>
    <w:rsid w:val="00F8415E"/>
    <w:rsid w:val="00F8486E"/>
    <w:rsid w:val="00F84F4C"/>
    <w:rsid w:val="00F85449"/>
    <w:rsid w:val="00F86532"/>
    <w:rsid w:val="00F8709D"/>
    <w:rsid w:val="00F939DE"/>
    <w:rsid w:val="00F94E17"/>
    <w:rsid w:val="00F96136"/>
    <w:rsid w:val="00F968B7"/>
    <w:rsid w:val="00F971EC"/>
    <w:rsid w:val="00F97989"/>
    <w:rsid w:val="00FA12F2"/>
    <w:rsid w:val="00FA199A"/>
    <w:rsid w:val="00FA30C8"/>
    <w:rsid w:val="00FA3871"/>
    <w:rsid w:val="00FA39A0"/>
    <w:rsid w:val="00FA3DB0"/>
    <w:rsid w:val="00FA3DFE"/>
    <w:rsid w:val="00FA4212"/>
    <w:rsid w:val="00FA51F1"/>
    <w:rsid w:val="00FA521A"/>
    <w:rsid w:val="00FA6BB1"/>
    <w:rsid w:val="00FA70EB"/>
    <w:rsid w:val="00FB1043"/>
    <w:rsid w:val="00FB1707"/>
    <w:rsid w:val="00FB4899"/>
    <w:rsid w:val="00FB4C36"/>
    <w:rsid w:val="00FB4C96"/>
    <w:rsid w:val="00FB4EB0"/>
    <w:rsid w:val="00FB4F68"/>
    <w:rsid w:val="00FB6A67"/>
    <w:rsid w:val="00FC0555"/>
    <w:rsid w:val="00FC47D5"/>
    <w:rsid w:val="00FC54DF"/>
    <w:rsid w:val="00FC730E"/>
    <w:rsid w:val="00FD0B2D"/>
    <w:rsid w:val="00FD2325"/>
    <w:rsid w:val="00FD2C60"/>
    <w:rsid w:val="00FD39BD"/>
    <w:rsid w:val="00FD44AE"/>
    <w:rsid w:val="00FD57B1"/>
    <w:rsid w:val="00FE141A"/>
    <w:rsid w:val="00FE211E"/>
    <w:rsid w:val="00FE23FA"/>
    <w:rsid w:val="00FE3768"/>
    <w:rsid w:val="00FE42D6"/>
    <w:rsid w:val="00FE59C4"/>
    <w:rsid w:val="00FE7869"/>
    <w:rsid w:val="00FE7B96"/>
    <w:rsid w:val="00FF55DA"/>
    <w:rsid w:val="00FF5782"/>
    <w:rsid w:val="00FF5C57"/>
    <w:rsid w:val="00FF66A9"/>
    <w:rsid w:val="00FF699F"/>
    <w:rsid w:val="00FF6C25"/>
    <w:rsid w:val="00FF72C3"/>
    <w:rsid w:val="00FF7704"/>
    <w:rsid w:val="166DD28D"/>
    <w:rsid w:val="261EA80B"/>
    <w:rsid w:val="4B011E8C"/>
    <w:rsid w:val="5CFF68A1"/>
    <w:rsid w:val="5DEC6F4E"/>
    <w:rsid w:val="617E6BE9"/>
    <w:rsid w:val="6193DDA0"/>
    <w:rsid w:val="6E7C96AB"/>
    <w:rsid w:val="78A87E7A"/>
    <w:rsid w:val="7BDFED23"/>
    <w:rsid w:val="7CA627CC"/>
    <w:rsid w:val="7F3B23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D8867"/>
  <w15:docId w15:val="{AAFBF90F-C7A4-4542-942B-53362234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5645E2"/>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9"/>
    <w:qFormat/>
    <w:rsid w:val="00F0026B"/>
    <w:pPr>
      <w:keepNext/>
      <w:outlineLvl w:val="0"/>
    </w:pPr>
    <w:rPr>
      <w:rFonts w:ascii="Arial" w:hAnsi="Arial" w:cs="Arial"/>
      <w:b/>
      <w:bCs/>
      <w:kern w:val="28"/>
      <w:sz w:val="80"/>
      <w:szCs w:val="32"/>
      <w14:ligatures w14:val="standardContextual"/>
    </w:rPr>
  </w:style>
  <w:style w:type="paragraph" w:styleId="Heading2">
    <w:name w:val="heading 2"/>
    <w:next w:val="Normal"/>
    <w:link w:val="Heading2Char"/>
    <w:uiPriority w:val="9"/>
    <w:qFormat/>
    <w:rsid w:val="00242AE3"/>
    <w:pPr>
      <w:keepNext/>
      <w:tabs>
        <w:tab w:val="left" w:pos="5963"/>
      </w:tabs>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9"/>
    <w:qFormat/>
    <w:rsid w:val="005645E2"/>
    <w:pPr>
      <w:keepNext/>
      <w:spacing w:before="300" w:after="60"/>
      <w:outlineLvl w:val="2"/>
    </w:pPr>
    <w:rPr>
      <w:rFonts w:ascii="Arial" w:hAnsi="Arial" w:cs="Arial"/>
      <w:b/>
      <w:kern w:val="28"/>
      <w:sz w:val="32"/>
      <w:szCs w:val="24"/>
      <w14:ligatures w14:val="standardContextual"/>
    </w:rPr>
  </w:style>
  <w:style w:type="paragraph" w:styleId="Heading4">
    <w:name w:val="heading 4"/>
    <w:next w:val="Normal"/>
    <w:link w:val="Heading4Char"/>
    <w:uiPriority w:val="9"/>
    <w:qFormat/>
    <w:rsid w:val="005645E2"/>
    <w:pPr>
      <w:keepNext/>
      <w:spacing w:before="300" w:after="60"/>
      <w:outlineLvl w:val="3"/>
    </w:pPr>
    <w:rPr>
      <w:rFonts w:ascii="Arial Bold" w:eastAsia="MS Mincho" w:hAnsi="Arial Bold"/>
      <w:b/>
      <w:color w:val="231F20" w:themeColor="background1"/>
      <w:kern w:val="28"/>
      <w:sz w:val="28"/>
      <w14:ligatures w14:val="standardContextual"/>
    </w:rPr>
  </w:style>
  <w:style w:type="paragraph" w:styleId="Heading5">
    <w:name w:val="heading 5"/>
    <w:next w:val="Normal"/>
    <w:link w:val="Heading5Char"/>
    <w:uiPriority w:val="9"/>
    <w:qFormat/>
    <w:rsid w:val="005645E2"/>
    <w:pPr>
      <w:keepNext/>
      <w:keepLines/>
      <w:spacing w:before="300" w:after="60"/>
      <w:outlineLvl w:val="4"/>
    </w:pPr>
    <w:rPr>
      <w:rFonts w:ascii="Arial" w:eastAsiaTheme="majorEastAsia" w:hAnsi="Arial" w:cs="Arial (Headings CS)"/>
      <w:b/>
      <w:color w:val="005EB8" w:themeColor="text2"/>
      <w:kern w:val="28"/>
      <w:sz w:val="24"/>
      <w:szCs w:val="24"/>
      <w14:ligatures w14:val="standardContextual"/>
    </w:rPr>
  </w:style>
  <w:style w:type="paragraph" w:styleId="Heading6">
    <w:name w:val="heading 6"/>
    <w:next w:val="Normal"/>
    <w:link w:val="Heading6Char"/>
    <w:autoRedefine/>
    <w:uiPriority w:val="9"/>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paragraph" w:styleId="Heading7">
    <w:name w:val="heading 7"/>
    <w:basedOn w:val="Normal"/>
    <w:next w:val="Normal"/>
    <w:link w:val="Heading7Char"/>
    <w:uiPriority w:val="9"/>
    <w:unhideWhenUsed/>
    <w:qFormat/>
    <w:rsid w:val="00FF6C25"/>
    <w:pPr>
      <w:keepNext/>
      <w:widowControl w:val="0"/>
      <w:autoSpaceDE w:val="0"/>
      <w:autoSpaceDN w:val="0"/>
      <w:spacing w:before="40" w:after="0" w:line="240" w:lineRule="auto"/>
      <w:textboxTightWrap w:val="none"/>
      <w:outlineLvl w:val="6"/>
    </w:pPr>
    <w:rPr>
      <w:rFonts w:asciiTheme="majorHAnsi" w:eastAsiaTheme="majorEastAsia" w:hAnsiTheme="majorHAnsi" w:cstheme="majorBidi"/>
      <w:i/>
      <w:iCs/>
      <w:color w:val="243F60"/>
      <w:sz w:val="22"/>
      <w:szCs w:val="22"/>
    </w:rPr>
  </w:style>
  <w:style w:type="paragraph" w:styleId="Heading8">
    <w:name w:val="heading 8"/>
    <w:basedOn w:val="Normal"/>
    <w:next w:val="Normal"/>
    <w:link w:val="Heading8Char"/>
    <w:uiPriority w:val="9"/>
    <w:unhideWhenUsed/>
    <w:qFormat/>
    <w:rsid w:val="00FF6C25"/>
    <w:pPr>
      <w:keepNext/>
      <w:widowControl w:val="0"/>
      <w:autoSpaceDE w:val="0"/>
      <w:autoSpaceDN w:val="0"/>
      <w:spacing w:before="40" w:after="0" w:line="240" w:lineRule="auto"/>
      <w:textboxTightWrap w:val="none"/>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FF6C25"/>
    <w:pPr>
      <w:keepNext/>
      <w:widowControl w:val="0"/>
      <w:autoSpaceDE w:val="0"/>
      <w:autoSpaceDN w:val="0"/>
      <w:spacing w:before="40" w:after="0" w:line="240" w:lineRule="auto"/>
      <w:textboxTightWrap w:val="none"/>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242AE3"/>
    <w:rPr>
      <w:rFonts w:ascii="Arial Bold" w:hAnsi="Arial Bold" w:cs="Arial"/>
      <w:b/>
      <w:color w:val="005EB8"/>
      <w:kern w:val="28"/>
      <w:sz w:val="36"/>
      <w:szCs w:val="24"/>
      <w14:ligatures w14:val="standardContextual"/>
    </w:rPr>
  </w:style>
  <w:style w:type="character" w:customStyle="1" w:styleId="Heading1Char">
    <w:name w:val="Heading 1 Char"/>
    <w:basedOn w:val="DefaultParagraphFont"/>
    <w:link w:val="Heading1"/>
    <w:uiPriority w:val="2"/>
    <w:semiHidden/>
    <w:rsid w:val="00F0026B"/>
    <w:rPr>
      <w:rFonts w:ascii="Arial" w:hAnsi="Arial" w:cs="Arial"/>
      <w:b/>
      <w:bCs/>
      <w:kern w:val="28"/>
      <w:sz w:val="80"/>
      <w:szCs w:val="32"/>
      <w14:ligatures w14:val="standardContextual"/>
    </w:rPr>
  </w:style>
  <w:style w:type="paragraph" w:styleId="ListParagraph">
    <w:name w:val="List Paragraph"/>
    <w:basedOn w:val="Normal"/>
    <w:link w:val="ListParagraphChar"/>
    <w:uiPriority w:val="1"/>
    <w:qFormat/>
    <w:rsid w:val="00D93D0D"/>
    <w:pPr>
      <w:spacing w:after="180"/>
      <w:ind w:firstLine="360"/>
    </w:pPr>
  </w:style>
  <w:style w:type="character" w:customStyle="1" w:styleId="Heading3Char">
    <w:name w:val="Heading 3 Char"/>
    <w:basedOn w:val="DefaultParagraphFont"/>
    <w:link w:val="Heading3"/>
    <w:uiPriority w:val="9"/>
    <w:rsid w:val="005645E2"/>
    <w:rPr>
      <w:rFonts w:ascii="Arial" w:hAnsi="Arial" w:cs="Arial"/>
      <w:b/>
      <w:kern w:val="28"/>
      <w:sz w:val="32"/>
      <w:szCs w:val="24"/>
      <w14:ligatures w14:val="standardContextual"/>
    </w:rPr>
  </w:style>
  <w:style w:type="paragraph" w:customStyle="1" w:styleId="Bulletlist">
    <w:name w:val="Bullet list"/>
    <w:basedOn w:val="ListParagraph"/>
    <w:link w:val="BulletlistChar"/>
    <w:uiPriority w:val="19"/>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9"/>
    <w:rsid w:val="000E44EF"/>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9"/>
    <w:rsid w:val="005645E2"/>
    <w:rPr>
      <w:rFonts w:ascii="Arial Bold" w:eastAsia="MS Mincho" w:hAnsi="Arial Bold"/>
      <w:b/>
      <w:color w:val="231F20" w:themeColor="background1"/>
      <w:kern w:val="28"/>
      <w:sz w:val="28"/>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qFormat/>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b/>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qFormat/>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9"/>
    <w:rsid w:val="005645E2"/>
    <w:rPr>
      <w:rFonts w:ascii="Arial" w:eastAsiaTheme="majorEastAsia" w:hAnsi="Arial" w:cs="Arial (Headings CS)"/>
      <w:b/>
      <w:color w:val="005EB8" w:themeColor="text2"/>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eading2-numbered">
    <w:name w:val="Heading 2 - numbered"/>
    <w:basedOn w:val="Heading2"/>
    <w:link w:val="Heading2-numberedChar"/>
    <w:uiPriority w:val="4"/>
    <w:qFormat/>
    <w:rsid w:val="00C15176"/>
    <w:pPr>
      <w:numPr>
        <w:numId w:val="3"/>
      </w:numPr>
    </w:pPr>
  </w:style>
  <w:style w:type="paragraph" w:customStyle="1" w:styleId="Heading3-numbered">
    <w:name w:val="Heading 3 - numbered"/>
    <w:basedOn w:val="Heading3"/>
    <w:link w:val="Heading3-numberedChar"/>
    <w:uiPriority w:val="6"/>
    <w:qFormat/>
    <w:rsid w:val="00C15176"/>
    <w:pPr>
      <w:numPr>
        <w:ilvl w:val="1"/>
        <w:numId w:val="3"/>
      </w:numPr>
    </w:pPr>
  </w:style>
  <w:style w:type="character" w:customStyle="1" w:styleId="Heading2-numberedChar">
    <w:name w:val="Heading 2 - numbered Char"/>
    <w:basedOn w:val="Heading2Char"/>
    <w:link w:val="Heading2-numbered"/>
    <w:uiPriority w:val="4"/>
    <w:rsid w:val="00BC5F53"/>
    <w:rPr>
      <w:rFonts w:ascii="Arial Bold" w:hAnsi="Arial Bold" w:cs="Arial"/>
      <w:b/>
      <w:color w:val="005EB8"/>
      <w:kern w:val="28"/>
      <w:sz w:val="36"/>
      <w:szCs w:val="24"/>
      <w14:ligatures w14:val="standardContextual"/>
    </w:rPr>
  </w:style>
  <w:style w:type="paragraph" w:customStyle="1" w:styleId="Heading4-numbered">
    <w:name w:val="Heading 4 - numbered"/>
    <w:basedOn w:val="Heading4"/>
    <w:link w:val="Heading4-numberedChar"/>
    <w:uiPriority w:val="7"/>
    <w:qFormat/>
    <w:rsid w:val="00C15176"/>
    <w:pPr>
      <w:numPr>
        <w:ilvl w:val="2"/>
        <w:numId w:val="3"/>
      </w:numPr>
    </w:pPr>
  </w:style>
  <w:style w:type="character" w:customStyle="1" w:styleId="Heading3-numberedChar">
    <w:name w:val="Heading 3 - numbered Char"/>
    <w:basedOn w:val="Heading3Char"/>
    <w:link w:val="Heading3-numbered"/>
    <w:uiPriority w:val="6"/>
    <w:rsid w:val="00BC5F53"/>
    <w:rPr>
      <w:rFonts w:ascii="Arial" w:hAnsi="Arial" w:cs="Arial"/>
      <w:b/>
      <w:kern w:val="28"/>
      <w:sz w:val="32"/>
      <w:szCs w:val="24"/>
      <w14:ligatures w14:val="standardContextual"/>
    </w:rPr>
  </w:style>
  <w:style w:type="paragraph" w:customStyle="1" w:styleId="Heading5-numbered">
    <w:name w:val="Heading 5 - numbered"/>
    <w:basedOn w:val="Heading5"/>
    <w:link w:val="Heading5-numberedChar"/>
    <w:uiPriority w:val="9"/>
    <w:qFormat/>
    <w:rsid w:val="00C15176"/>
    <w:pPr>
      <w:numPr>
        <w:ilvl w:val="3"/>
        <w:numId w:val="3"/>
      </w:numPr>
    </w:pPr>
  </w:style>
  <w:style w:type="character" w:customStyle="1" w:styleId="Heading4-numberedChar">
    <w:name w:val="Heading 4 - numbered Char"/>
    <w:basedOn w:val="Heading4Char"/>
    <w:link w:val="Heading4-numbered"/>
    <w:uiPriority w:val="7"/>
    <w:rsid w:val="00BC5F53"/>
    <w:rPr>
      <w:rFonts w:ascii="Arial Bold" w:eastAsia="MS Mincho" w:hAnsi="Arial Bold"/>
      <w:b/>
      <w:color w:val="231F20" w:themeColor="background1"/>
      <w:kern w:val="28"/>
      <w:sz w:val="28"/>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eading5-numberedChar">
    <w:name w:val="Heading 5 - numbered Char"/>
    <w:basedOn w:val="Heading5Char"/>
    <w:link w:val="Heading5-numbered"/>
    <w:uiPriority w:val="9"/>
    <w:rsid w:val="00BC5F53"/>
    <w:rPr>
      <w:rFonts w:ascii="Arial" w:eastAsiaTheme="majorEastAsia" w:hAnsi="Arial" w:cs="Arial (Headings CS)"/>
      <w:b/>
      <w:color w:val="005EB8" w:themeColor="text2"/>
      <w:kern w:val="28"/>
      <w:sz w:val="24"/>
      <w:szCs w:val="24"/>
      <w14:ligatures w14:val="standardContextual"/>
    </w:rPr>
  </w:style>
  <w:style w:type="paragraph" w:customStyle="1" w:styleId="Bodytext-numbered-level2">
    <w:name w:val="Body text - numbered - level 2"/>
    <w:basedOn w:val="Normal"/>
    <w:link w:val="Bodytext-numbered-level2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level3">
    <w:name w:val="Body text - numbered - level 3"/>
    <w:basedOn w:val="Normal"/>
    <w:link w:val="Bodytext-numbered-level3Char"/>
    <w:uiPriority w:val="16"/>
    <w:qFormat/>
    <w:rsid w:val="00943EC5"/>
    <w:pPr>
      <w:numPr>
        <w:ilvl w:val="6"/>
        <w:numId w:val="3"/>
      </w:numPr>
      <w:spacing w:after="120"/>
    </w:pPr>
  </w:style>
  <w:style w:type="character" w:customStyle="1" w:styleId="Bodytext-numbered-level2Char">
    <w:name w:val="Body text - numbered - level 2 Char"/>
    <w:basedOn w:val="DefaultParagraphFont"/>
    <w:link w:val="Bodytext-numbered-level2"/>
    <w:uiPriority w:val="15"/>
    <w:rsid w:val="008D50ED"/>
    <w:rPr>
      <w:rFonts w:ascii="Arial" w:hAnsi="Arial"/>
      <w:color w:val="000000"/>
      <w:sz w:val="24"/>
      <w:szCs w:val="24"/>
    </w:rPr>
  </w:style>
  <w:style w:type="paragraph" w:styleId="Caption">
    <w:name w:val="caption"/>
    <w:basedOn w:val="Normal"/>
    <w:next w:val="Normal"/>
    <w:uiPriority w:val="19"/>
    <w:semiHidden/>
    <w:qFormat/>
    <w:rsid w:val="00355C51"/>
    <w:pPr>
      <w:spacing w:before="120" w:after="120" w:line="240" w:lineRule="auto"/>
    </w:pPr>
    <w:rPr>
      <w:b/>
      <w:iCs/>
      <w:color w:val="auto"/>
      <w:szCs w:val="18"/>
    </w:rPr>
  </w:style>
  <w:style w:type="character" w:customStyle="1" w:styleId="Bodytext-numbered-level3Char">
    <w:name w:val="Body text - numbered - level 3 Char"/>
    <w:basedOn w:val="DefaultParagraphFont"/>
    <w:link w:val="Bodytext-numbered-level3"/>
    <w:uiPriority w:val="16"/>
    <w:rsid w:val="008D50ED"/>
    <w:rPr>
      <w:rFonts w:ascii="Arial" w:hAnsi="Arial"/>
      <w:color w:val="000000"/>
      <w:sz w:val="24"/>
      <w:szCs w:val="24"/>
    </w:rPr>
  </w:style>
  <w:style w:type="paragraph" w:styleId="TOC4">
    <w:name w:val="toc 4"/>
    <w:basedOn w:val="Normal"/>
    <w:next w:val="Normal"/>
    <w:autoRedefine/>
    <w:uiPriority w:val="39"/>
    <w:rsid w:val="002F45CE"/>
    <w:pPr>
      <w:spacing w:after="100"/>
      <w:ind w:left="720"/>
    </w:pPr>
  </w:style>
  <w:style w:type="character" w:styleId="CommentReference">
    <w:name w:val="annotation reference"/>
    <w:basedOn w:val="DefaultParagraphFont"/>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character" w:customStyle="1" w:styleId="Heading7Char">
    <w:name w:val="Heading 7 Char"/>
    <w:basedOn w:val="DefaultParagraphFont"/>
    <w:link w:val="Heading7"/>
    <w:uiPriority w:val="9"/>
    <w:rsid w:val="00FF6C25"/>
    <w:rPr>
      <w:rFonts w:asciiTheme="majorHAnsi" w:eastAsiaTheme="majorEastAsia" w:hAnsiTheme="majorHAnsi" w:cstheme="majorBidi"/>
      <w:i/>
      <w:iCs/>
      <w:color w:val="243F60"/>
      <w:sz w:val="22"/>
      <w:szCs w:val="22"/>
    </w:rPr>
  </w:style>
  <w:style w:type="character" w:customStyle="1" w:styleId="Heading8Char">
    <w:name w:val="Heading 8 Char"/>
    <w:basedOn w:val="DefaultParagraphFont"/>
    <w:link w:val="Heading8"/>
    <w:uiPriority w:val="9"/>
    <w:rsid w:val="00FF6C25"/>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FF6C25"/>
    <w:rPr>
      <w:rFonts w:asciiTheme="majorHAnsi" w:eastAsiaTheme="majorEastAsia" w:hAnsiTheme="majorHAnsi" w:cstheme="majorBidi"/>
      <w:i/>
      <w:iCs/>
      <w:color w:val="272727"/>
      <w:sz w:val="21"/>
      <w:szCs w:val="21"/>
    </w:rPr>
  </w:style>
  <w:style w:type="paragraph" w:styleId="BodyText">
    <w:name w:val="Body Text"/>
    <w:basedOn w:val="Normal"/>
    <w:link w:val="BodyTextChar"/>
    <w:uiPriority w:val="1"/>
    <w:qFormat/>
    <w:rsid w:val="00FF6C25"/>
    <w:pPr>
      <w:widowControl w:val="0"/>
      <w:autoSpaceDE w:val="0"/>
      <w:autoSpaceDN w:val="0"/>
      <w:spacing w:after="0" w:line="240" w:lineRule="auto"/>
      <w:textboxTightWrap w:val="none"/>
    </w:pPr>
    <w:rPr>
      <w:rFonts w:eastAsia="Arial" w:cs="Arial"/>
      <w:color w:val="auto"/>
    </w:rPr>
  </w:style>
  <w:style w:type="character" w:customStyle="1" w:styleId="BodyTextChar">
    <w:name w:val="Body Text Char"/>
    <w:basedOn w:val="DefaultParagraphFont"/>
    <w:link w:val="BodyText"/>
    <w:uiPriority w:val="1"/>
    <w:rsid w:val="00FF6C25"/>
    <w:rPr>
      <w:rFonts w:ascii="Arial" w:eastAsia="Arial" w:hAnsi="Arial" w:cs="Arial"/>
      <w:sz w:val="24"/>
      <w:szCs w:val="24"/>
    </w:rPr>
  </w:style>
  <w:style w:type="paragraph" w:customStyle="1" w:styleId="TableParagraph">
    <w:name w:val="Table Paragraph"/>
    <w:basedOn w:val="Normal"/>
    <w:uiPriority w:val="1"/>
    <w:qFormat/>
    <w:rsid w:val="00FF6C25"/>
    <w:pPr>
      <w:widowControl w:val="0"/>
      <w:autoSpaceDE w:val="0"/>
      <w:autoSpaceDN w:val="0"/>
      <w:spacing w:before="128" w:after="0" w:line="240" w:lineRule="auto"/>
      <w:ind w:left="200"/>
      <w:textboxTightWrap w:val="none"/>
    </w:pPr>
    <w:rPr>
      <w:rFonts w:eastAsia="Arial" w:cs="Arial"/>
      <w:color w:val="auto"/>
      <w:sz w:val="22"/>
      <w:szCs w:val="22"/>
    </w:rPr>
  </w:style>
  <w:style w:type="paragraph" w:styleId="Revision">
    <w:name w:val="Revision"/>
    <w:hidden/>
    <w:uiPriority w:val="99"/>
    <w:semiHidden/>
    <w:rsid w:val="00FF6C25"/>
    <w:rPr>
      <w:rFonts w:ascii="Arial" w:eastAsia="Arial" w:hAnsi="Arial" w:cs="Arial"/>
      <w:sz w:val="22"/>
      <w:szCs w:val="22"/>
      <w:lang w:val="en-US"/>
    </w:rPr>
  </w:style>
  <w:style w:type="character" w:customStyle="1" w:styleId="UnresolvedMention1">
    <w:name w:val="Unresolved Mention1"/>
    <w:basedOn w:val="DefaultParagraphFont"/>
    <w:uiPriority w:val="99"/>
    <w:unhideWhenUsed/>
    <w:rsid w:val="00FF6C25"/>
    <w:rPr>
      <w:color w:val="605E5C"/>
      <w:shd w:val="clear" w:color="auto" w:fill="E1DFDD"/>
    </w:rPr>
  </w:style>
  <w:style w:type="character" w:customStyle="1" w:styleId="Mention1">
    <w:name w:val="Mention1"/>
    <w:basedOn w:val="DefaultParagraphFont"/>
    <w:uiPriority w:val="99"/>
    <w:unhideWhenUsed/>
    <w:rsid w:val="00FF6C25"/>
    <w:rPr>
      <w:color w:val="2B579A"/>
      <w:shd w:val="clear" w:color="auto" w:fill="E1DFDD"/>
    </w:rPr>
  </w:style>
  <w:style w:type="paragraph" w:styleId="FootnoteText">
    <w:name w:val="footnote text"/>
    <w:basedOn w:val="Normal"/>
    <w:link w:val="FootnoteTextChar"/>
    <w:uiPriority w:val="99"/>
    <w:semiHidden/>
    <w:unhideWhenUsed/>
    <w:rsid w:val="00FF6C25"/>
    <w:pPr>
      <w:widowControl w:val="0"/>
      <w:autoSpaceDE w:val="0"/>
      <w:autoSpaceDN w:val="0"/>
      <w:spacing w:after="0" w:line="240" w:lineRule="auto"/>
      <w:textboxTightWrap w:val="none"/>
    </w:pPr>
    <w:rPr>
      <w:rFonts w:eastAsia="Arial" w:cs="Arial"/>
      <w:color w:val="auto"/>
      <w:sz w:val="20"/>
      <w:szCs w:val="20"/>
    </w:rPr>
  </w:style>
  <w:style w:type="character" w:customStyle="1" w:styleId="FootnoteTextChar">
    <w:name w:val="Footnote Text Char"/>
    <w:basedOn w:val="DefaultParagraphFont"/>
    <w:link w:val="FootnoteText"/>
    <w:uiPriority w:val="99"/>
    <w:semiHidden/>
    <w:rsid w:val="00FF6C25"/>
    <w:rPr>
      <w:rFonts w:ascii="Arial" w:eastAsia="Arial" w:hAnsi="Arial" w:cs="Arial"/>
    </w:rPr>
  </w:style>
  <w:style w:type="paragraph" w:customStyle="1" w:styleId="ListParagraphNumber">
    <w:name w:val="List Paragraph Number"/>
    <w:basedOn w:val="ListParagraph"/>
    <w:qFormat/>
    <w:rsid w:val="00FF6C25"/>
    <w:pPr>
      <w:numPr>
        <w:numId w:val="4"/>
      </w:numPr>
      <w:autoSpaceDE w:val="0"/>
      <w:autoSpaceDN w:val="0"/>
      <w:spacing w:before="120" w:after="120" w:line="288" w:lineRule="auto"/>
      <w:contextualSpacing/>
      <w:textboxTightWrap w:val="none"/>
    </w:pPr>
    <w:rPr>
      <w:rFonts w:eastAsia="Arial" w:cs="Arial"/>
      <w:color w:val="auto"/>
      <w:sz w:val="22"/>
      <w:szCs w:val="22"/>
    </w:rPr>
  </w:style>
  <w:style w:type="paragraph" w:customStyle="1" w:styleId="ListParagraphBullet">
    <w:name w:val="List Paragraph Bullet"/>
    <w:basedOn w:val="ListParagraph"/>
    <w:uiPriority w:val="1"/>
    <w:qFormat/>
    <w:rsid w:val="00FF6C25"/>
    <w:pPr>
      <w:numPr>
        <w:numId w:val="5"/>
      </w:numPr>
      <w:autoSpaceDE w:val="0"/>
      <w:autoSpaceDN w:val="0"/>
      <w:spacing w:before="120" w:after="120" w:line="288" w:lineRule="auto"/>
      <w:textboxTightWrap w:val="none"/>
    </w:pPr>
    <w:rPr>
      <w:rFonts w:eastAsia="Arial" w:cs="Arial"/>
      <w:color w:val="auto"/>
      <w:sz w:val="22"/>
      <w:szCs w:val="22"/>
    </w:rPr>
  </w:style>
  <w:style w:type="paragraph" w:styleId="Title">
    <w:name w:val="Title"/>
    <w:basedOn w:val="Normal"/>
    <w:next w:val="Normal"/>
    <w:link w:val="TitleChar"/>
    <w:uiPriority w:val="10"/>
    <w:qFormat/>
    <w:rsid w:val="00FF6C25"/>
    <w:pPr>
      <w:widowControl w:val="0"/>
      <w:autoSpaceDE w:val="0"/>
      <w:autoSpaceDN w:val="0"/>
      <w:spacing w:after="0" w:line="240" w:lineRule="auto"/>
      <w:contextualSpacing/>
      <w:textboxTightWrap w:val="none"/>
    </w:pPr>
    <w:rPr>
      <w:rFonts w:asciiTheme="majorHAnsi" w:eastAsiaTheme="majorEastAsia" w:hAnsiTheme="majorHAnsi" w:cstheme="majorBidi"/>
      <w:color w:val="auto"/>
      <w:sz w:val="56"/>
      <w:szCs w:val="56"/>
    </w:rPr>
  </w:style>
  <w:style w:type="character" w:customStyle="1" w:styleId="TitleChar">
    <w:name w:val="Title Char"/>
    <w:basedOn w:val="DefaultParagraphFont"/>
    <w:link w:val="Title"/>
    <w:uiPriority w:val="10"/>
    <w:rsid w:val="00FF6C25"/>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FF6C25"/>
    <w:pPr>
      <w:widowControl w:val="0"/>
      <w:autoSpaceDE w:val="0"/>
      <w:autoSpaceDN w:val="0"/>
      <w:spacing w:after="0" w:line="240" w:lineRule="auto"/>
      <w:textboxTightWrap w:val="none"/>
    </w:pPr>
    <w:rPr>
      <w:rFonts w:eastAsiaTheme="minorEastAsia" w:cs="Arial"/>
      <w:color w:val="5A5A5A"/>
      <w:sz w:val="22"/>
      <w:szCs w:val="22"/>
    </w:rPr>
  </w:style>
  <w:style w:type="character" w:customStyle="1" w:styleId="SubtitleChar">
    <w:name w:val="Subtitle Char"/>
    <w:basedOn w:val="DefaultParagraphFont"/>
    <w:link w:val="Subtitle"/>
    <w:uiPriority w:val="11"/>
    <w:rsid w:val="00FF6C25"/>
    <w:rPr>
      <w:rFonts w:ascii="Arial" w:eastAsiaTheme="minorEastAsia" w:hAnsi="Arial" w:cs="Arial"/>
      <w:color w:val="5A5A5A"/>
      <w:sz w:val="22"/>
      <w:szCs w:val="22"/>
    </w:rPr>
  </w:style>
  <w:style w:type="paragraph" w:styleId="IntenseQuote">
    <w:name w:val="Intense Quote"/>
    <w:basedOn w:val="Normal"/>
    <w:next w:val="Normal"/>
    <w:link w:val="IntenseQuoteChar"/>
    <w:uiPriority w:val="30"/>
    <w:qFormat/>
    <w:rsid w:val="00FF6C25"/>
    <w:pPr>
      <w:widowControl w:val="0"/>
      <w:autoSpaceDE w:val="0"/>
      <w:autoSpaceDN w:val="0"/>
      <w:spacing w:before="360" w:after="360" w:line="240" w:lineRule="auto"/>
      <w:ind w:left="864" w:right="864"/>
      <w:jc w:val="center"/>
      <w:textboxTightWrap w:val="none"/>
    </w:pPr>
    <w:rPr>
      <w:rFonts w:eastAsia="Arial" w:cs="Arial"/>
      <w:i/>
      <w:iCs/>
      <w:color w:val="003087" w:themeColor="accent1"/>
      <w:sz w:val="22"/>
      <w:szCs w:val="22"/>
    </w:rPr>
  </w:style>
  <w:style w:type="character" w:customStyle="1" w:styleId="IntenseQuoteChar">
    <w:name w:val="Intense Quote Char"/>
    <w:basedOn w:val="DefaultParagraphFont"/>
    <w:link w:val="IntenseQuote"/>
    <w:uiPriority w:val="30"/>
    <w:rsid w:val="00FF6C25"/>
    <w:rPr>
      <w:rFonts w:ascii="Arial" w:eastAsia="Arial" w:hAnsi="Arial" w:cs="Arial"/>
      <w:i/>
      <w:iCs/>
      <w:color w:val="003087" w:themeColor="accent1"/>
      <w:sz w:val="22"/>
      <w:szCs w:val="22"/>
    </w:rPr>
  </w:style>
  <w:style w:type="paragraph" w:styleId="TOC5">
    <w:name w:val="toc 5"/>
    <w:basedOn w:val="Normal"/>
    <w:next w:val="Normal"/>
    <w:uiPriority w:val="39"/>
    <w:unhideWhenUsed/>
    <w:rsid w:val="00FF6C25"/>
    <w:pPr>
      <w:widowControl w:val="0"/>
      <w:autoSpaceDE w:val="0"/>
      <w:autoSpaceDN w:val="0"/>
      <w:spacing w:after="100" w:line="240" w:lineRule="auto"/>
      <w:ind w:left="880"/>
      <w:textboxTightWrap w:val="none"/>
    </w:pPr>
    <w:rPr>
      <w:rFonts w:eastAsia="Arial" w:cs="Arial"/>
      <w:color w:val="auto"/>
      <w:sz w:val="22"/>
      <w:szCs w:val="22"/>
    </w:rPr>
  </w:style>
  <w:style w:type="paragraph" w:styleId="TOC6">
    <w:name w:val="toc 6"/>
    <w:basedOn w:val="Normal"/>
    <w:next w:val="Normal"/>
    <w:uiPriority w:val="39"/>
    <w:unhideWhenUsed/>
    <w:rsid w:val="00FF6C25"/>
    <w:pPr>
      <w:widowControl w:val="0"/>
      <w:autoSpaceDE w:val="0"/>
      <w:autoSpaceDN w:val="0"/>
      <w:spacing w:after="100" w:line="240" w:lineRule="auto"/>
      <w:ind w:left="1100"/>
      <w:textboxTightWrap w:val="none"/>
    </w:pPr>
    <w:rPr>
      <w:rFonts w:eastAsia="Arial" w:cs="Arial"/>
      <w:color w:val="auto"/>
      <w:sz w:val="22"/>
      <w:szCs w:val="22"/>
    </w:rPr>
  </w:style>
  <w:style w:type="paragraph" w:styleId="TOC7">
    <w:name w:val="toc 7"/>
    <w:basedOn w:val="Normal"/>
    <w:next w:val="Normal"/>
    <w:uiPriority w:val="39"/>
    <w:unhideWhenUsed/>
    <w:rsid w:val="00FF6C25"/>
    <w:pPr>
      <w:widowControl w:val="0"/>
      <w:autoSpaceDE w:val="0"/>
      <w:autoSpaceDN w:val="0"/>
      <w:spacing w:after="100" w:line="240" w:lineRule="auto"/>
      <w:ind w:left="1320"/>
      <w:textboxTightWrap w:val="none"/>
    </w:pPr>
    <w:rPr>
      <w:rFonts w:eastAsia="Arial" w:cs="Arial"/>
      <w:color w:val="auto"/>
      <w:sz w:val="22"/>
      <w:szCs w:val="22"/>
    </w:rPr>
  </w:style>
  <w:style w:type="paragraph" w:styleId="TOC8">
    <w:name w:val="toc 8"/>
    <w:basedOn w:val="Normal"/>
    <w:next w:val="Normal"/>
    <w:uiPriority w:val="39"/>
    <w:unhideWhenUsed/>
    <w:rsid w:val="00FF6C25"/>
    <w:pPr>
      <w:widowControl w:val="0"/>
      <w:autoSpaceDE w:val="0"/>
      <w:autoSpaceDN w:val="0"/>
      <w:spacing w:after="100" w:line="240" w:lineRule="auto"/>
      <w:ind w:left="1540"/>
      <w:textboxTightWrap w:val="none"/>
    </w:pPr>
    <w:rPr>
      <w:rFonts w:eastAsia="Arial" w:cs="Arial"/>
      <w:color w:val="auto"/>
      <w:sz w:val="22"/>
      <w:szCs w:val="22"/>
    </w:rPr>
  </w:style>
  <w:style w:type="paragraph" w:styleId="TOC9">
    <w:name w:val="toc 9"/>
    <w:basedOn w:val="Normal"/>
    <w:next w:val="Normal"/>
    <w:uiPriority w:val="39"/>
    <w:unhideWhenUsed/>
    <w:rsid w:val="00FF6C25"/>
    <w:pPr>
      <w:widowControl w:val="0"/>
      <w:autoSpaceDE w:val="0"/>
      <w:autoSpaceDN w:val="0"/>
      <w:spacing w:after="100" w:line="240" w:lineRule="auto"/>
      <w:ind w:left="1760"/>
      <w:textboxTightWrap w:val="none"/>
    </w:pPr>
    <w:rPr>
      <w:rFonts w:eastAsia="Arial" w:cs="Arial"/>
      <w:color w:val="auto"/>
      <w:sz w:val="22"/>
      <w:szCs w:val="22"/>
    </w:rPr>
  </w:style>
  <w:style w:type="paragraph" w:styleId="EndnoteText">
    <w:name w:val="endnote text"/>
    <w:basedOn w:val="Normal"/>
    <w:link w:val="EndnoteTextChar"/>
    <w:uiPriority w:val="99"/>
    <w:semiHidden/>
    <w:unhideWhenUsed/>
    <w:rsid w:val="00FF6C25"/>
    <w:pPr>
      <w:widowControl w:val="0"/>
      <w:autoSpaceDE w:val="0"/>
      <w:autoSpaceDN w:val="0"/>
      <w:spacing w:after="0" w:line="240" w:lineRule="auto"/>
      <w:textboxTightWrap w:val="none"/>
    </w:pPr>
    <w:rPr>
      <w:rFonts w:eastAsia="Arial" w:cs="Arial"/>
      <w:color w:val="auto"/>
      <w:sz w:val="20"/>
      <w:szCs w:val="20"/>
    </w:rPr>
  </w:style>
  <w:style w:type="character" w:customStyle="1" w:styleId="EndnoteTextChar">
    <w:name w:val="Endnote Text Char"/>
    <w:basedOn w:val="DefaultParagraphFont"/>
    <w:link w:val="EndnoteText"/>
    <w:uiPriority w:val="99"/>
    <w:semiHidden/>
    <w:rsid w:val="00FF6C25"/>
    <w:rPr>
      <w:rFonts w:ascii="Arial" w:eastAsia="Arial" w:hAnsi="Arial" w:cs="Arial"/>
    </w:rPr>
  </w:style>
  <w:style w:type="character" w:styleId="UnresolvedMention">
    <w:name w:val="Unresolved Mention"/>
    <w:basedOn w:val="DefaultParagraphFont"/>
    <w:uiPriority w:val="99"/>
    <w:semiHidden/>
    <w:unhideWhenUsed/>
    <w:rsid w:val="00FF6C25"/>
    <w:rPr>
      <w:color w:val="605E5C"/>
      <w:shd w:val="clear" w:color="auto" w:fill="E1DFDD"/>
    </w:rPr>
  </w:style>
  <w:style w:type="character" w:styleId="EndnoteReference">
    <w:name w:val="endnote reference"/>
    <w:basedOn w:val="DefaultParagraphFont"/>
    <w:uiPriority w:val="99"/>
    <w:semiHidden/>
    <w:unhideWhenUsed/>
    <w:rsid w:val="00FF6C25"/>
    <w:rPr>
      <w:vertAlign w:val="superscript"/>
    </w:rPr>
  </w:style>
  <w:style w:type="paragraph" w:customStyle="1" w:styleId="Heading1Numbered">
    <w:name w:val="Heading 1 Numbered"/>
    <w:basedOn w:val="Heading1"/>
    <w:next w:val="BodyText"/>
    <w:uiPriority w:val="9"/>
    <w:qFormat/>
    <w:rsid w:val="00FF6C25"/>
    <w:pPr>
      <w:keepLines/>
      <w:numPr>
        <w:numId w:val="8"/>
      </w:numPr>
      <w:spacing w:before="640" w:after="240"/>
      <w:contextualSpacing/>
    </w:pPr>
    <w:rPr>
      <w:rFonts w:eastAsiaTheme="majorEastAsia" w:cstheme="majorBidi"/>
      <w:b w:val="0"/>
      <w:bCs w:val="0"/>
      <w:color w:val="005EB8"/>
      <w:kern w:val="0"/>
      <w:sz w:val="48"/>
      <w14:ligatures w14:val="none"/>
    </w:rPr>
  </w:style>
  <w:style w:type="paragraph" w:customStyle="1" w:styleId="Heading2Numbered">
    <w:name w:val="Heading 2 Numbered"/>
    <w:basedOn w:val="Heading2"/>
    <w:next w:val="BodyText"/>
    <w:uiPriority w:val="9"/>
    <w:qFormat/>
    <w:rsid w:val="00FF6C25"/>
    <w:pPr>
      <w:keepLines/>
      <w:numPr>
        <w:ilvl w:val="1"/>
        <w:numId w:val="8"/>
      </w:numPr>
      <w:tabs>
        <w:tab w:val="clear" w:pos="5963"/>
      </w:tabs>
      <w:spacing w:before="360"/>
    </w:pPr>
    <w:rPr>
      <w:rFonts w:ascii="Arial" w:eastAsiaTheme="majorEastAsia" w:hAnsi="Arial" w:cstheme="majorBidi"/>
      <w:b w:val="0"/>
      <w:kern w:val="0"/>
      <w:szCs w:val="26"/>
      <w14:ligatures w14:val="none"/>
    </w:rPr>
  </w:style>
  <w:style w:type="paragraph" w:customStyle="1" w:styleId="Heading3Numbered">
    <w:name w:val="Heading 3 Numbered"/>
    <w:basedOn w:val="Heading3"/>
    <w:next w:val="BodyText"/>
    <w:uiPriority w:val="9"/>
    <w:qFormat/>
    <w:rsid w:val="00FF6C25"/>
    <w:pPr>
      <w:keepLines/>
      <w:numPr>
        <w:ilvl w:val="2"/>
        <w:numId w:val="8"/>
      </w:numPr>
      <w:spacing w:after="100"/>
    </w:pPr>
    <w:rPr>
      <w:rFonts w:eastAsiaTheme="majorEastAsia" w:cstheme="majorBidi"/>
      <w:color w:val="231F20"/>
      <w:kern w:val="0"/>
      <w:sz w:val="28"/>
      <w14:ligatures w14:val="none"/>
    </w:rPr>
  </w:style>
  <w:style w:type="numbering" w:customStyle="1" w:styleId="NHSHeadings">
    <w:name w:val="NHS Headings"/>
    <w:basedOn w:val="NoList"/>
    <w:uiPriority w:val="99"/>
    <w:rsid w:val="00FF6C25"/>
    <w:pPr>
      <w:numPr>
        <w:numId w:val="7"/>
      </w:numPr>
    </w:pPr>
  </w:style>
  <w:style w:type="paragraph" w:customStyle="1" w:styleId="BodyText21">
    <w:name w:val="Body Text 2.1"/>
    <w:basedOn w:val="BodyText"/>
    <w:link w:val="BodyText21Char"/>
    <w:qFormat/>
    <w:rsid w:val="00FF6C25"/>
    <w:pPr>
      <w:widowControl/>
      <w:numPr>
        <w:ilvl w:val="3"/>
        <w:numId w:val="8"/>
      </w:numPr>
      <w:autoSpaceDE/>
      <w:autoSpaceDN/>
      <w:spacing w:after="200" w:line="360" w:lineRule="atLeast"/>
    </w:pPr>
    <w:rPr>
      <w:rFonts w:eastAsiaTheme="minorHAnsi" w:cstheme="minorBidi"/>
      <w:color w:val="231F20"/>
    </w:rPr>
  </w:style>
  <w:style w:type="paragraph" w:customStyle="1" w:styleId="BodyText211">
    <w:name w:val="Body Text 2.1.1"/>
    <w:basedOn w:val="BodyText"/>
    <w:qFormat/>
    <w:rsid w:val="00FF6C25"/>
    <w:pPr>
      <w:widowControl/>
      <w:numPr>
        <w:ilvl w:val="4"/>
        <w:numId w:val="8"/>
      </w:numPr>
      <w:autoSpaceDE/>
      <w:autoSpaceDN/>
      <w:spacing w:after="200" w:line="360" w:lineRule="atLeast"/>
    </w:pPr>
    <w:rPr>
      <w:rFonts w:eastAsiaTheme="minorHAnsi" w:cstheme="minorBidi"/>
      <w:color w:val="231F20"/>
    </w:rPr>
  </w:style>
  <w:style w:type="character" w:customStyle="1" w:styleId="BodyText21Char">
    <w:name w:val="Body Text 2.1 Char"/>
    <w:basedOn w:val="DefaultParagraphFont"/>
    <w:link w:val="BodyText21"/>
    <w:rsid w:val="00FF6C25"/>
    <w:rPr>
      <w:rFonts w:ascii="Arial" w:eastAsiaTheme="minorHAnsi" w:hAnsi="Arial" w:cstheme="minorBidi"/>
      <w:color w:val="231F20"/>
      <w:sz w:val="24"/>
      <w:szCs w:val="24"/>
    </w:rPr>
  </w:style>
  <w:style w:type="character" w:customStyle="1" w:styleId="contentcontrolboundarysink">
    <w:name w:val="contentcontrolboundarysink"/>
    <w:basedOn w:val="DefaultParagraphFont"/>
    <w:rsid w:val="00A64F08"/>
  </w:style>
  <w:style w:type="character" w:customStyle="1" w:styleId="normaltextrun">
    <w:name w:val="normaltextrun"/>
    <w:basedOn w:val="DefaultParagraphFont"/>
    <w:rsid w:val="00A64F08"/>
  </w:style>
  <w:style w:type="character" w:customStyle="1" w:styleId="eop">
    <w:name w:val="eop"/>
    <w:basedOn w:val="DefaultParagraphFont"/>
    <w:rsid w:val="00A64F08"/>
  </w:style>
  <w:style w:type="character" w:styleId="FollowedHyperlink">
    <w:name w:val="FollowedHyperlink"/>
    <w:basedOn w:val="DefaultParagraphFont"/>
    <w:uiPriority w:val="99"/>
    <w:semiHidden/>
    <w:unhideWhenUsed/>
    <w:rsid w:val="00E347A9"/>
    <w:rPr>
      <w:color w:val="003087" w:themeColor="followedHyperlink"/>
      <w:u w:val="single"/>
    </w:rPr>
  </w:style>
  <w:style w:type="character" w:customStyle="1" w:styleId="cf01">
    <w:name w:val="cf01"/>
    <w:basedOn w:val="DefaultParagraphFont"/>
    <w:rsid w:val="009A30B2"/>
    <w:rPr>
      <w:rFonts w:ascii="Segoe UI" w:hAnsi="Segoe UI" w:cs="Segoe UI" w:hint="default"/>
      <w:sz w:val="18"/>
      <w:szCs w:val="18"/>
      <w:shd w:val="clear" w:color="auto" w:fill="FFFF00"/>
    </w:rPr>
  </w:style>
  <w:style w:type="character" w:customStyle="1" w:styleId="cf11">
    <w:name w:val="cf11"/>
    <w:basedOn w:val="DefaultParagraphFont"/>
    <w:rsid w:val="009A30B2"/>
    <w:rPr>
      <w:rFonts w:ascii="Segoe UI" w:hAnsi="Segoe UI" w:cs="Segoe UI" w:hint="default"/>
      <w:sz w:val="18"/>
      <w:szCs w:val="18"/>
      <w:shd w:val="clear" w:color="auto" w:fill="FFFF00"/>
    </w:rPr>
  </w:style>
  <w:style w:type="paragraph" w:styleId="NoSpacing">
    <w:name w:val="No Spacing"/>
    <w:uiPriority w:val="1"/>
    <w:qFormat/>
    <w:rsid w:val="004B5C40"/>
    <w:pPr>
      <w:textboxTightWrap w:val="lastLineOnly"/>
    </w:pPr>
    <w:rPr>
      <w:rFonts w:ascii="Arial" w:hAnsi="Arial"/>
      <w:color w:val="000000"/>
      <w:sz w:val="24"/>
      <w:szCs w:val="24"/>
    </w:rPr>
  </w:style>
  <w:style w:type="character" w:styleId="Mention">
    <w:name w:val="Mention"/>
    <w:basedOn w:val="DefaultParagraphFont"/>
    <w:uiPriority w:val="99"/>
    <w:unhideWhenUsed/>
    <w:rsid w:val="000233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2317">
      <w:bodyDiv w:val="1"/>
      <w:marLeft w:val="0"/>
      <w:marRight w:val="0"/>
      <w:marTop w:val="0"/>
      <w:marBottom w:val="0"/>
      <w:divBdr>
        <w:top w:val="none" w:sz="0" w:space="0" w:color="auto"/>
        <w:left w:val="none" w:sz="0" w:space="0" w:color="auto"/>
        <w:bottom w:val="none" w:sz="0" w:space="0" w:color="auto"/>
        <w:right w:val="none" w:sz="0" w:space="0" w:color="auto"/>
      </w:divBdr>
    </w:div>
    <w:div w:id="1166701904">
      <w:bodyDiv w:val="1"/>
      <w:marLeft w:val="0"/>
      <w:marRight w:val="0"/>
      <w:marTop w:val="0"/>
      <w:marBottom w:val="0"/>
      <w:divBdr>
        <w:top w:val="none" w:sz="0" w:space="0" w:color="auto"/>
        <w:left w:val="none" w:sz="0" w:space="0" w:color="auto"/>
        <w:bottom w:val="none" w:sz="0" w:space="0" w:color="auto"/>
        <w:right w:val="none" w:sz="0" w:space="0" w:color="auto"/>
      </w:divBdr>
    </w:div>
    <w:div w:id="1402941777">
      <w:bodyDiv w:val="1"/>
      <w:marLeft w:val="0"/>
      <w:marRight w:val="0"/>
      <w:marTop w:val="0"/>
      <w:marBottom w:val="0"/>
      <w:divBdr>
        <w:top w:val="none" w:sz="0" w:space="0" w:color="auto"/>
        <w:left w:val="none" w:sz="0" w:space="0" w:color="auto"/>
        <w:bottom w:val="none" w:sz="0" w:space="0" w:color="auto"/>
        <w:right w:val="none" w:sz="0" w:space="0" w:color="auto"/>
      </w:divBdr>
    </w:div>
    <w:div w:id="16297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gland.nhs.uk/primary-care/pharmacy/pharmacy-contract-team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ngland.nhs.uk/publication/guidance-on-the-national-health-service-charges-and-pharmaceutical-and-local-pharmaceutical-services-amendment-regulations-202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ssets.publishing.service.gov.uk/media/5d359f2e40f0b604de59fd82/cpcf-2019-to-2024.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ngland.nhs.uk/publication/remote-and-video-consultations-guidance-for-community-pharmacy-tea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overnment/publications/records-management-code-of-practice-for-health-and-social-car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ngland.nhs.uk/primary-care/pharmacy/pharmacy-services/nhs-discharge-medicines-service/"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gov.uk/government/publications/clinical-governance-approved-particula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nhsbsa.nhs.uk/pharmacies-gp-practices-and-appliance-contractors/dispensing-contractors-information/new-medicine-service-nms-drug-list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pe.org.uk/national-pharmacy-services/advanced-services/nms/" TargetMode="External"/><Relationship Id="rId7" Type="http://schemas.openxmlformats.org/officeDocument/2006/relationships/hyperlink" Target="https://cpe.org.uk/national-pharmacy-services/advanced-services/nms/" TargetMode="External"/><Relationship Id="rId2" Type="http://schemas.openxmlformats.org/officeDocument/2006/relationships/hyperlink" Target="https://doi.org/10.1007/s40273-017-0554-9" TargetMode="External"/><Relationship Id="rId1" Type="http://schemas.openxmlformats.org/officeDocument/2006/relationships/hyperlink" Target="https://www.nottingham.ac.uk/~pazmjb/nms/" TargetMode="External"/><Relationship Id="rId6" Type="http://schemas.openxmlformats.org/officeDocument/2006/relationships/hyperlink" Target="https://cpe.org.uk/national-pharmacy-services/advanced-services/nms/" TargetMode="External"/><Relationship Id="rId5" Type="http://schemas.openxmlformats.org/officeDocument/2006/relationships/hyperlink" Target="https://cpe.org.uk/national-pharmacy-services/advanced-services/nms/" TargetMode="External"/><Relationship Id="rId4" Type="http://schemas.openxmlformats.org/officeDocument/2006/relationships/hyperlink" Target="https://cpe.org.uk/national-pharmacy-services/advanced-services/n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MVD8Z5XZ\OneDrive%20-%20NHS\Documents\Smoking%20Cessation%20Specification%2020250605%20S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6CB93B9B8641F98AFC095B7BF957B8"/>
        <w:category>
          <w:name w:val="General"/>
          <w:gallery w:val="placeholder"/>
        </w:category>
        <w:types>
          <w:type w:val="bbPlcHdr"/>
        </w:types>
        <w:behaviors>
          <w:behavior w:val="content"/>
        </w:behaviors>
        <w:guid w:val="{212863C4-9E21-4D55-B4E6-55509FDAD4E6}"/>
      </w:docPartPr>
      <w:docPartBody>
        <w:p w:rsidR="00024398" w:rsidRDefault="00024398">
          <w:pPr>
            <w:pStyle w:val="616CB93B9B8641F98AFC095B7BF957B8"/>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98"/>
    <w:rsid w:val="00024398"/>
    <w:rsid w:val="000336A8"/>
    <w:rsid w:val="00065102"/>
    <w:rsid w:val="00071518"/>
    <w:rsid w:val="000B3CBE"/>
    <w:rsid w:val="000F6A55"/>
    <w:rsid w:val="00231646"/>
    <w:rsid w:val="00311F5B"/>
    <w:rsid w:val="003464A7"/>
    <w:rsid w:val="003A080A"/>
    <w:rsid w:val="003B31DA"/>
    <w:rsid w:val="003B7312"/>
    <w:rsid w:val="00446755"/>
    <w:rsid w:val="0049149D"/>
    <w:rsid w:val="004967C9"/>
    <w:rsid w:val="005D1D8F"/>
    <w:rsid w:val="005D283B"/>
    <w:rsid w:val="005E3C85"/>
    <w:rsid w:val="00665271"/>
    <w:rsid w:val="00667C8F"/>
    <w:rsid w:val="006A089F"/>
    <w:rsid w:val="006D6229"/>
    <w:rsid w:val="006F706F"/>
    <w:rsid w:val="00705FA5"/>
    <w:rsid w:val="007127D6"/>
    <w:rsid w:val="007916F7"/>
    <w:rsid w:val="00796304"/>
    <w:rsid w:val="008137A6"/>
    <w:rsid w:val="00961DEE"/>
    <w:rsid w:val="00967CBE"/>
    <w:rsid w:val="00A241DE"/>
    <w:rsid w:val="00AB3478"/>
    <w:rsid w:val="00AF0C0D"/>
    <w:rsid w:val="00AF2A9F"/>
    <w:rsid w:val="00B03003"/>
    <w:rsid w:val="00B36F0C"/>
    <w:rsid w:val="00B54212"/>
    <w:rsid w:val="00B67649"/>
    <w:rsid w:val="00C13EBC"/>
    <w:rsid w:val="00C939DA"/>
    <w:rsid w:val="00D215A9"/>
    <w:rsid w:val="00D308D8"/>
    <w:rsid w:val="00D311B5"/>
    <w:rsid w:val="00DF4087"/>
    <w:rsid w:val="00E6052E"/>
    <w:rsid w:val="00E84A07"/>
    <w:rsid w:val="00E86A78"/>
    <w:rsid w:val="00EA58C7"/>
    <w:rsid w:val="00EB10B1"/>
    <w:rsid w:val="00EB119B"/>
    <w:rsid w:val="00EB698A"/>
    <w:rsid w:val="00ED0C44"/>
    <w:rsid w:val="00EE0D06"/>
    <w:rsid w:val="00F66D91"/>
    <w:rsid w:val="00FF55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CB93B9B8641F98AFC095B7BF957B8">
    <w:name w:val="616CB93B9B8641F98AFC095B7BF95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8753c5-2901-411e-a100-706a3d27800e">
      <Terms xmlns="http://schemas.microsoft.com/office/infopath/2007/PartnerControls"/>
    </lcf76f155ced4ddcb4097134ff3c332f>
    <TaxCatchAll xmlns="1c7d3551-5694-4f12-b35a-d9a7a462ea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41035E9C3D2F409AF07E8835ED420A" ma:contentTypeVersion="" ma:contentTypeDescription="Create a new document." ma:contentTypeScope="" ma:versionID="1a9624134b91fcd47c9077cbb511d1a5">
  <xsd:schema xmlns:xsd="http://www.w3.org/2001/XMLSchema" xmlns:xs="http://www.w3.org/2001/XMLSchema" xmlns:p="http://schemas.microsoft.com/office/2006/metadata/properties" xmlns:ns2="1c7d3551-5694-4f12-b35a-d9a7a462ea4b" xmlns:ns3="e18753c5-2901-411e-a100-706a3d27800e" targetNamespace="http://schemas.microsoft.com/office/2006/metadata/properties" ma:root="true" ma:fieldsID="a90ab5a2f855f3c30e928b13555344e9" ns2:_="" ns3:_="">
    <xsd:import namespace="1c7d3551-5694-4f12-b35a-d9a7a462ea4b"/>
    <xsd:import namespace="e18753c5-2901-411e-a100-706a3d2780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d3551-5694-4f12-b35a-d9a7a462e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C31C42A-C94B-4E04-94AD-A54574F82F3B}" ma:internalName="TaxCatchAll" ma:showField="CatchAllData" ma:web="{041c6c0f-6dd7-469f-ad14-49b8b580d9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753c5-2901-411e-a100-706a3d27800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b3fcf-ce55-45eb-a651-8211b79e8a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218F-AB00-4272-A716-DA4688C85ECA}">
  <ds:schemaRefs>
    <ds:schemaRef ds:uri="http://purl.org/dc/terms/"/>
    <ds:schemaRef ds:uri="http://schemas.microsoft.com/office/2006/documentManagement/types"/>
    <ds:schemaRef ds:uri="http://purl.org/dc/dcmitype/"/>
    <ds:schemaRef ds:uri="e18753c5-2901-411e-a100-706a3d27800e"/>
    <ds:schemaRef ds:uri="http://schemas.openxmlformats.org/package/2006/metadata/core-properties"/>
    <ds:schemaRef ds:uri="http://purl.org/dc/elements/1.1/"/>
    <ds:schemaRef ds:uri="http://schemas.microsoft.com/office/infopath/2007/PartnerControls"/>
    <ds:schemaRef ds:uri="1c7d3551-5694-4f12-b35a-d9a7a462ea4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7183DA7-5302-438F-8D23-D69B0F701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d3551-5694-4f12-b35a-d9a7a462ea4b"/>
    <ds:schemaRef ds:uri="e18753c5-2901-411e-a100-706a3d278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Smoking Cessation Specification 20250605 SP</Template>
  <TotalTime>0</TotalTime>
  <Pages>19</Pages>
  <Words>5365</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NHS New Medicine Service</vt:lpstr>
    </vt:vector>
  </TitlesOfParts>
  <Company>Health &amp; Social Care Information Centre</Company>
  <LinksUpToDate>false</LinksUpToDate>
  <CharactersWithSpaces>35881</CharactersWithSpaces>
  <SharedDoc>false</SharedDoc>
  <HLinks>
    <vt:vector size="234" baseType="variant">
      <vt:variant>
        <vt:i4>4980743</vt:i4>
      </vt:variant>
      <vt:variant>
        <vt:i4>129</vt:i4>
      </vt:variant>
      <vt:variant>
        <vt:i4>0</vt:i4>
      </vt:variant>
      <vt:variant>
        <vt:i4>5</vt:i4>
      </vt:variant>
      <vt:variant>
        <vt:lpwstr>https://www.gov.uk/government/publications/records-management-code-of-practice-for-health-and-social-care</vt:lpwstr>
      </vt:variant>
      <vt:variant>
        <vt:lpwstr/>
      </vt:variant>
      <vt:variant>
        <vt:i4>2555999</vt:i4>
      </vt:variant>
      <vt:variant>
        <vt:i4>126</vt:i4>
      </vt:variant>
      <vt:variant>
        <vt:i4>0</vt:i4>
      </vt:variant>
      <vt:variant>
        <vt:i4>5</vt:i4>
      </vt:variant>
      <vt:variant>
        <vt:lpwstr>https://view.officeapps.live.com/op/view.aspx?src=https%3A%2F%2Fwww.nhsbsa.nhs.uk%2Fsites%2Fdefault%2Ffiles%2F2022-01%2FNHS%2520Community%2520Pharmacist%2520Consultation%2520Service%2520%2528CPCS%2529%2520IT%2520Buyer%2527s%2520Guide%2520v1.2_1.docx&amp;wdOrigin=BROWSELINK</vt:lpwstr>
      </vt:variant>
      <vt:variant>
        <vt:lpwstr/>
      </vt:variant>
      <vt:variant>
        <vt:i4>393285</vt:i4>
      </vt:variant>
      <vt:variant>
        <vt:i4>123</vt:i4>
      </vt:variant>
      <vt:variant>
        <vt:i4>0</vt:i4>
      </vt:variant>
      <vt:variant>
        <vt:i4>5</vt:i4>
      </vt:variant>
      <vt:variant>
        <vt:lpwstr>https://gpitbjss.atlassian.net/wiki/spaces/DCSDR/pages/12546899969/Community+Pharmacy+Clinical+Services+Service+Standard</vt:lpwstr>
      </vt:variant>
      <vt:variant>
        <vt:lpwstr/>
      </vt:variant>
      <vt:variant>
        <vt:i4>2359405</vt:i4>
      </vt:variant>
      <vt:variant>
        <vt:i4>120</vt:i4>
      </vt:variant>
      <vt:variant>
        <vt:i4>0</vt:i4>
      </vt:variant>
      <vt:variant>
        <vt:i4>5</vt:i4>
      </vt:variant>
      <vt:variant>
        <vt:lpwstr>https://www.england.nhs.uk/primary-care/pharmacy/pharmacy-services/nhs-discharge-medicines-service/</vt:lpwstr>
      </vt:variant>
      <vt:variant>
        <vt:lpwstr/>
      </vt:variant>
      <vt:variant>
        <vt:i4>6946875</vt:i4>
      </vt:variant>
      <vt:variant>
        <vt:i4>117</vt:i4>
      </vt:variant>
      <vt:variant>
        <vt:i4>0</vt:i4>
      </vt:variant>
      <vt:variant>
        <vt:i4>5</vt:i4>
      </vt:variant>
      <vt:variant>
        <vt:lpwstr>https://www.nhsbsa.nhs.uk/pharmacies-gp-practices-and-appliance-contractors/dispensing-contractors-information/new-medicine-service-nms-drug-lists</vt:lpwstr>
      </vt:variant>
      <vt:variant>
        <vt:lpwstr/>
      </vt:variant>
      <vt:variant>
        <vt:i4>5570575</vt:i4>
      </vt:variant>
      <vt:variant>
        <vt:i4>114</vt:i4>
      </vt:variant>
      <vt:variant>
        <vt:i4>0</vt:i4>
      </vt:variant>
      <vt:variant>
        <vt:i4>5</vt:i4>
      </vt:variant>
      <vt:variant>
        <vt:lpwstr>https://www.england.nhs.uk/publication/remote-and-video-consultations-guidance-for-community-pharmacy-teams/</vt:lpwstr>
      </vt:variant>
      <vt:variant>
        <vt:lpwstr/>
      </vt:variant>
      <vt:variant>
        <vt:i4>2162786</vt:i4>
      </vt:variant>
      <vt:variant>
        <vt:i4>111</vt:i4>
      </vt:variant>
      <vt:variant>
        <vt:i4>0</vt:i4>
      </vt:variant>
      <vt:variant>
        <vt:i4>5</vt:i4>
      </vt:variant>
      <vt:variant>
        <vt:lpwstr>https://www.gov.uk/government/publications/clinical-governance-approved-particulars</vt:lpwstr>
      </vt:variant>
      <vt:variant>
        <vt:lpwstr/>
      </vt:variant>
      <vt:variant>
        <vt:i4>4194383</vt:i4>
      </vt:variant>
      <vt:variant>
        <vt:i4>108</vt:i4>
      </vt:variant>
      <vt:variant>
        <vt:i4>0</vt:i4>
      </vt:variant>
      <vt:variant>
        <vt:i4>5</vt:i4>
      </vt:variant>
      <vt:variant>
        <vt:lpwstr>https://www.england.nhs.uk/primary-care/pharmacy/pharmacy-contract-teams/</vt:lpwstr>
      </vt:variant>
      <vt:variant>
        <vt:lpwstr/>
      </vt:variant>
      <vt:variant>
        <vt:i4>720986</vt:i4>
      </vt:variant>
      <vt:variant>
        <vt:i4>105</vt:i4>
      </vt:variant>
      <vt:variant>
        <vt:i4>0</vt:i4>
      </vt:variant>
      <vt:variant>
        <vt:i4>5</vt:i4>
      </vt:variant>
      <vt:variant>
        <vt:lpwstr>https://assets.publishing.service.gov.uk/media/5d359f2e40f0b604de59fd82/cpcf-2019-to-2024.pdf</vt:lpwstr>
      </vt:variant>
      <vt:variant>
        <vt:lpwstr/>
      </vt:variant>
      <vt:variant>
        <vt:i4>1835057</vt:i4>
      </vt:variant>
      <vt:variant>
        <vt:i4>98</vt:i4>
      </vt:variant>
      <vt:variant>
        <vt:i4>0</vt:i4>
      </vt:variant>
      <vt:variant>
        <vt:i4>5</vt:i4>
      </vt:variant>
      <vt:variant>
        <vt:lpwstr/>
      </vt:variant>
      <vt:variant>
        <vt:lpwstr>_Toc203459562</vt:lpwstr>
      </vt:variant>
      <vt:variant>
        <vt:i4>1835057</vt:i4>
      </vt:variant>
      <vt:variant>
        <vt:i4>92</vt:i4>
      </vt:variant>
      <vt:variant>
        <vt:i4>0</vt:i4>
      </vt:variant>
      <vt:variant>
        <vt:i4>5</vt:i4>
      </vt:variant>
      <vt:variant>
        <vt:lpwstr/>
      </vt:variant>
      <vt:variant>
        <vt:lpwstr>_Toc203459561</vt:lpwstr>
      </vt:variant>
      <vt:variant>
        <vt:i4>1835057</vt:i4>
      </vt:variant>
      <vt:variant>
        <vt:i4>86</vt:i4>
      </vt:variant>
      <vt:variant>
        <vt:i4>0</vt:i4>
      </vt:variant>
      <vt:variant>
        <vt:i4>5</vt:i4>
      </vt:variant>
      <vt:variant>
        <vt:lpwstr/>
      </vt:variant>
      <vt:variant>
        <vt:lpwstr>_Toc203459560</vt:lpwstr>
      </vt:variant>
      <vt:variant>
        <vt:i4>2031665</vt:i4>
      </vt:variant>
      <vt:variant>
        <vt:i4>80</vt:i4>
      </vt:variant>
      <vt:variant>
        <vt:i4>0</vt:i4>
      </vt:variant>
      <vt:variant>
        <vt:i4>5</vt:i4>
      </vt:variant>
      <vt:variant>
        <vt:lpwstr/>
      </vt:variant>
      <vt:variant>
        <vt:lpwstr>_Toc203459559</vt:lpwstr>
      </vt:variant>
      <vt:variant>
        <vt:i4>2031665</vt:i4>
      </vt:variant>
      <vt:variant>
        <vt:i4>74</vt:i4>
      </vt:variant>
      <vt:variant>
        <vt:i4>0</vt:i4>
      </vt:variant>
      <vt:variant>
        <vt:i4>5</vt:i4>
      </vt:variant>
      <vt:variant>
        <vt:lpwstr/>
      </vt:variant>
      <vt:variant>
        <vt:lpwstr>_Toc203459558</vt:lpwstr>
      </vt:variant>
      <vt:variant>
        <vt:i4>2031665</vt:i4>
      </vt:variant>
      <vt:variant>
        <vt:i4>68</vt:i4>
      </vt:variant>
      <vt:variant>
        <vt:i4>0</vt:i4>
      </vt:variant>
      <vt:variant>
        <vt:i4>5</vt:i4>
      </vt:variant>
      <vt:variant>
        <vt:lpwstr/>
      </vt:variant>
      <vt:variant>
        <vt:lpwstr>_Toc203459557</vt:lpwstr>
      </vt:variant>
      <vt:variant>
        <vt:i4>2031665</vt:i4>
      </vt:variant>
      <vt:variant>
        <vt:i4>62</vt:i4>
      </vt:variant>
      <vt:variant>
        <vt:i4>0</vt:i4>
      </vt:variant>
      <vt:variant>
        <vt:i4>5</vt:i4>
      </vt:variant>
      <vt:variant>
        <vt:lpwstr/>
      </vt:variant>
      <vt:variant>
        <vt:lpwstr>_Toc203459556</vt:lpwstr>
      </vt:variant>
      <vt:variant>
        <vt:i4>2031665</vt:i4>
      </vt:variant>
      <vt:variant>
        <vt:i4>56</vt:i4>
      </vt:variant>
      <vt:variant>
        <vt:i4>0</vt:i4>
      </vt:variant>
      <vt:variant>
        <vt:i4>5</vt:i4>
      </vt:variant>
      <vt:variant>
        <vt:lpwstr/>
      </vt:variant>
      <vt:variant>
        <vt:lpwstr>_Toc203459555</vt:lpwstr>
      </vt:variant>
      <vt:variant>
        <vt:i4>2031665</vt:i4>
      </vt:variant>
      <vt:variant>
        <vt:i4>50</vt:i4>
      </vt:variant>
      <vt:variant>
        <vt:i4>0</vt:i4>
      </vt:variant>
      <vt:variant>
        <vt:i4>5</vt:i4>
      </vt:variant>
      <vt:variant>
        <vt:lpwstr/>
      </vt:variant>
      <vt:variant>
        <vt:lpwstr>_Toc203459554</vt:lpwstr>
      </vt:variant>
      <vt:variant>
        <vt:i4>2031665</vt:i4>
      </vt:variant>
      <vt:variant>
        <vt:i4>44</vt:i4>
      </vt:variant>
      <vt:variant>
        <vt:i4>0</vt:i4>
      </vt:variant>
      <vt:variant>
        <vt:i4>5</vt:i4>
      </vt:variant>
      <vt:variant>
        <vt:lpwstr/>
      </vt:variant>
      <vt:variant>
        <vt:lpwstr>_Toc203459553</vt:lpwstr>
      </vt:variant>
      <vt:variant>
        <vt:i4>2031665</vt:i4>
      </vt:variant>
      <vt:variant>
        <vt:i4>38</vt:i4>
      </vt:variant>
      <vt:variant>
        <vt:i4>0</vt:i4>
      </vt:variant>
      <vt:variant>
        <vt:i4>5</vt:i4>
      </vt:variant>
      <vt:variant>
        <vt:lpwstr/>
      </vt:variant>
      <vt:variant>
        <vt:lpwstr>_Toc203459552</vt:lpwstr>
      </vt:variant>
      <vt:variant>
        <vt:i4>2031665</vt:i4>
      </vt:variant>
      <vt:variant>
        <vt:i4>32</vt:i4>
      </vt:variant>
      <vt:variant>
        <vt:i4>0</vt:i4>
      </vt:variant>
      <vt:variant>
        <vt:i4>5</vt:i4>
      </vt:variant>
      <vt:variant>
        <vt:lpwstr/>
      </vt:variant>
      <vt:variant>
        <vt:lpwstr>_Toc203459551</vt:lpwstr>
      </vt:variant>
      <vt:variant>
        <vt:i4>2031665</vt:i4>
      </vt:variant>
      <vt:variant>
        <vt:i4>26</vt:i4>
      </vt:variant>
      <vt:variant>
        <vt:i4>0</vt:i4>
      </vt:variant>
      <vt:variant>
        <vt:i4>5</vt:i4>
      </vt:variant>
      <vt:variant>
        <vt:lpwstr/>
      </vt:variant>
      <vt:variant>
        <vt:lpwstr>_Toc203459550</vt:lpwstr>
      </vt:variant>
      <vt:variant>
        <vt:i4>1966129</vt:i4>
      </vt:variant>
      <vt:variant>
        <vt:i4>20</vt:i4>
      </vt:variant>
      <vt:variant>
        <vt:i4>0</vt:i4>
      </vt:variant>
      <vt:variant>
        <vt:i4>5</vt:i4>
      </vt:variant>
      <vt:variant>
        <vt:lpwstr/>
      </vt:variant>
      <vt:variant>
        <vt:lpwstr>_Toc203459549</vt:lpwstr>
      </vt:variant>
      <vt:variant>
        <vt:i4>1966129</vt:i4>
      </vt:variant>
      <vt:variant>
        <vt:i4>14</vt:i4>
      </vt:variant>
      <vt:variant>
        <vt:i4>0</vt:i4>
      </vt:variant>
      <vt:variant>
        <vt:i4>5</vt:i4>
      </vt:variant>
      <vt:variant>
        <vt:lpwstr/>
      </vt:variant>
      <vt:variant>
        <vt:lpwstr>_Toc203459548</vt:lpwstr>
      </vt:variant>
      <vt:variant>
        <vt:i4>1966129</vt:i4>
      </vt:variant>
      <vt:variant>
        <vt:i4>8</vt:i4>
      </vt:variant>
      <vt:variant>
        <vt:i4>0</vt:i4>
      </vt:variant>
      <vt:variant>
        <vt:i4>5</vt:i4>
      </vt:variant>
      <vt:variant>
        <vt:lpwstr/>
      </vt:variant>
      <vt:variant>
        <vt:lpwstr>_Toc203459547</vt:lpwstr>
      </vt:variant>
      <vt:variant>
        <vt:i4>1966129</vt:i4>
      </vt:variant>
      <vt:variant>
        <vt:i4>2</vt:i4>
      </vt:variant>
      <vt:variant>
        <vt:i4>0</vt:i4>
      </vt:variant>
      <vt:variant>
        <vt:i4>5</vt:i4>
      </vt:variant>
      <vt:variant>
        <vt:lpwstr/>
      </vt:variant>
      <vt:variant>
        <vt:lpwstr>_Toc203459546</vt:lpwstr>
      </vt:variant>
      <vt:variant>
        <vt:i4>4653122</vt:i4>
      </vt:variant>
      <vt:variant>
        <vt:i4>30</vt:i4>
      </vt:variant>
      <vt:variant>
        <vt:i4>0</vt:i4>
      </vt:variant>
      <vt:variant>
        <vt:i4>5</vt:i4>
      </vt:variant>
      <vt:variant>
        <vt:lpwstr>https://transform.england.nhs.uk/information-governance/guidance/records-management-code/</vt:lpwstr>
      </vt:variant>
      <vt:variant>
        <vt:lpwstr/>
      </vt:variant>
      <vt:variant>
        <vt:i4>196608</vt:i4>
      </vt:variant>
      <vt:variant>
        <vt:i4>27</vt:i4>
      </vt:variant>
      <vt:variant>
        <vt:i4>0</vt:i4>
      </vt:variant>
      <vt:variant>
        <vt:i4>5</vt:i4>
      </vt:variant>
      <vt:variant>
        <vt:lpwstr>https://cpe.org.uk/national-pharmacy-services/advanced-services/nms/</vt:lpwstr>
      </vt:variant>
      <vt:variant>
        <vt:lpwstr/>
      </vt:variant>
      <vt:variant>
        <vt:i4>196608</vt:i4>
      </vt:variant>
      <vt:variant>
        <vt:i4>24</vt:i4>
      </vt:variant>
      <vt:variant>
        <vt:i4>0</vt:i4>
      </vt:variant>
      <vt:variant>
        <vt:i4>5</vt:i4>
      </vt:variant>
      <vt:variant>
        <vt:lpwstr>https://cpe.org.uk/national-pharmacy-services/advanced-services/nms/</vt:lpwstr>
      </vt:variant>
      <vt:variant>
        <vt:lpwstr/>
      </vt:variant>
      <vt:variant>
        <vt:i4>196608</vt:i4>
      </vt:variant>
      <vt:variant>
        <vt:i4>21</vt:i4>
      </vt:variant>
      <vt:variant>
        <vt:i4>0</vt:i4>
      </vt:variant>
      <vt:variant>
        <vt:i4>5</vt:i4>
      </vt:variant>
      <vt:variant>
        <vt:lpwstr>https://cpe.org.uk/national-pharmacy-services/advanced-services/nms/</vt:lpwstr>
      </vt:variant>
      <vt:variant>
        <vt:lpwstr/>
      </vt:variant>
      <vt:variant>
        <vt:i4>6946875</vt:i4>
      </vt:variant>
      <vt:variant>
        <vt:i4>18</vt:i4>
      </vt:variant>
      <vt:variant>
        <vt:i4>0</vt:i4>
      </vt:variant>
      <vt:variant>
        <vt:i4>5</vt:i4>
      </vt:variant>
      <vt:variant>
        <vt:lpwstr>https://www.nhsbsa.nhs.uk/pharmacies-gp-practices-and-appliance-contractors/dispensing-contractors-information/new-medicine-service-nms-drug-lists</vt:lpwstr>
      </vt:variant>
      <vt:variant>
        <vt:lpwstr/>
      </vt:variant>
      <vt:variant>
        <vt:i4>4063338</vt:i4>
      </vt:variant>
      <vt:variant>
        <vt:i4>15</vt:i4>
      </vt:variant>
      <vt:variant>
        <vt:i4>0</vt:i4>
      </vt:variant>
      <vt:variant>
        <vt:i4>5</vt:i4>
      </vt:variant>
      <vt:variant>
        <vt:lpwstr>https://www.england.nhs.uk/publication/guidance-on-the-national-health-service-charges-and-pharmaceutical-and-local-pharmaceutical-services-amendment-regulations-2020/</vt:lpwstr>
      </vt:variant>
      <vt:variant>
        <vt:lpwstr/>
      </vt:variant>
      <vt:variant>
        <vt:i4>5570575</vt:i4>
      </vt:variant>
      <vt:variant>
        <vt:i4>12</vt:i4>
      </vt:variant>
      <vt:variant>
        <vt:i4>0</vt:i4>
      </vt:variant>
      <vt:variant>
        <vt:i4>5</vt:i4>
      </vt:variant>
      <vt:variant>
        <vt:lpwstr>https://www.england.nhs.uk/publication/remote-and-video-consultations-guidance-for-community-pharmacy-teams/</vt:lpwstr>
      </vt:variant>
      <vt:variant>
        <vt:lpwstr/>
      </vt:variant>
      <vt:variant>
        <vt:i4>196608</vt:i4>
      </vt:variant>
      <vt:variant>
        <vt:i4>9</vt:i4>
      </vt:variant>
      <vt:variant>
        <vt:i4>0</vt:i4>
      </vt:variant>
      <vt:variant>
        <vt:i4>5</vt:i4>
      </vt:variant>
      <vt:variant>
        <vt:lpwstr>https://cpe.org.uk/national-pharmacy-services/advanced-services/nms/</vt:lpwstr>
      </vt:variant>
      <vt:variant>
        <vt:lpwstr/>
      </vt:variant>
      <vt:variant>
        <vt:i4>4194383</vt:i4>
      </vt:variant>
      <vt:variant>
        <vt:i4>6</vt:i4>
      </vt:variant>
      <vt:variant>
        <vt:i4>0</vt:i4>
      </vt:variant>
      <vt:variant>
        <vt:i4>5</vt:i4>
      </vt:variant>
      <vt:variant>
        <vt:lpwstr>https://www.england.nhs.uk/primary-care/pharmacy/pharmacy-contract-teams/</vt:lpwstr>
      </vt:variant>
      <vt:variant>
        <vt:lpwstr/>
      </vt:variant>
      <vt:variant>
        <vt:i4>589849</vt:i4>
      </vt:variant>
      <vt:variant>
        <vt:i4>3</vt:i4>
      </vt:variant>
      <vt:variant>
        <vt:i4>0</vt:i4>
      </vt:variant>
      <vt:variant>
        <vt:i4>5</vt:i4>
      </vt:variant>
      <vt:variant>
        <vt:lpwstr>https://doi.org/10.1007/s40273-017-0554-9</vt:lpwstr>
      </vt:variant>
      <vt:variant>
        <vt:lpwstr/>
      </vt:variant>
      <vt:variant>
        <vt:i4>1114112</vt:i4>
      </vt:variant>
      <vt:variant>
        <vt:i4>0</vt:i4>
      </vt:variant>
      <vt:variant>
        <vt:i4>0</vt:i4>
      </vt:variant>
      <vt:variant>
        <vt:i4>5</vt:i4>
      </vt:variant>
      <vt:variant>
        <vt:lpwstr>https://www.nottingham.ac.uk/~pazmjb/nms/</vt:lpwstr>
      </vt:variant>
      <vt:variant>
        <vt:lpwstr/>
      </vt:variant>
      <vt:variant>
        <vt:i4>6946875</vt:i4>
      </vt:variant>
      <vt:variant>
        <vt:i4>3</vt:i4>
      </vt:variant>
      <vt:variant>
        <vt:i4>0</vt:i4>
      </vt:variant>
      <vt:variant>
        <vt:i4>5</vt:i4>
      </vt:variant>
      <vt:variant>
        <vt:lpwstr>https://www.nhsbsa.nhs.uk/pharmacies-gp-practices-and-appliance-contractors/dispensing-contractors-information/new-medicine-service-nms-drug-lists</vt:lpwstr>
      </vt:variant>
      <vt:variant>
        <vt:lpwstr/>
      </vt:variant>
      <vt:variant>
        <vt:i4>4063338</vt:i4>
      </vt:variant>
      <vt:variant>
        <vt:i4>0</vt:i4>
      </vt:variant>
      <vt:variant>
        <vt:i4>0</vt:i4>
      </vt:variant>
      <vt:variant>
        <vt:i4>5</vt:i4>
      </vt:variant>
      <vt:variant>
        <vt:lpwstr>https://www.england.nhs.uk/publication/guidance-on-the-national-health-service-charges-and-pharmaceutical-and-local-pharmaceutical-services-amendment-regulations-2020/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New Medicine Service</dc:title>
  <dc:subject/>
  <dc:creator>PAREKH, Sejal (NHS ENGLAND - X24)</dc:creator>
  <cp:keywords/>
  <cp:lastModifiedBy>Andrea Ballantyne</cp:lastModifiedBy>
  <cp:revision>2</cp:revision>
  <cp:lastPrinted>2016-07-16T01:27:00Z</cp:lastPrinted>
  <dcterms:created xsi:type="dcterms:W3CDTF">2025-08-15T13:53:00Z</dcterms:created>
  <dcterms:modified xsi:type="dcterms:W3CDTF">2025-08-15T13:53:00Z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0x0101006841035E9C3D2F409AF07E8835ED420A</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y fmtid="{D5CDD505-2E9C-101B-9397-08002B2CF9AE}" pid="9" name="MSIP_Label_f52d287b-af50-4fcf-9040-106ecb50d969_Enabled">
    <vt:lpwstr>true</vt:lpwstr>
  </property>
  <property fmtid="{D5CDD505-2E9C-101B-9397-08002B2CF9AE}" pid="10" name="MSIP_Label_f52d287b-af50-4fcf-9040-106ecb50d969_SetDate">
    <vt:lpwstr>2025-08-15T13:46:01Z</vt:lpwstr>
  </property>
  <property fmtid="{D5CDD505-2E9C-101B-9397-08002B2CF9AE}" pid="11" name="MSIP_Label_f52d287b-af50-4fcf-9040-106ecb50d969_Method">
    <vt:lpwstr>Standard</vt:lpwstr>
  </property>
  <property fmtid="{D5CDD505-2E9C-101B-9397-08002B2CF9AE}" pid="12" name="MSIP_Label_f52d287b-af50-4fcf-9040-106ecb50d969_Name">
    <vt:lpwstr>f52d287b-af50-4fcf-9040-106ecb50d969</vt:lpwstr>
  </property>
  <property fmtid="{D5CDD505-2E9C-101B-9397-08002B2CF9AE}" pid="13" name="MSIP_Label_f52d287b-af50-4fcf-9040-106ecb50d969_SiteId">
    <vt:lpwstr>cf6d0482-86b1-4f88-8c0c-3b4de4cb402c</vt:lpwstr>
  </property>
  <property fmtid="{D5CDD505-2E9C-101B-9397-08002B2CF9AE}" pid="14" name="MSIP_Label_f52d287b-af50-4fcf-9040-106ecb50d969_ActionId">
    <vt:lpwstr>1847946d-099d-4aa3-ba5a-76d39ecf9e12</vt:lpwstr>
  </property>
  <property fmtid="{D5CDD505-2E9C-101B-9397-08002B2CF9AE}" pid="15" name="MSIP_Label_f52d287b-af50-4fcf-9040-106ecb50d969_ContentBits">
    <vt:lpwstr>0</vt:lpwstr>
  </property>
  <property fmtid="{D5CDD505-2E9C-101B-9397-08002B2CF9AE}" pid="16" name="MSIP_Label_f52d287b-af50-4fcf-9040-106ecb50d969_Tag">
    <vt:lpwstr>10, 3, 0, 1</vt:lpwstr>
  </property>
</Properties>
</file>